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08" w:rsidRPr="00551F61" w:rsidRDefault="001A7F94" w:rsidP="001A7F94">
      <w:pPr>
        <w:jc w:val="center"/>
        <w:rPr>
          <w:rFonts w:asciiTheme="majorHAnsi" w:hAnsiTheme="majorHAnsi"/>
          <w:b/>
          <w:sz w:val="22"/>
          <w:szCs w:val="22"/>
        </w:rPr>
      </w:pPr>
      <w:r w:rsidRPr="00551F61">
        <w:rPr>
          <w:rFonts w:asciiTheme="majorHAnsi" w:hAnsiTheme="majorHAnsi"/>
          <w:b/>
          <w:sz w:val="22"/>
          <w:szCs w:val="22"/>
        </w:rPr>
        <w:t>CUADRO RESUMEN DE LOS INDICADORES ODM</w:t>
      </w:r>
    </w:p>
    <w:p w:rsidR="001A7F94" w:rsidRPr="00551F61" w:rsidRDefault="001A7F94" w:rsidP="001A7F94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40"/>
        <w:gridCol w:w="920"/>
        <w:gridCol w:w="920"/>
        <w:gridCol w:w="920"/>
        <w:gridCol w:w="920"/>
        <w:gridCol w:w="920"/>
        <w:gridCol w:w="920"/>
        <w:gridCol w:w="920"/>
      </w:tblGrid>
      <w:tr w:rsidR="001A7F94" w:rsidRPr="00551F61">
        <w:trPr>
          <w:trHeight w:val="54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Indicador</w:t>
            </w:r>
            <w:r w:rsidR="00625D25"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a</w:t>
            </w: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Línea base 1990</w:t>
            </w:r>
            <w:r w:rsidR="00625D25"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b</w:t>
            </w: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Última fecha disponible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Meta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¿Cómo va México?</w:t>
            </w:r>
          </w:p>
        </w:tc>
      </w:tr>
      <w:tr w:rsidR="001A7F94" w:rsidRPr="00551F61">
        <w:trPr>
          <w:trHeight w:val="300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1. Erradicar la pobreza extrema y el hambre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1.A. Reducir a la mitad, entre 1990 y 2015, el porcentaje de personas cuyos ingresos sean inferiores a 1.25 dólares por día</w:t>
            </w:r>
          </w:p>
        </w:tc>
      </w:tr>
      <w:tr w:rsidR="001A7F94" w:rsidRPr="00551F61" w:rsidTr="00C3462D">
        <w:trPr>
          <w:trHeight w:val="54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1.1 Proporción de la población con ingresos inferiores a 1.25 dólares 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diarios (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aridad 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oder de 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C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ompra respecto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al dólar)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9.3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4.0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1.2. Coeficiente de la brecha de pobreza (intensidad de la pobreza)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1.1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1.3. Proporción del consumo nacional que corresponde al quintil más pobre de la población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6.7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C3462D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C3462D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1.B. Lograr empleo pleno y productivo, y trabajo decente para todos, incluyendo mujeres y jóvenes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1.4. Tasa de crecimiento del PIB por persona ocupada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2.6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(1996)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2.3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Progreso insuficiente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1.5. Relación entre ocupación y población en edad de trabajar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54.0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(1995)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56.3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55.8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55.3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56.3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1.6. Proporción de la población ocupada con ingresos inferiores a 1.25 dólares por día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6.3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2.7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1.7. Proporción de trabajadores por cuenta propia y los no </w:t>
            </w:r>
            <w:proofErr w:type="spellStart"/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remunerados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37.1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(1995)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31.9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31.0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29.1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28.6</w:t>
            </w:r>
          </w:p>
          <w:p w:rsidR="00625D25" w:rsidRPr="00551F61" w:rsidRDefault="00625D25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1.C. Reducir a la mitad, entre 1990 y 2015, el porcentaje de personas que padecen hambre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1.8. Proporción de niños menores de 5 años con insuficiencia ponderal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10.8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(1988)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5.6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(2006)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2.8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9906DE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1.9. Proporción de la población por debajo del nivel mínimo de consumo de energía alimentaria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4.9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2.3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300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2. Lograr la enseñanza primaria universal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2.A. Asegurar que, para el año 2015, los niños y niñas de todo el mundo puedan terminar un ciclo completo de enseñanza primaria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2.1 Tasa neta de matriculación en la enseñanza primaria (6 a 11 años de edad) (%)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97.6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99.3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97.3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100.3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2.2. Proporción de alumnos que comienzan el primer grado y llegan al último grado de enseñanza primaria (%)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75.1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(1991)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92.2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96.4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 cumplirse en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2.3. Tasa de alfabetización de las personas de 15 a 24 años</w:t>
            </w:r>
            <w:r w:rsidR="00625D25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de edad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(%)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95.4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96.7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97.5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4F31D7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98.5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e/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98.6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4F31D7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  2.3.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Tasa de alfabetización de las mujeres de 15 a 24 años de edad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94.8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96.5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97.5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4F31D7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98.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5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e/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98.6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4F31D7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  2.3.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b</w:t>
            </w: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Tasa de alfabetización de los hombres de 15 a 24 años de edad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96.1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96.9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97.6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4F31D7" w:rsidRDefault="001A7F94" w:rsidP="00625D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98.4</w:t>
            </w:r>
            <w:r w:rsidR="00625D25" w:rsidRPr="004F31D7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e/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98.5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300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3. Promover la igualdad de género y el empoderamiento de la mujer</w:t>
            </w:r>
          </w:p>
        </w:tc>
      </w:tr>
      <w:tr w:rsidR="001A7F94" w:rsidRPr="00551F61">
        <w:trPr>
          <w:trHeight w:val="480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3.A. Eliminar las desigualdades entre los sexos en la enseñanza primaria y secundaria, preferiblemente para el año 2005, y en todos los niveles de la enseñanza para el año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625D25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3.1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.a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Razón</w:t>
            </w:r>
            <w:r w:rsidR="001A7F94"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entre niñas y niños en la enseñanza primaria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0.958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 cumplirse en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625D25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3.1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.b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Razón entre</w:t>
            </w:r>
            <w:r w:rsidR="001A7F94"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niñas y niños en la enseñanza secundaria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0.980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c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. Razón entre mujeres y hombres en la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eneseñanza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media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superior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1.024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1.011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625D25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3.1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.d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Razón</w:t>
            </w:r>
            <w:r w:rsidR="001A7F94"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entre mujeres y hombres en la enseñanza superior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1.010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0.973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0.96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3.2. Proporción de mujeres en el total de asalariados en el sector no agropecuario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(%)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38.0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(1995)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38.8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39.9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41.1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3.3</w:t>
            </w:r>
            <w:proofErr w:type="gram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</w:t>
            </w:r>
            <w:proofErr w:type="gram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Proporción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de escaños ocupados por mujeres en la Cámara de Diputados (%)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12.4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(1988)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22.6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(2006)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27.8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t>37.4</w:t>
            </w:r>
            <w:r w:rsidRPr="00551F61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625D25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3.3</w:t>
            </w:r>
            <w:proofErr w:type="gram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b</w:t>
            </w:r>
            <w:proofErr w:type="gram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Proporción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de escaños ocupados por mujeres en la Cámara de Senadores (%)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15.6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(1988)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15.6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17.2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(2006)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20.3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t>34.4</w:t>
            </w:r>
            <w:r w:rsidRPr="00551F61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2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4. Reducir la mortalidad de los niños menores de 5 años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4.A. Reducir en dos terceras partes, entre 1990 y 2015, la mortalidad de los niños menores de 5 años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4.1. Tasa de mortalidad de niños menores de 5 años (por cada mil nacidos vivos)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41.0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25.0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20.5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17.2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16.7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 cumplirse en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4.2.Tasa de mortalidad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infantil (</w:t>
            </w:r>
            <w:r w:rsidR="00625D25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defunciones de menores de 1 año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por cada mil nacidos vivos)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14.1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13.7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10.8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 cumplirse en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4.3. Proporción de niños de un año de edad vacunados contra el sarampión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73.8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76.5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74.2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82.7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86.8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95.0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Progreso insuficiente</w:t>
            </w:r>
          </w:p>
        </w:tc>
      </w:tr>
    </w:tbl>
    <w:p w:rsidR="001A7F94" w:rsidRPr="00551F61" w:rsidRDefault="001A7F94" w:rsidP="001A7F94">
      <w:pPr>
        <w:jc w:val="both"/>
        <w:rPr>
          <w:rFonts w:asciiTheme="majorHAnsi" w:hAnsiTheme="majorHAnsi"/>
          <w:sz w:val="22"/>
          <w:szCs w:val="22"/>
        </w:rPr>
      </w:pPr>
    </w:p>
    <w:p w:rsidR="001A7F94" w:rsidRDefault="001A7F94" w:rsidP="001A7F94">
      <w:pPr>
        <w:jc w:val="both"/>
        <w:rPr>
          <w:rFonts w:asciiTheme="majorHAnsi" w:hAnsiTheme="majorHAnsi"/>
          <w:sz w:val="22"/>
          <w:szCs w:val="22"/>
        </w:rPr>
      </w:pPr>
    </w:p>
    <w:p w:rsidR="00D26AAD" w:rsidRPr="00551F61" w:rsidRDefault="00D26AAD" w:rsidP="001A7F94">
      <w:pPr>
        <w:jc w:val="both"/>
        <w:rPr>
          <w:rFonts w:asciiTheme="majorHAnsi" w:hAnsiTheme="majorHAnsi"/>
          <w:sz w:val="22"/>
          <w:szCs w:val="22"/>
        </w:rPr>
      </w:pPr>
    </w:p>
    <w:p w:rsidR="001A7F94" w:rsidRPr="00551F61" w:rsidRDefault="001A7F94" w:rsidP="001A7F94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0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920"/>
      </w:tblGrid>
      <w:tr w:rsidR="001A7F94" w:rsidRPr="00551F61">
        <w:trPr>
          <w:trHeight w:val="54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lastRenderedPageBreak/>
              <w:t>Indicador</w:t>
            </w:r>
            <w:r w:rsidR="00A84644"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a</w:t>
            </w: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 xml:space="preserve">Línea base </w:t>
            </w: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1990</w:t>
            </w:r>
            <w:r w:rsidR="00A84644"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b</w:t>
            </w: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2000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2005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2010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Última fecha disponible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Meta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¿Cómo va México?</w:t>
            </w:r>
          </w:p>
        </w:tc>
      </w:tr>
      <w:tr w:rsidR="001A7F94" w:rsidRPr="00551F61">
        <w:trPr>
          <w:trHeight w:val="22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5. Mejorar la salud materna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5.A. Reducir, entre 1990 y 2015, la mortalidad materna en tres cuartas partes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5.1. Razón de mortalidad materna (defunciones por cada 100 mil nacidos vivos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estimados)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88.7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74.1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44.1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43.0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22.2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Progreso insuficiente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5.2. Proporción de partos con asistencia de personal sanitario capacitado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76.7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91.1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94.1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96.0 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90.0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5.B. Lograr, para el año 2015, el acceso universal a la salud reproductiva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5.3. Prevalencia de uso de anticonceptivos en mujeres unidas en edad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fértil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63.1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68.4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(1997)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70.9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(2006)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72.3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72.3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5.4.Tasa de fecundidad en mujeres de 15 a </w:t>
            </w:r>
            <w:r w:rsidRPr="009906DE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19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años (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nacidos vivos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por cada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1000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mujeres)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81.4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69.5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(2007)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5.5. Promedio de consultas prenatales por embarazada atendida en las instituciones del sistema nacional de salud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4.4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5.4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5.0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5.6. Necesidad insatisfecha de métodos anticonceptivos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25.1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(1987)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12.2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(1997)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12.0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(2006)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10.0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10.0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(2009)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2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6. Combatir el VIH/SIDA, el paludismo y otras enfermedades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6.A. Haber detenido y comenzado a reducir, para el año 2015, la propagación del VIH/SIDA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6.1. Prevalencia del VIH en la población adulta (15 a 49 años)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0.208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0.239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0.243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0.245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0.244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8F0207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Menos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de 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0.6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6.B.Lograr, para el año 2010, el acceso universal al tratamiento del VIH/SIDA de todas las personas que lo necesiten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6.5. Proporción de la población portadora del VIH con infección avanzada que tiene acceso a medicamentos antirretrovirales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79.4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(2008)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84.9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85.1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80.0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6.C. Haber detenido y comenzado a reducir, para el año 2015, la incidencia del paludismo y otras enfermedades graves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6.6. Tasa de incidencia asociada al paludismo (por 100 mil habitantes)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51.1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0.7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3.0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72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6.8 Proporción de tratamientos otorgados a casos confirmados de paludismo en menores de 5 años, para la prevención, control y eliminación de la transmisión del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Plasmodium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Vivax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100.0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9906DE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100.0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6.9.A. Tasa de incidencia asociada a la tuberculosis (todas las formas) por 100 mil habitantes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16.6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18.3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16.8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15.6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Progreso insuficiente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6.9.B. Tasa de mortalidad por tuberculosis (todas las formas), defunciones por cada 100 mil habitantes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3.2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2.2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1.7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 cumplirse en 2015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6.10. Proporción de casos nuevos de tuberculosis pulmonar que curan al terminar el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tratamiento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70.7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70.7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77.5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86.1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A8464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87.0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br/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85.0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2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7. Garantizar la sostenibilidad del medio ambiente</w:t>
            </w:r>
          </w:p>
        </w:tc>
      </w:tr>
      <w:tr w:rsidR="001A7F94" w:rsidRPr="00551F61">
        <w:trPr>
          <w:trHeight w:val="391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7.A. Incorporar los principios del desarrollo sostenible en las políticas y los programas nacionales e invertir la pérdida de recursos del medio ambiente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7.1. Proporción de la superficie cubierta por bosques y selvas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35.3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(1993)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34.4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34.0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(2007)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33.8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33.8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Revertir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Progreso insuficiente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7.2.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. Emisiones de dióxido de carbono per cápita (toneladas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por persona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4.58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4.52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4.31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4.32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4.32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7.2.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b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. Emisiones de dióxido de carbono total (millones de toneladas)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399.1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456.3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462.1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493.5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493.5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Revertir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Progreso estancado o deterioro 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7.2.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c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. Emisiones de dióxido de carbono total por PIB por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aridad de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oder de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C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ompra (kilogramos por peso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mexicano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0.71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0.46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0.36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0.29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0.29 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7.3 Consumo de sustancias que agotan la capa de ozono  (kilogramos ponderados por habitante)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0.25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0.06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0.04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0.01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0.02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7.5. Proporción del total de recursos hídricos utilizada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15.7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(2003)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ND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17.4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17.4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Revertir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Progreso estancado o deterioro 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7B: Reducir la pérdida de biodiversidad, alcanzando, para el año 2010, una reducción significativa de la tasa de pérdida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7.6. Proporción de áreas terrestres y marinas protegidas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7.1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11.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11.8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13.0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13.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7.7. Proporción de especies en peligro de extinción</w:t>
            </w:r>
          </w:p>
        </w:tc>
        <w:tc>
          <w:tcPr>
            <w:tcW w:w="4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A7F94" w:rsidRPr="00551F61" w:rsidRDefault="007422DF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Sin información agregada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Revertir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Datos  insuficientes</w:t>
            </w:r>
          </w:p>
        </w:tc>
      </w:tr>
      <w:tr w:rsidR="001A7F94" w:rsidRPr="00551F61">
        <w:trPr>
          <w:trHeight w:val="353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7.C. Reducir a la mitad, para el año 2015, el porcentaje de personas sin acceso sostenible al agua potable y a servicios básicos de saneamiento</w:t>
            </w:r>
          </w:p>
        </w:tc>
      </w:tr>
      <w:tr w:rsidR="001A7F94" w:rsidRPr="00551F61" w:rsidTr="00C3462D">
        <w:trPr>
          <w:trHeight w:val="54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7.8. Proporción de la población con acceso sostenible a fuentes mejoradas de abastecimiento de agua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78.4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89.2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90.9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90.9 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89.2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7.9. Proporción de la población con acceso a servicios de saneamiento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mejorados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58.6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72.8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83.5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87.7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79.3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>
        <w:trPr>
          <w:trHeight w:val="25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7.D. Haber mejorado considerablemente, para el año 2020, la vida de por lo menos 100 millones de habitantes de tugurios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7.10. Proporción de la población urbana que habita en viviendas </w:t>
            </w:r>
            <w:proofErr w:type="spellStart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precarias</w:t>
            </w:r>
            <w:r w:rsidR="00A8464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r</w:t>
            </w:r>
            <w:proofErr w:type="spellEnd"/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35.68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23.57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14.4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15.30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17.06</w:t>
            </w: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Reducir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</w:tbl>
    <w:p w:rsidR="001A7F94" w:rsidRPr="00551F61" w:rsidRDefault="001A7F94" w:rsidP="001A7F9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0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881"/>
        <w:gridCol w:w="39"/>
        <w:gridCol w:w="920"/>
      </w:tblGrid>
      <w:tr w:rsidR="001A7F94" w:rsidRPr="00551F61">
        <w:trPr>
          <w:trHeight w:val="54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lastRenderedPageBreak/>
              <w:t>Indicador</w:t>
            </w:r>
            <w:r w:rsidR="00A84644"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a</w:t>
            </w: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Línea base 1990</w:t>
            </w:r>
            <w:r w:rsidR="00A84644"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b</w:t>
            </w:r>
            <w:r w:rsidRPr="003C4A06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vertAlign w:val="superscript"/>
                <w:lang w:val="es-MX" w:eastAsia="es-MX"/>
              </w:rPr>
              <w:t>/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2000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2005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2010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Última fecha disponible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Meta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FFFFFF"/>
                <w:sz w:val="14"/>
                <w:szCs w:val="14"/>
                <w:lang w:val="es-MX" w:eastAsia="es-MX"/>
              </w:rPr>
              <w:t>¿Cómo va México?</w:t>
            </w:r>
          </w:p>
        </w:tc>
      </w:tr>
      <w:tr w:rsidR="001A7F94" w:rsidRPr="00551F61">
        <w:trPr>
          <w:trHeight w:val="225"/>
        </w:trPr>
        <w:tc>
          <w:tcPr>
            <w:tcW w:w="1008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6"/>
                <w:szCs w:val="16"/>
                <w:lang w:val="es-MX" w:eastAsia="es-MX"/>
              </w:rPr>
              <w:t>Objetivo 8. Fomentar una alianza mundial para el desarrollo</w:t>
            </w:r>
          </w:p>
        </w:tc>
      </w:tr>
      <w:tr w:rsidR="001A7F94" w:rsidRPr="00551F61">
        <w:trPr>
          <w:trHeight w:val="465"/>
        </w:trPr>
        <w:tc>
          <w:tcPr>
            <w:tcW w:w="100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b/>
                <w:bCs/>
                <w:color w:val="000000"/>
                <w:sz w:val="14"/>
                <w:szCs w:val="14"/>
                <w:lang w:val="es-MX" w:eastAsia="es-MX"/>
              </w:rPr>
              <w:t>Meta 8.F. En colaboración con el sector privado, dar acceso a los beneficios de las nuevas tecnologías, en particular los de las tecnologías de la información y de las comunicaciones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8.14. Número de </w:t>
            </w:r>
            <w:r w:rsidR="008F0207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suscripciones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de telefónicas fijas por cada 100 habitantes 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6.10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12.15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18.10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17.34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17.19</w:t>
            </w:r>
            <w:r w:rsidR="009906DE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8.15. Número de suscripciones a teléfonos celulares móviles por cada 100 habitantes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13.87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(2000)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13.87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43.73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79.54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85.62</w:t>
            </w:r>
            <w:r w:rsidR="009906DE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  <w:tr w:rsidR="001A7F94" w:rsidRPr="00551F61" w:rsidTr="00C3462D">
        <w:trPr>
          <w:trHeight w:val="360"/>
        </w:trPr>
        <w:tc>
          <w:tcPr>
            <w:tcW w:w="3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8.16. </w:t>
            </w:r>
            <w:r w:rsidRPr="003C4A06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t>Número de</w:t>
            </w:r>
            <w:r w:rsidR="00800084" w:rsidRPr="003C4A06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t xml:space="preserve"> </w:t>
            </w:r>
            <w:r w:rsidRPr="003C4A06">
              <w:rPr>
                <w:rFonts w:asciiTheme="majorHAnsi" w:eastAsia="Times New Roman" w:hAnsiTheme="majorHAnsi" w:cs="Times New Roman"/>
                <w:sz w:val="14"/>
                <w:szCs w:val="14"/>
                <w:lang w:val="es-MX" w:eastAsia="es-MX"/>
              </w:rPr>
              <w:t xml:space="preserve">usuarios de internet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por cada 100 habitantes 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 xml:space="preserve">0.01 </w:t>
            </w: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br/>
              <w:t>(1991)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4.98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9906DE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16.67</w:t>
            </w:r>
            <w:r w:rsidR="001A7F94"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vertAlign w:val="superscript"/>
                <w:lang w:val="es-MX" w:eastAsia="es-MX"/>
              </w:rPr>
              <w:t>p/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7F94" w:rsidRPr="003C4A06" w:rsidRDefault="008F0207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30.35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8F020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40.15</w:t>
            </w:r>
          </w:p>
          <w:p w:rsidR="008F0207" w:rsidRPr="003C4A06" w:rsidRDefault="008F0207" w:rsidP="008F020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(2012)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F94" w:rsidRPr="003C4A06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3C4A06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Aumentar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1A7F94" w:rsidRPr="00551F61" w:rsidRDefault="001A7F94" w:rsidP="001A7F94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</w:pPr>
            <w:r w:rsidRPr="00551F61">
              <w:rPr>
                <w:rFonts w:asciiTheme="majorHAnsi" w:eastAsia="Times New Roman" w:hAnsiTheme="majorHAnsi" w:cs="Times New Roman"/>
                <w:color w:val="000000"/>
                <w:sz w:val="14"/>
                <w:szCs w:val="14"/>
                <w:lang w:val="es-MX" w:eastAsia="es-MX"/>
              </w:rPr>
              <w:t>Meta cumplida</w:t>
            </w:r>
          </w:p>
        </w:tc>
      </w:tr>
    </w:tbl>
    <w:p w:rsidR="004E11CE" w:rsidRPr="003C4A06" w:rsidRDefault="004E11CE" w:rsidP="004E11CE">
      <w:pPr>
        <w:jc w:val="both"/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</w:pPr>
      <w:proofErr w:type="gramStart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a</w:t>
      </w:r>
      <w:proofErr w:type="gramEnd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/ Se refiere a los Indicadores de la Lista Oficial de las Naciones Unidas y a los indicadores reformulados por México.</w:t>
      </w:r>
    </w:p>
    <w:p w:rsidR="004E11CE" w:rsidRPr="003C4A06" w:rsidRDefault="004E11CE" w:rsidP="004E11CE">
      <w:pPr>
        <w:jc w:val="both"/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</w:pPr>
      <w:proofErr w:type="gramStart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b</w:t>
      </w:r>
      <w:proofErr w:type="gramEnd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/ La línea base y el dato más reciente, son las que se indican en el título, a reserva de que se especifique lo contrario.</w:t>
      </w:r>
    </w:p>
    <w:p w:rsidR="004E11CE" w:rsidRPr="003C4A06" w:rsidRDefault="004E11CE" w:rsidP="004E11CE">
      <w:pPr>
        <w:jc w:val="both"/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</w:pPr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e/ Cifras estimadas a partir de la fecha en que se indica.</w:t>
      </w:r>
    </w:p>
    <w:p w:rsidR="004E11CE" w:rsidRPr="003C4A06" w:rsidRDefault="004E11CE" w:rsidP="004E11CE">
      <w:pPr>
        <w:jc w:val="both"/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</w:pPr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r/ Reformulados por México con el fin de adaptarlos a la información disponible en el país.</w:t>
      </w:r>
    </w:p>
    <w:p w:rsidR="001A7F94" w:rsidRPr="004E11CE" w:rsidRDefault="004E11CE" w:rsidP="004E11CE">
      <w:pPr>
        <w:jc w:val="both"/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</w:pPr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Fuente: Sitio de los ODM en México</w:t>
      </w:r>
      <w:r w:rsidR="00667EAD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.</w:t>
      </w:r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 xml:space="preserve"> </w:t>
      </w:r>
      <w:r w:rsidR="00667EAD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E</w:t>
      </w:r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n: http</w:t>
      </w:r>
      <w:proofErr w:type="gramStart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:/</w:t>
      </w:r>
      <w:proofErr w:type="gramEnd"/>
      <w:r w:rsidRPr="003C4A06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/www.objetivosdedesarrollodelmilenio.org.mx, consultado el 5 de septiembre de 2013</w:t>
      </w:r>
      <w:r w:rsidRPr="004E11CE">
        <w:rPr>
          <w:rFonts w:asciiTheme="majorHAnsi" w:eastAsia="Times New Roman" w:hAnsiTheme="majorHAnsi" w:cs="Times New Roman"/>
          <w:color w:val="000000"/>
          <w:sz w:val="14"/>
          <w:szCs w:val="14"/>
          <w:lang w:val="es-MX" w:eastAsia="es-MX"/>
        </w:rPr>
        <w:t>.</w:t>
      </w:r>
    </w:p>
    <w:p w:rsidR="004A656C" w:rsidRDefault="004A656C">
      <w:pPr>
        <w:rPr>
          <w:rFonts w:asciiTheme="majorHAnsi" w:hAnsiTheme="majorHAnsi"/>
          <w:sz w:val="22"/>
          <w:szCs w:val="22"/>
          <w:lang w:val="es-MX"/>
        </w:rPr>
      </w:pPr>
    </w:p>
    <w:sectPr w:rsidR="004A656C" w:rsidSect="00C3462D">
      <w:headerReference w:type="default" r:id="rId8"/>
      <w:footerReference w:type="default" r:id="rId9"/>
      <w:pgSz w:w="11900" w:h="16840"/>
      <w:pgMar w:top="851" w:right="843" w:bottom="1276" w:left="851" w:header="708" w:footer="543" w:gutter="0"/>
      <w:cols w:space="27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E8B" w:rsidRDefault="00041E8B">
      <w:r>
        <w:separator/>
      </w:r>
    </w:p>
  </w:endnote>
  <w:endnote w:type="continuationSeparator" w:id="0">
    <w:p w:rsidR="00041E8B" w:rsidRDefault="00041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Presidencia Firme Versalitas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8044326"/>
      <w:docPartObj>
        <w:docPartGallery w:val="Page Numbers (Bottom of Page)"/>
        <w:docPartUnique/>
      </w:docPartObj>
    </w:sdtPr>
    <w:sdtEndPr>
      <w:rPr>
        <w:rFonts w:ascii="Soberana Sans" w:hAnsi="Soberana Sans"/>
        <w:sz w:val="22"/>
      </w:rPr>
    </w:sdtEndPr>
    <w:sdtContent>
      <w:p w:rsidR="00837A4A" w:rsidRPr="006579AB" w:rsidRDefault="00962F4E">
        <w:pPr>
          <w:pStyle w:val="Piedepgina"/>
          <w:jc w:val="right"/>
          <w:rPr>
            <w:rFonts w:ascii="Soberana Sans" w:hAnsi="Soberana Sans"/>
            <w:sz w:val="22"/>
          </w:rPr>
        </w:pPr>
        <w:r w:rsidRPr="00962F4E">
          <w:fldChar w:fldCharType="begin"/>
        </w:r>
        <w:r w:rsidR="00837A4A">
          <w:instrText>PAGE   \* MERGEFORMAT</w:instrText>
        </w:r>
        <w:r w:rsidRPr="00962F4E">
          <w:fldChar w:fldCharType="separate"/>
        </w:r>
        <w:r w:rsidR="00A26D9A" w:rsidRPr="00A26D9A">
          <w:rPr>
            <w:rFonts w:ascii="Soberana Sans" w:hAnsi="Soberana Sans"/>
            <w:noProof/>
            <w:sz w:val="22"/>
            <w:lang w:val="es-ES"/>
          </w:rPr>
          <w:t>2</w:t>
        </w:r>
        <w:r>
          <w:rPr>
            <w:rFonts w:ascii="Soberana Sans" w:hAnsi="Soberana Sans"/>
            <w:noProof/>
            <w:sz w:val="22"/>
            <w:lang w:val="es-ES"/>
          </w:rPr>
          <w:fldChar w:fldCharType="end"/>
        </w:r>
      </w:p>
    </w:sdtContent>
  </w:sdt>
  <w:p w:rsidR="00837A4A" w:rsidRDefault="00837A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E8B" w:rsidRDefault="00041E8B">
      <w:r>
        <w:separator/>
      </w:r>
    </w:p>
  </w:footnote>
  <w:footnote w:type="continuationSeparator" w:id="0">
    <w:p w:rsidR="00041E8B" w:rsidRDefault="00041E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9A" w:rsidRPr="00A26D9A" w:rsidRDefault="00A26D9A">
    <w:pPr>
      <w:pStyle w:val="Encabezado"/>
      <w:rPr>
        <w:rFonts w:ascii="Arial" w:hAnsi="Arial" w:cs="Arial"/>
        <w:color w:val="000080"/>
        <w:sz w:val="20"/>
        <w:szCs w:val="20"/>
        <w:lang w:val="es-MX"/>
      </w:rPr>
    </w:pPr>
    <w:r w:rsidRPr="00A26D9A">
      <w:rPr>
        <w:rFonts w:ascii="Arial" w:hAnsi="Arial" w:cs="Arial"/>
        <w:color w:val="000080"/>
        <w:sz w:val="20"/>
        <w:szCs w:val="20"/>
        <w:lang w:val="es-MX"/>
      </w:rPr>
      <w:t xml:space="preserve">INEGI. Anuario estadístico y geográfico de los Estados Unidos </w:t>
    </w:r>
    <w:proofErr w:type="gramStart"/>
    <w:r w:rsidRPr="00A26D9A">
      <w:rPr>
        <w:rFonts w:ascii="Arial" w:hAnsi="Arial" w:cs="Arial"/>
        <w:color w:val="000080"/>
        <w:sz w:val="20"/>
        <w:szCs w:val="20"/>
        <w:lang w:val="es-MX"/>
      </w:rPr>
      <w:t>Mexicanos</w:t>
    </w:r>
    <w:proofErr w:type="gramEnd"/>
    <w:r w:rsidRPr="00A26D9A">
      <w:rPr>
        <w:rFonts w:ascii="Arial" w:hAnsi="Arial" w:cs="Arial"/>
        <w:color w:val="000080"/>
        <w:sz w:val="20"/>
        <w:szCs w:val="20"/>
        <w:lang w:val="es-MX"/>
      </w:rPr>
      <w:t xml:space="preserve"> 2013. 2014.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F4204"/>
    <w:multiLevelType w:val="hybridMultilevel"/>
    <w:tmpl w:val="34A611C0"/>
    <w:lvl w:ilvl="0" w:tplc="52B20BB4">
      <w:numFmt w:val="bullet"/>
      <w:lvlText w:val="•"/>
      <w:lvlJc w:val="left"/>
      <w:pPr>
        <w:ind w:left="920" w:hanging="360"/>
      </w:pPr>
      <w:rPr>
        <w:rFonts w:ascii="Soberana Sans" w:eastAsiaTheme="minorHAnsi" w:hAnsi="Soberana Sans" w:cs="Tahoma" w:hint="default"/>
      </w:rPr>
    </w:lvl>
    <w:lvl w:ilvl="1" w:tplc="0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2540537B"/>
    <w:multiLevelType w:val="hybridMultilevel"/>
    <w:tmpl w:val="A314C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556AE"/>
    <w:multiLevelType w:val="hybridMultilevel"/>
    <w:tmpl w:val="48AE877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30763F"/>
    <w:multiLevelType w:val="hybridMultilevel"/>
    <w:tmpl w:val="379E1AC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867D0"/>
    <w:rsid w:val="0000123D"/>
    <w:rsid w:val="000108E4"/>
    <w:rsid w:val="000211BD"/>
    <w:rsid w:val="00035627"/>
    <w:rsid w:val="00041E8B"/>
    <w:rsid w:val="00043632"/>
    <w:rsid w:val="00045042"/>
    <w:rsid w:val="00060615"/>
    <w:rsid w:val="00075F82"/>
    <w:rsid w:val="000816CD"/>
    <w:rsid w:val="0008410F"/>
    <w:rsid w:val="00087BB0"/>
    <w:rsid w:val="000B46D9"/>
    <w:rsid w:val="000C74C8"/>
    <w:rsid w:val="000D3785"/>
    <w:rsid w:val="000E0BCC"/>
    <w:rsid w:val="000E7E99"/>
    <w:rsid w:val="000F2794"/>
    <w:rsid w:val="0010263A"/>
    <w:rsid w:val="00116212"/>
    <w:rsid w:val="001360D8"/>
    <w:rsid w:val="00140D27"/>
    <w:rsid w:val="001536D8"/>
    <w:rsid w:val="00166CE5"/>
    <w:rsid w:val="001813D6"/>
    <w:rsid w:val="001921B1"/>
    <w:rsid w:val="001A7F94"/>
    <w:rsid w:val="001B0852"/>
    <w:rsid w:val="001C5165"/>
    <w:rsid w:val="001D4805"/>
    <w:rsid w:val="001D7528"/>
    <w:rsid w:val="001D7B32"/>
    <w:rsid w:val="001E23DD"/>
    <w:rsid w:val="001F3816"/>
    <w:rsid w:val="001F3B2F"/>
    <w:rsid w:val="001F3E57"/>
    <w:rsid w:val="00212D62"/>
    <w:rsid w:val="0021365B"/>
    <w:rsid w:val="0023425E"/>
    <w:rsid w:val="00235FF8"/>
    <w:rsid w:val="00260093"/>
    <w:rsid w:val="0026152E"/>
    <w:rsid w:val="00263D10"/>
    <w:rsid w:val="00264BB3"/>
    <w:rsid w:val="0026778F"/>
    <w:rsid w:val="00293B57"/>
    <w:rsid w:val="002940A6"/>
    <w:rsid w:val="002C2E65"/>
    <w:rsid w:val="002D4258"/>
    <w:rsid w:val="002D7CCB"/>
    <w:rsid w:val="002F0506"/>
    <w:rsid w:val="0031277E"/>
    <w:rsid w:val="00353784"/>
    <w:rsid w:val="0035774A"/>
    <w:rsid w:val="003752FF"/>
    <w:rsid w:val="00381551"/>
    <w:rsid w:val="00384799"/>
    <w:rsid w:val="0038555F"/>
    <w:rsid w:val="003C1A3F"/>
    <w:rsid w:val="003C4A06"/>
    <w:rsid w:val="003E6476"/>
    <w:rsid w:val="004078DB"/>
    <w:rsid w:val="00417455"/>
    <w:rsid w:val="00421FFF"/>
    <w:rsid w:val="004253D7"/>
    <w:rsid w:val="004258FB"/>
    <w:rsid w:val="00425D6D"/>
    <w:rsid w:val="00447527"/>
    <w:rsid w:val="0045554E"/>
    <w:rsid w:val="00461BC2"/>
    <w:rsid w:val="00464F07"/>
    <w:rsid w:val="0046520F"/>
    <w:rsid w:val="00472735"/>
    <w:rsid w:val="00473676"/>
    <w:rsid w:val="00485622"/>
    <w:rsid w:val="004867D0"/>
    <w:rsid w:val="004A656C"/>
    <w:rsid w:val="004C0124"/>
    <w:rsid w:val="004C415E"/>
    <w:rsid w:val="004E11CE"/>
    <w:rsid w:val="004E6F06"/>
    <w:rsid w:val="004F31D7"/>
    <w:rsid w:val="00507AF2"/>
    <w:rsid w:val="005134DA"/>
    <w:rsid w:val="005213BF"/>
    <w:rsid w:val="00526C9A"/>
    <w:rsid w:val="00551F61"/>
    <w:rsid w:val="00552D08"/>
    <w:rsid w:val="00556528"/>
    <w:rsid w:val="00560D13"/>
    <w:rsid w:val="00580D13"/>
    <w:rsid w:val="005873D0"/>
    <w:rsid w:val="005933EF"/>
    <w:rsid w:val="005A2D77"/>
    <w:rsid w:val="005B23D6"/>
    <w:rsid w:val="005E2CC0"/>
    <w:rsid w:val="005E3234"/>
    <w:rsid w:val="005E3B9F"/>
    <w:rsid w:val="006028CE"/>
    <w:rsid w:val="00623ACC"/>
    <w:rsid w:val="00625D25"/>
    <w:rsid w:val="00625FC2"/>
    <w:rsid w:val="00641AAE"/>
    <w:rsid w:val="0065438B"/>
    <w:rsid w:val="006579AB"/>
    <w:rsid w:val="0066542A"/>
    <w:rsid w:val="00667EAD"/>
    <w:rsid w:val="00684C54"/>
    <w:rsid w:val="006911FC"/>
    <w:rsid w:val="006A0AF3"/>
    <w:rsid w:val="006B6251"/>
    <w:rsid w:val="006C1933"/>
    <w:rsid w:val="006C5681"/>
    <w:rsid w:val="006D15BC"/>
    <w:rsid w:val="006F7616"/>
    <w:rsid w:val="007000B6"/>
    <w:rsid w:val="007071AB"/>
    <w:rsid w:val="0071588C"/>
    <w:rsid w:val="00731301"/>
    <w:rsid w:val="0073381E"/>
    <w:rsid w:val="00734B00"/>
    <w:rsid w:val="0073716A"/>
    <w:rsid w:val="007422DF"/>
    <w:rsid w:val="007456A9"/>
    <w:rsid w:val="00753BCC"/>
    <w:rsid w:val="007A3243"/>
    <w:rsid w:val="007A4C43"/>
    <w:rsid w:val="007C60CD"/>
    <w:rsid w:val="007D05C9"/>
    <w:rsid w:val="007D391C"/>
    <w:rsid w:val="007D45CF"/>
    <w:rsid w:val="007D4ECA"/>
    <w:rsid w:val="007F6DCF"/>
    <w:rsid w:val="00800084"/>
    <w:rsid w:val="00802EAF"/>
    <w:rsid w:val="008061BC"/>
    <w:rsid w:val="00835D39"/>
    <w:rsid w:val="00837A4A"/>
    <w:rsid w:val="0084150F"/>
    <w:rsid w:val="00854402"/>
    <w:rsid w:val="008768F3"/>
    <w:rsid w:val="008C00FA"/>
    <w:rsid w:val="008D600F"/>
    <w:rsid w:val="008E3B37"/>
    <w:rsid w:val="008E50CD"/>
    <w:rsid w:val="008E536F"/>
    <w:rsid w:val="008E7A6E"/>
    <w:rsid w:val="008F0207"/>
    <w:rsid w:val="008F4CD2"/>
    <w:rsid w:val="008F50BD"/>
    <w:rsid w:val="009052CC"/>
    <w:rsid w:val="00925266"/>
    <w:rsid w:val="00926DD9"/>
    <w:rsid w:val="00951F46"/>
    <w:rsid w:val="009577BE"/>
    <w:rsid w:val="00962F4E"/>
    <w:rsid w:val="00966634"/>
    <w:rsid w:val="00971B45"/>
    <w:rsid w:val="00973C37"/>
    <w:rsid w:val="009761FB"/>
    <w:rsid w:val="00977407"/>
    <w:rsid w:val="00981975"/>
    <w:rsid w:val="009906DE"/>
    <w:rsid w:val="009928F2"/>
    <w:rsid w:val="00995D92"/>
    <w:rsid w:val="0099612D"/>
    <w:rsid w:val="009B51CA"/>
    <w:rsid w:val="009B7B2C"/>
    <w:rsid w:val="009E34E3"/>
    <w:rsid w:val="009F7677"/>
    <w:rsid w:val="009F7BD7"/>
    <w:rsid w:val="00A14541"/>
    <w:rsid w:val="00A20578"/>
    <w:rsid w:val="00A26D9A"/>
    <w:rsid w:val="00A57FFD"/>
    <w:rsid w:val="00A602A2"/>
    <w:rsid w:val="00A776DE"/>
    <w:rsid w:val="00A84644"/>
    <w:rsid w:val="00A940D6"/>
    <w:rsid w:val="00A94FAE"/>
    <w:rsid w:val="00AA03C9"/>
    <w:rsid w:val="00AA4DEF"/>
    <w:rsid w:val="00AA54EB"/>
    <w:rsid w:val="00AB59E2"/>
    <w:rsid w:val="00AF2397"/>
    <w:rsid w:val="00AF5BC2"/>
    <w:rsid w:val="00AF6C03"/>
    <w:rsid w:val="00B3697D"/>
    <w:rsid w:val="00B4538A"/>
    <w:rsid w:val="00B509C1"/>
    <w:rsid w:val="00B60E66"/>
    <w:rsid w:val="00B646A9"/>
    <w:rsid w:val="00B7273B"/>
    <w:rsid w:val="00B939F3"/>
    <w:rsid w:val="00BA6984"/>
    <w:rsid w:val="00BB0445"/>
    <w:rsid w:val="00BB60C9"/>
    <w:rsid w:val="00BD5F15"/>
    <w:rsid w:val="00BE0747"/>
    <w:rsid w:val="00BF6278"/>
    <w:rsid w:val="00C222E5"/>
    <w:rsid w:val="00C236A5"/>
    <w:rsid w:val="00C3462D"/>
    <w:rsid w:val="00C364C5"/>
    <w:rsid w:val="00C3715C"/>
    <w:rsid w:val="00C7474D"/>
    <w:rsid w:val="00C83AD7"/>
    <w:rsid w:val="00C92E06"/>
    <w:rsid w:val="00CB552A"/>
    <w:rsid w:val="00CD017D"/>
    <w:rsid w:val="00CD744A"/>
    <w:rsid w:val="00CD7D16"/>
    <w:rsid w:val="00CE4AF2"/>
    <w:rsid w:val="00CF0559"/>
    <w:rsid w:val="00CF2A8A"/>
    <w:rsid w:val="00D14953"/>
    <w:rsid w:val="00D17BF4"/>
    <w:rsid w:val="00D25303"/>
    <w:rsid w:val="00D26AAD"/>
    <w:rsid w:val="00D35EA2"/>
    <w:rsid w:val="00D36701"/>
    <w:rsid w:val="00D450A4"/>
    <w:rsid w:val="00D47277"/>
    <w:rsid w:val="00D5438D"/>
    <w:rsid w:val="00D67542"/>
    <w:rsid w:val="00D8646F"/>
    <w:rsid w:val="00D909D1"/>
    <w:rsid w:val="00D97F5F"/>
    <w:rsid w:val="00DA0E92"/>
    <w:rsid w:val="00DB165D"/>
    <w:rsid w:val="00DC0868"/>
    <w:rsid w:val="00DC1B0C"/>
    <w:rsid w:val="00DF0DF8"/>
    <w:rsid w:val="00E120D5"/>
    <w:rsid w:val="00E12320"/>
    <w:rsid w:val="00E22970"/>
    <w:rsid w:val="00E51B72"/>
    <w:rsid w:val="00E7759F"/>
    <w:rsid w:val="00E7796C"/>
    <w:rsid w:val="00E96BFD"/>
    <w:rsid w:val="00EA0600"/>
    <w:rsid w:val="00EA6CDB"/>
    <w:rsid w:val="00EC3725"/>
    <w:rsid w:val="00ED619C"/>
    <w:rsid w:val="00EE35F9"/>
    <w:rsid w:val="00EE6AD5"/>
    <w:rsid w:val="00EF3BA5"/>
    <w:rsid w:val="00F076FF"/>
    <w:rsid w:val="00F1640C"/>
    <w:rsid w:val="00F274C3"/>
    <w:rsid w:val="00F32003"/>
    <w:rsid w:val="00F3217C"/>
    <w:rsid w:val="00F322D4"/>
    <w:rsid w:val="00F5151A"/>
    <w:rsid w:val="00F54FEA"/>
    <w:rsid w:val="00F61375"/>
    <w:rsid w:val="00F63A42"/>
    <w:rsid w:val="00F65E6D"/>
    <w:rsid w:val="00F702D3"/>
    <w:rsid w:val="00F75F58"/>
    <w:rsid w:val="00FB12FA"/>
    <w:rsid w:val="00FB2E58"/>
    <w:rsid w:val="00FB68A0"/>
    <w:rsid w:val="00FC51F5"/>
    <w:rsid w:val="00FD7AF2"/>
    <w:rsid w:val="00FF15F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F761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7616"/>
  </w:style>
  <w:style w:type="character" w:styleId="Refdenotaalpie">
    <w:name w:val="footnote reference"/>
    <w:basedOn w:val="Fuentedeprrafopredeter"/>
    <w:uiPriority w:val="99"/>
    <w:semiHidden/>
    <w:unhideWhenUsed/>
    <w:rsid w:val="006F761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7F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3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3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6579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579AB"/>
  </w:style>
  <w:style w:type="paragraph" w:styleId="Piedepgina">
    <w:name w:val="footer"/>
    <w:basedOn w:val="Normal"/>
    <w:link w:val="PiedepginaCar"/>
    <w:uiPriority w:val="99"/>
    <w:rsid w:val="006579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AB"/>
  </w:style>
  <w:style w:type="character" w:customStyle="1" w:styleId="s22">
    <w:name w:val="s22"/>
    <w:basedOn w:val="Fuentedeprrafopredeter"/>
    <w:rsid w:val="008D600F"/>
  </w:style>
  <w:style w:type="character" w:customStyle="1" w:styleId="bumpedfont15">
    <w:name w:val="bumpedfont15"/>
    <w:basedOn w:val="Fuentedeprrafopredeter"/>
    <w:rsid w:val="008D600F"/>
  </w:style>
  <w:style w:type="character" w:styleId="Refdecomentario">
    <w:name w:val="annotation reference"/>
    <w:basedOn w:val="Fuentedeprrafopredeter"/>
    <w:rsid w:val="007422D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22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422DF"/>
    <w:rPr>
      <w:sz w:val="20"/>
      <w:szCs w:val="20"/>
    </w:rPr>
  </w:style>
  <w:style w:type="character" w:customStyle="1" w:styleId="apple-style-span">
    <w:name w:val="apple-style-span"/>
    <w:basedOn w:val="Fuentedeprrafopredeter"/>
    <w:rsid w:val="007422DF"/>
  </w:style>
  <w:style w:type="paragraph" w:customStyle="1" w:styleId="grafica">
    <w:name w:val="grafica"/>
    <w:basedOn w:val="Normal"/>
    <w:uiPriority w:val="99"/>
    <w:rsid w:val="00C364C5"/>
    <w:pPr>
      <w:suppressAutoHyphens/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olor w:val="FFFFFF"/>
    </w:rPr>
  </w:style>
  <w:style w:type="paragraph" w:customStyle="1" w:styleId="fuente">
    <w:name w:val="fuente"/>
    <w:basedOn w:val="Normal"/>
    <w:uiPriority w:val="99"/>
    <w:rsid w:val="00C364C5"/>
    <w:pPr>
      <w:autoSpaceDE w:val="0"/>
      <w:autoSpaceDN w:val="0"/>
      <w:adjustRightInd w:val="0"/>
      <w:spacing w:line="200" w:lineRule="atLeast"/>
      <w:ind w:left="539" w:hanging="539"/>
      <w:jc w:val="both"/>
      <w:textAlignment w:val="center"/>
    </w:pPr>
    <w:rPr>
      <w:rFonts w:ascii="Calibri" w:hAnsi="Calibri" w:cs="Calibri"/>
      <w:color w:val="000000"/>
      <w:sz w:val="16"/>
      <w:szCs w:val="16"/>
    </w:rPr>
  </w:style>
  <w:style w:type="paragraph" w:customStyle="1" w:styleId="sangria">
    <w:name w:val="sangria"/>
    <w:basedOn w:val="Normal"/>
    <w:uiPriority w:val="99"/>
    <w:rsid w:val="00F63A42"/>
    <w:pPr>
      <w:autoSpaceDE w:val="0"/>
      <w:autoSpaceDN w:val="0"/>
      <w:adjustRightInd w:val="0"/>
      <w:spacing w:line="250" w:lineRule="atLeast"/>
      <w:ind w:firstLine="680"/>
      <w:jc w:val="both"/>
      <w:textAlignment w:val="center"/>
    </w:pPr>
    <w:rPr>
      <w:rFonts w:ascii="Soberana Sans Light" w:hAnsi="Soberana Sans Light" w:cs="Soberana Sans Light"/>
      <w:color w:val="000000"/>
      <w:sz w:val="20"/>
      <w:szCs w:val="20"/>
    </w:rPr>
  </w:style>
  <w:style w:type="paragraph" w:customStyle="1" w:styleId="titulo6IndicadoresMetas">
    <w:name w:val="titulo6 Indicadores Metas"/>
    <w:basedOn w:val="Normal"/>
    <w:uiPriority w:val="99"/>
    <w:rsid w:val="00B939F3"/>
    <w:pPr>
      <w:suppressAutoHyphens/>
      <w:autoSpaceDE w:val="0"/>
      <w:autoSpaceDN w:val="0"/>
      <w:adjustRightInd w:val="0"/>
      <w:spacing w:line="280" w:lineRule="atLeast"/>
      <w:textAlignment w:val="center"/>
    </w:pPr>
    <w:rPr>
      <w:rFonts w:ascii="Presidencia Firme Versalitas" w:hAnsi="Presidencia Firme Versalitas" w:cs="Presidencia Firme Versalitas"/>
      <w:color w:val="000000"/>
    </w:rPr>
  </w:style>
  <w:style w:type="character" w:customStyle="1" w:styleId="versal">
    <w:name w:val="versal"/>
    <w:uiPriority w:val="99"/>
    <w:rsid w:val="007456A9"/>
    <w:rPr>
      <w:smallCaps/>
    </w:rPr>
  </w:style>
  <w:style w:type="paragraph" w:customStyle="1" w:styleId="Prrafobsico">
    <w:name w:val="[Párrafo básico]"/>
    <w:basedOn w:val="Normal"/>
    <w:uiPriority w:val="99"/>
    <w:rsid w:val="007456A9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F761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7616"/>
  </w:style>
  <w:style w:type="character" w:styleId="Refdenotaalpie">
    <w:name w:val="footnote reference"/>
    <w:basedOn w:val="Fuentedeprrafopredeter"/>
    <w:uiPriority w:val="99"/>
    <w:semiHidden/>
    <w:unhideWhenUsed/>
    <w:rsid w:val="006F761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7F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3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3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6579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579AB"/>
  </w:style>
  <w:style w:type="paragraph" w:styleId="Piedepgina">
    <w:name w:val="footer"/>
    <w:basedOn w:val="Normal"/>
    <w:link w:val="PiedepginaCar"/>
    <w:uiPriority w:val="99"/>
    <w:rsid w:val="006579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AB"/>
  </w:style>
  <w:style w:type="character" w:customStyle="1" w:styleId="s22">
    <w:name w:val="s22"/>
    <w:basedOn w:val="Fuentedeprrafopredeter"/>
    <w:rsid w:val="008D600F"/>
  </w:style>
  <w:style w:type="character" w:customStyle="1" w:styleId="bumpedfont15">
    <w:name w:val="bumpedfont15"/>
    <w:basedOn w:val="Fuentedeprrafopredeter"/>
    <w:rsid w:val="008D600F"/>
  </w:style>
  <w:style w:type="character" w:styleId="Refdecomentario">
    <w:name w:val="annotation reference"/>
    <w:basedOn w:val="Fuentedeprrafopredeter"/>
    <w:rsid w:val="007422D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22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422DF"/>
    <w:rPr>
      <w:sz w:val="20"/>
      <w:szCs w:val="20"/>
    </w:rPr>
  </w:style>
  <w:style w:type="character" w:customStyle="1" w:styleId="apple-style-span">
    <w:name w:val="apple-style-span"/>
    <w:basedOn w:val="Fuentedeprrafopredeter"/>
    <w:rsid w:val="007422DF"/>
  </w:style>
  <w:style w:type="paragraph" w:customStyle="1" w:styleId="grafica">
    <w:name w:val="grafica"/>
    <w:basedOn w:val="Normal"/>
    <w:uiPriority w:val="99"/>
    <w:rsid w:val="00C364C5"/>
    <w:pPr>
      <w:suppressAutoHyphens/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olor w:val="FFFFFF"/>
    </w:rPr>
  </w:style>
  <w:style w:type="paragraph" w:customStyle="1" w:styleId="fuente">
    <w:name w:val="fuente"/>
    <w:basedOn w:val="Normal"/>
    <w:uiPriority w:val="99"/>
    <w:rsid w:val="00C364C5"/>
    <w:pPr>
      <w:autoSpaceDE w:val="0"/>
      <w:autoSpaceDN w:val="0"/>
      <w:adjustRightInd w:val="0"/>
      <w:spacing w:line="200" w:lineRule="atLeast"/>
      <w:ind w:left="539" w:hanging="539"/>
      <w:jc w:val="both"/>
      <w:textAlignment w:val="center"/>
    </w:pPr>
    <w:rPr>
      <w:rFonts w:ascii="Calibri" w:hAnsi="Calibri" w:cs="Calibri"/>
      <w:color w:val="000000"/>
      <w:sz w:val="16"/>
      <w:szCs w:val="16"/>
    </w:rPr>
  </w:style>
  <w:style w:type="paragraph" w:customStyle="1" w:styleId="sangria">
    <w:name w:val="sangria"/>
    <w:basedOn w:val="Normal"/>
    <w:uiPriority w:val="99"/>
    <w:rsid w:val="00F63A42"/>
    <w:pPr>
      <w:autoSpaceDE w:val="0"/>
      <w:autoSpaceDN w:val="0"/>
      <w:adjustRightInd w:val="0"/>
      <w:spacing w:line="250" w:lineRule="atLeast"/>
      <w:ind w:firstLine="680"/>
      <w:jc w:val="both"/>
      <w:textAlignment w:val="center"/>
    </w:pPr>
    <w:rPr>
      <w:rFonts w:ascii="Soberana Sans Light" w:hAnsi="Soberana Sans Light" w:cs="Soberana Sans Light"/>
      <w:color w:val="000000"/>
      <w:sz w:val="20"/>
      <w:szCs w:val="20"/>
    </w:rPr>
  </w:style>
  <w:style w:type="paragraph" w:customStyle="1" w:styleId="titulo6IndicadoresMetas">
    <w:name w:val="titulo6 Indicadores Metas"/>
    <w:basedOn w:val="Normal"/>
    <w:uiPriority w:val="99"/>
    <w:rsid w:val="00B939F3"/>
    <w:pPr>
      <w:suppressAutoHyphens/>
      <w:autoSpaceDE w:val="0"/>
      <w:autoSpaceDN w:val="0"/>
      <w:adjustRightInd w:val="0"/>
      <w:spacing w:line="280" w:lineRule="atLeast"/>
      <w:textAlignment w:val="center"/>
    </w:pPr>
    <w:rPr>
      <w:rFonts w:ascii="Presidencia Firme Versalitas" w:hAnsi="Presidencia Firme Versalitas" w:cs="Presidencia Firme Versalitas"/>
      <w:color w:val="000000"/>
    </w:rPr>
  </w:style>
  <w:style w:type="character" w:customStyle="1" w:styleId="versal">
    <w:name w:val="versal"/>
    <w:uiPriority w:val="99"/>
    <w:rsid w:val="007456A9"/>
    <w:rPr>
      <w:smallCaps/>
    </w:rPr>
  </w:style>
  <w:style w:type="paragraph" w:customStyle="1" w:styleId="Prrafobsico">
    <w:name w:val="[Párrafo básico]"/>
    <w:basedOn w:val="Normal"/>
    <w:uiPriority w:val="99"/>
    <w:rsid w:val="007456A9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AB87-F401-4D70-882B-32E97F58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1643</Words>
  <Characters>9039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Rivera Conde y Castañeda</dc:creator>
  <cp:lastModifiedBy>inegi</cp:lastModifiedBy>
  <cp:revision>7</cp:revision>
  <cp:lastPrinted>2013-11-14T21:32:00Z</cp:lastPrinted>
  <dcterms:created xsi:type="dcterms:W3CDTF">2013-11-15T20:20:00Z</dcterms:created>
  <dcterms:modified xsi:type="dcterms:W3CDTF">2014-01-27T21:57:00Z</dcterms:modified>
</cp:coreProperties>
</file>