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ABA6E" w14:textId="65D00D32">
      <w:pPr>
        <w:spacing w:before="180" w:after="200"/>
        <w:rPr>
          <w:rFonts w:ascii="Sabon Next LT" w:hAnsi="Sabon Next LT" w:cs="Sabon Next LT"/>
          <w:sz w:val="21"/>
          <w:szCs w:val="21"/>
        </w:rPr>
      </w:pPr>
      <w:r>
        <w:rPr>
          <w:rFonts w:ascii="Sabon Next LT" w:hAnsi="Sabon Next LT" w:cs="Sabon Next LT"/>
          <w:sz w:val="21"/>
          <w:szCs w:val="21"/>
        </w:rPr>
        <w:t>[[ENGAGEMENT_DATE]]</w:t>
      </w:r>
    </w:p>
    <w:p w14:paraId="6E2F065E" w14:textId="77777777">
      <w:pPr>
        <w:spacing w:after="0" w:line="240" w:lineRule="auto"/>
        <w:rPr>
          <w:rFonts w:ascii="Sabon Next LT" w:hAnsi="Sabon Next LT" w:cs="Sabon Next LT"/>
          <w:sz w:val="21"/>
          <w:szCs w:val="21"/>
        </w:rPr>
      </w:pPr>
      <w:r>
        <w:rPr>
          <w:rFonts w:ascii="Sabon Next LT" w:hAnsi="Sabon Next LT" w:cs="Sabon Next LT"/>
          <w:sz w:val="21"/>
          <w:szCs w:val="21"/>
        </w:rPr>
        <w:t>[[CONTACT_NAME]]</w:t>
      </w:r>
    </w:p>
    <w:p w14:paraId="1D144075" w14:textId="77777777">
      <w:pPr>
        <w:spacing w:after="0" w:line="240" w:lineRule="auto"/>
        <w:rPr>
          <w:rFonts w:ascii="Sabon Next LT" w:hAnsi="Sabon Next LT" w:cs="Sabon Next LT"/>
          <w:sz w:val="21"/>
          <w:szCs w:val="21"/>
        </w:rPr>
      </w:pPr>
      <w:r>
        <w:rPr>
          <w:rFonts w:ascii="Sabon Next LT" w:hAnsi="Sabon Next LT" w:cs="Sabon Next LT"/>
          <w:sz w:val="21"/>
          <w:szCs w:val="21"/>
        </w:rPr>
        <w:t>[[CLIENT_NAME]]</w:t>
      </w:r>
    </w:p>
    <w:p w14:paraId="2CF9892B" w14:textId="77777777">
      <w:pPr>
        <w:spacing w:after="0" w:line="240" w:lineRule="auto"/>
        <w:rPr>
          <w:rFonts w:ascii="Sabon Next LT" w:hAnsi="Sabon Next LT" w:cs="Sabon Next LT"/>
          <w:sz w:val="21"/>
          <w:szCs w:val="21"/>
        </w:rPr>
      </w:pPr>
      <w:r>
        <w:rPr>
          <w:rFonts w:ascii="Sabon Next LT" w:hAnsi="Sabon Next LT" w:cs="Sabon Next LT"/>
          <w:sz w:val="21"/>
          <w:szCs w:val="21"/>
        </w:rPr>
        <w:t>[[CLIENT_ADDR1]]</w:t>
      </w:r>
    </w:p>
    <w:p w14:paraId="7C100717" w14:textId="77777777">
      <w:pPr>
        <w:spacing w:after="280"/>
        <w:rPr>
          <w:rFonts w:ascii="Sabon Next LT" w:hAnsi="Sabon Next LT" w:cs="Sabon Next LT"/>
          <w:sz w:val="21"/>
          <w:szCs w:val="21"/>
        </w:rPr>
      </w:pPr>
      <w:r>
        <w:rPr>
          <w:rFonts w:ascii="Sabon Next LT" w:hAnsi="Sabon Next LT" w:cs="Sabon Next LT"/>
          <w:sz w:val="21"/>
          <w:szCs w:val="21"/>
        </w:rPr>
        <w:t>[[CLIENT_ADDR2]]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8"/>
        <w:gridCol w:w="8478"/>
      </w:tblGrid>
      <w:tr w14:paraId="0445344D" w14:textId="77777777">
        <w:trPr>
          <w:trHeight w:hRule="exact" w:val="288"/>
        </w:trPr>
        <w:tc>
          <w:tcPr>
            <w:tcW w:w="1098" w:type="dxa"/>
          </w:tcPr>
          <w:p w14:paraId="389C13C1" w14:textId="77777777">
            <w:pPr>
              <w:pStyle w:val="BodyText"/>
              <w:spacing w:before="0" w:after="0"/>
              <w:rPr>
                <w:rFonts w:ascii="Sabon Next LT" w:hAnsi="Sabon Next LT" w:cs="Sabon Next LT"/>
                <w:sz w:val="21"/>
                <w:szCs w:val="21"/>
              </w:rPr>
            </w:pPr>
            <w:r>
              <w:rPr>
                <w:rFonts w:ascii="Sabon Next LT" w:hAnsi="Sabon Next LT" w:cs="Sabon Next LT"/>
                <w:sz w:val="21"/>
                <w:szCs w:val="21"/>
              </w:rPr>
              <w:t xml:space="preserve">Re: </w:t>
            </w:r>
          </w:p>
        </w:tc>
        <w:tc>
          <w:tcPr>
            <w:tcW w:w="8478" w:type="dxa"/>
          </w:tcPr>
          <w:p w14:paraId="56AEA037" w14:textId="77777777">
            <w:pPr>
              <w:pStyle w:val="BodyText"/>
              <w:spacing w:before="0" w:after="0"/>
              <w:rPr>
                <w:rFonts w:ascii="Sabon Next LT" w:hAnsi="Sabon Next LT" w:cs="Sabon Next LT"/>
                <w:sz w:val="21"/>
                <w:szCs w:val="21"/>
              </w:rPr>
            </w:pPr>
            <w:r>
              <w:rPr>
                <w:rFonts w:ascii="Sabon Next LT" w:hAnsi="Sabon Next LT" w:cs="Sabon Next LT"/>
                <w:sz w:val="21"/>
                <w:szCs w:val="21"/>
              </w:rPr>
              <w:t>Engagement Letter for Appraisal Services</w:t>
            </w:r>
          </w:p>
        </w:tc>
      </w:tr>
      <w:tr w14:paraId="3E36A952" w14:textId="77777777">
        <w:trPr>
          <w:trHeight w:hRule="exact" w:val="288"/>
        </w:trPr>
        <w:tc>
          <w:tcPr>
            <w:tcW w:w="1098" w:type="dxa"/>
          </w:tcPr>
          <w:p w14:paraId="6DF42B09" w14:textId="77777777">
            <w:pPr>
              <w:pStyle w:val="BodyText"/>
              <w:spacing w:before="0" w:after="0"/>
              <w:rPr>
                <w:rFonts w:ascii="Sabon Next LT" w:hAnsi="Sabon Next LT" w:cs="Sabon Next LT"/>
                <w:sz w:val="21"/>
                <w:szCs w:val="21"/>
              </w:rPr>
            </w:pPr>
          </w:p>
        </w:tc>
        <w:tc>
          <w:tcPr>
            <w:tcW w:w="8478" w:type="dxa"/>
          </w:tcPr>
          <w:p w14:paraId="4B23F9E5" w14:textId="77777777">
            <w:pPr>
              <w:pStyle w:val="BodyText"/>
              <w:spacing w:before="0" w:after="0"/>
              <w:rPr>
                <w:rFonts w:ascii="Sabon Next LT" w:hAnsi="Sabon Next LT" w:cs="Sabon Next LT"/>
                <w:sz w:val="21"/>
                <w:szCs w:val="21"/>
              </w:rPr>
            </w:pPr>
          </w:p>
        </w:tc>
      </w:tr>
      <w:tr w14:paraId="19D374E7" w14:textId="77777777">
        <w:trPr>
          <w:trHeight w:hRule="exact" w:val="288"/>
        </w:trPr>
        <w:tc>
          <w:tcPr>
            <w:tcW w:w="1098" w:type="dxa"/>
          </w:tcPr>
          <w:p w14:paraId="520A948A" w14:textId="77777777">
            <w:pPr>
              <w:pStyle w:val="BodyText"/>
              <w:spacing w:before="0" w:after="0"/>
              <w:rPr>
                <w:rFonts w:ascii="Sabon Next LT" w:hAnsi="Sabon Next LT" w:cs="Sabon Next LT"/>
                <w:sz w:val="21"/>
                <w:szCs w:val="21"/>
              </w:rPr>
            </w:pPr>
            <w:r>
              <w:rPr>
                <w:rFonts w:ascii="Sabon Next LT" w:hAnsi="Sabon Next LT" w:cs="Sabon Next LT"/>
                <w:sz w:val="21"/>
                <w:szCs w:val="21"/>
              </w:rPr>
              <w:t>Property:</w:t>
            </w:r>
          </w:p>
        </w:tc>
        <w:tc>
          <w:tcPr>
            <w:tcW w:w="8478" w:type="dxa"/>
          </w:tcPr>
          <w:p w14:paraId="7AF16598" w14:textId="480F25EE">
            <w:pPr>
              <w:pStyle w:val="BodyText"/>
              <w:spacing w:before="0" w:after="0"/>
              <w:rPr>
                <w:rFonts w:ascii="Sabon Next LT" w:hAnsi="Sabon Next LT" w:cs="Sabon Next LT"/>
                <w:sz w:val="21"/>
                <w:szCs w:val="21"/>
              </w:rPr>
            </w:pPr>
            <w:r>
              <w:rPr>
                <w:rFonts w:ascii="Sabon Next LT" w:hAnsi="Sabon Next LT" w:cs="Sabon Next LT"/>
                <w:sz w:val="21"/>
                <w:szCs w:val="21"/>
              </w:rPr>
              <w:t>[[PROPERTY_ADDRESS]]</w:t>
            </w:r>
          </w:p>
        </w:tc>
      </w:tr>
      <w:tr w14:paraId="43643C2E" w14:textId="77777777">
        <w:trPr>
          <w:trHeight w:hRule="exact" w:val="288"/>
        </w:trPr>
        <w:tc>
          <w:tcPr>
            <w:tcW w:w="1098" w:type="dxa"/>
          </w:tcPr>
          <w:p w14:paraId="60387EFC" w14:textId="77777777">
            <w:pPr>
              <w:pStyle w:val="BodyText"/>
              <w:spacing w:before="0" w:after="0"/>
              <w:rPr>
                <w:rFonts w:ascii="Sabon Next LT" w:hAnsi="Sabon Next LT" w:cs="Sabon Next LT"/>
                <w:sz w:val="21"/>
                <w:szCs w:val="21"/>
              </w:rPr>
            </w:pPr>
          </w:p>
        </w:tc>
        <w:tc>
          <w:tcPr>
            <w:tcW w:w="8478" w:type="dxa"/>
          </w:tcPr>
          <w:p w14:paraId="726C64CF" w14:textId="50E00D22">
            <w:pPr>
              <w:pStyle w:val="BodyText"/>
              <w:spacing w:before="0" w:after="0"/>
              <w:rPr>
                <w:rFonts w:ascii="Sabon Next LT" w:hAnsi="Sabon Next LT" w:cs="Sabon Next LT"/>
                <w:sz w:val="21"/>
                <w:szCs w:val="21"/>
              </w:rPr>
            </w:pPr>
            <w:r>
              <w:rPr>
                <w:rFonts w:ascii="Sabon Next LT" w:hAnsi="Sabon Next LT" w:cs="Sabon Next LT"/>
                <w:sz w:val="21"/>
                <w:szCs w:val="21"/>
              </w:rPr>
              <w:t>[[PROPERTY_CITY]], Alabama [[PROPERTY_ZIP]]</w:t>
            </w:r>
          </w:p>
        </w:tc>
      </w:tr>
    </w:tbl>
    <w:p w14:paraId="53E37F25" w14:textId="77777777">
      <w:pPr>
        <w:spacing w:before="240" w:after="240"/>
        <w:rPr>
          <w:rFonts w:ascii="Sabon Next LT" w:hAnsi="Sabon Next LT" w:cs="Sabon Next LT"/>
          <w:sz w:val="21"/>
          <w:szCs w:val="21"/>
        </w:rPr>
      </w:pPr>
      <w:r>
        <w:rPr>
          <w:rFonts w:ascii="Sabon Next LT" w:hAnsi="Sabon Next LT" w:cs="Sabon Next LT"/>
          <w:sz w:val="21"/>
          <w:szCs w:val="21"/>
        </w:rPr>
        <w:t>Dear [[CONTACT_SALUTATION]]:</w:t>
      </w:r>
    </w:p>
    <w:p w14:paraId="599187FB" w14:textId="77777777">
      <w:pPr>
        <w:spacing w:after="200"/>
        <w:rPr>
          <w:rFonts w:ascii="Sabon Next LT" w:hAnsi="Sabon Next LT" w:cs="Sabon Next LT"/>
          <w:sz w:val="21"/>
          <w:szCs w:val="21"/>
        </w:rPr>
      </w:pPr>
      <w:r>
        <w:rPr>
          <w:rFonts w:ascii="Sabon Next LT" w:hAnsi="Sabon Next LT" w:cs="Sabon Next LT"/>
          <w:sz w:val="21"/>
          <w:szCs w:val="21"/>
        </w:rPr>
        <w:t>This engagement letter confirms the terms under which Axiom Commercial Appraisal will provide appraisal services for the property identified below. This agreement is between Axiom Commercial Appraisal and [[CLIENT_NAME]] only. The appraisal assignment will be performed in accordance with the Uniform Standards of Professional Appraisal Practice (USPAP) and the terms described herein.</w:t>
      </w:r>
    </w:p>
    <w:p w14:paraId="3F1A8459" w14:textId="77777777">
      <w:pPr>
        <w:pStyle w:val="SectionLabel"/>
        <w:rPr>
          <w:sz w:val="22"/>
          <w:szCs w:val="22"/>
        </w:rPr>
      </w:pPr>
      <w:r>
        <w:rPr>
          <w:sz w:val="22"/>
          <w:szCs w:val="22"/>
        </w:rPr>
        <w:t>Property Identification</w:t>
      </w:r>
    </w:p>
    <w:tbl>
      <w:tblPr>
        <w:tblW w:w="9360" w:type="dxa"/>
        <w:tblBorders>
          <w:top w:val="single" w:sz="4" w:space="0" w:color="CCCCCC"/>
          <w:bottom w:val="single" w:sz="4" w:space="0" w:color="CCCCCC"/>
          <w:insideH w:val="single" w:sz="4" w:space="0" w:color="CCCCCC"/>
        </w:tblBorders>
        <w:tblLayout w:type="fixed"/>
        <w:tblCellMar>
          <w:top w:w="29" w:type="dxa"/>
          <w:left w:w="58" w:type="dxa"/>
          <w:bottom w:w="29" w:type="dxa"/>
          <w:right w:w="58" w:type="dxa"/>
        </w:tblCellMar>
        <w:tblLook w:val="0000" w:firstRow="0" w:lastRow="0" w:firstColumn="0" w:lastColumn="0" w:noHBand="0" w:noVBand="0"/>
      </w:tblPr>
      <w:tblGrid>
        <w:gridCol w:w="2160"/>
        <w:gridCol w:w="7200"/>
      </w:tblGrid>
      <w:tr w14:paraId="20762C01" w14:textId="77777777">
        <w:trPr>
          <w:trHeight w:val="317"/>
        </w:trPr>
        <w:tc>
          <w:tcPr>
            <w:tcW w:w="2160" w:type="dxa"/>
            <w:tcMar>
              <w:top w:w="80" w:type="dxa"/>
              <w:left w:w="140" w:type="dxa"/>
              <w:bottom w:w="80" w:type="dxa"/>
              <w:right w:w="100" w:type="dxa"/>
            </w:tcMar>
            <w:vAlign w:val="center"/>
          </w:tcPr>
          <w:p w14:paraId="77540DD7" w14:textId="77777777">
            <w:pPr>
              <w:spacing w:after="0" w:line="240" w:lineRule="auto"/>
              <w:rPr>
                <w:rFonts w:ascii="Articulat CF Medium" w:eastAsiaTheme="minorHAnsi" w:hAnsi="Articulat CF Medium" w:cs="Articulat CF Medium"/>
                <w:color w:val="3F2A66"/>
                <w:kern w:val="2"/>
                <w:sz w:val="20"/>
                <w:szCs w:val="20"/>
                <w14:ligatures w14:val="standardContextual"/>
              </w:rPr>
            </w:pPr>
            <w:r>
              <w:rPr>
                <w:rFonts w:ascii="Articulat CF Medium" w:eastAsiaTheme="minorHAnsi" w:hAnsi="Articulat CF Medium" w:cs="Articulat CF Medium"/>
                <w:color w:val="3F2A66"/>
                <w:kern w:val="2"/>
                <w:sz w:val="20"/>
                <w:szCs w:val="20"/>
                <w14:ligatures w14:val="standardContextual"/>
              </w:rPr>
              <w:t>Property Address:</w:t>
            </w:r>
          </w:p>
        </w:tc>
        <w:tc>
          <w:tcPr>
            <w:tcW w:w="7200" w:type="dxa"/>
            <w:tcMar>
              <w:top w:w="80" w:type="dxa"/>
              <w:left w:w="140" w:type="dxa"/>
              <w:bottom w:w="80" w:type="dxa"/>
              <w:right w:w="100" w:type="dxa"/>
            </w:tcMar>
            <w:vAlign w:val="center"/>
          </w:tcPr>
          <w:p w14:paraId="6EA3E431" w14:textId="3F5117AF">
            <w:pPr>
              <w:pStyle w:val="TableValue"/>
            </w:pPr>
            <w:r>
              <w:t>[[PROPERTY_ADDRESS]], [[PROPERTY_CITY]], Alabama [[PROPERTY_ZIP]]</w:t>
            </w:r>
          </w:p>
        </w:tc>
      </w:tr>
      <w:tr w14:paraId="00C2B565" w14:textId="77777777">
        <w:trPr>
          <w:trHeight w:val="317"/>
        </w:trPr>
        <w:tc>
          <w:tcPr>
            <w:tcW w:w="2160" w:type="dxa"/>
            <w:tcMar>
              <w:top w:w="80" w:type="dxa"/>
              <w:left w:w="140" w:type="dxa"/>
              <w:bottom w:w="80" w:type="dxa"/>
              <w:right w:w="100" w:type="dxa"/>
            </w:tcMar>
            <w:vAlign w:val="center"/>
          </w:tcPr>
          <w:p w14:paraId="2352F1C4" w14:textId="4E321366">
            <w:pPr>
              <w:spacing w:after="0" w:line="240" w:lineRule="auto"/>
              <w:rPr>
                <w:rFonts w:ascii="Articulat CF Medium" w:eastAsiaTheme="minorHAnsi" w:hAnsi="Articulat CF Medium" w:cs="Articulat CF Medium"/>
                <w:color w:val="3F2A66"/>
                <w:kern w:val="2"/>
                <w:sz w:val="20"/>
                <w:szCs w:val="20"/>
                <w14:ligatures w14:val="standardContextual"/>
              </w:rPr>
            </w:pPr>
            <w:r>
              <w:rPr>
                <w:rFonts w:ascii="Articulat CF Medium" w:eastAsiaTheme="minorHAnsi" w:hAnsi="Articulat CF Medium" w:cs="Articulat CF Medium"/>
                <w:color w:val="3F2A66"/>
                <w:kern w:val="2"/>
                <w:sz w:val="20"/>
                <w:szCs w:val="20"/>
                <w14:ligatures w14:val="standardContextual"/>
              </w:rPr>
              <w:t>County</w:t>
            </w:r>
          </w:p>
        </w:tc>
        <w:tc>
          <w:tcPr>
            <w:tcW w:w="7200" w:type="dxa"/>
            <w:tcMar>
              <w:top w:w="80" w:type="dxa"/>
              <w:left w:w="140" w:type="dxa"/>
              <w:bottom w:w="80" w:type="dxa"/>
              <w:right w:w="100" w:type="dxa"/>
            </w:tcMar>
            <w:vAlign w:val="center"/>
          </w:tcPr>
          <w:p w14:paraId="4011AA65" w14:textId="48FCDCEC">
            <w:pPr>
              <w:pStyle w:val="TableValue"/>
            </w:pPr>
            <w:r>
              <w:t>[[PROPERTY_COUNTY]] County</w:t>
            </w:r>
          </w:p>
        </w:tc>
      </w:tr>
      <w:tr w14:paraId="09F649AA" w14:textId="77777777">
        <w:trPr>
          <w:trHeight w:val="317"/>
        </w:trPr>
        <w:tc>
          <w:tcPr>
            <w:tcW w:w="2160" w:type="dxa"/>
            <w:tcMar>
              <w:top w:w="80" w:type="dxa"/>
              <w:left w:w="140" w:type="dxa"/>
              <w:bottom w:w="80" w:type="dxa"/>
              <w:right w:w="100" w:type="dxa"/>
            </w:tcMar>
            <w:vAlign w:val="center"/>
          </w:tcPr>
          <w:p w14:paraId="7082F41B" w14:textId="77777777">
            <w:pPr>
              <w:spacing w:after="0" w:line="240" w:lineRule="auto"/>
              <w:rPr>
                <w:rFonts w:ascii="Articulat CF Medium" w:eastAsiaTheme="minorHAnsi" w:hAnsi="Articulat CF Medium" w:cs="Articulat CF Medium"/>
                <w:color w:val="3F2A66"/>
                <w:kern w:val="2"/>
                <w:sz w:val="20"/>
                <w:szCs w:val="20"/>
                <w14:ligatures w14:val="standardContextual"/>
              </w:rPr>
            </w:pPr>
            <w:r>
              <w:rPr>
                <w:rFonts w:ascii="Articulat CF Medium" w:eastAsiaTheme="minorHAnsi" w:hAnsi="Articulat CF Medium" w:cs="Articulat CF Medium"/>
                <w:color w:val="3F2A66"/>
                <w:kern w:val="2"/>
                <w:sz w:val="20"/>
                <w:szCs w:val="20"/>
                <w14:ligatures w14:val="standardContextual"/>
              </w:rPr>
              <w:t>Tax Parcel Number:</w:t>
            </w:r>
          </w:p>
        </w:tc>
        <w:tc>
          <w:tcPr>
            <w:tcW w:w="7200" w:type="dxa"/>
            <w:tcMar>
              <w:top w:w="80" w:type="dxa"/>
              <w:left w:w="140" w:type="dxa"/>
              <w:bottom w:w="80" w:type="dxa"/>
              <w:right w:w="100" w:type="dxa"/>
            </w:tcMar>
            <w:vAlign w:val="center"/>
          </w:tcPr>
          <w:p w14:paraId="6ADBB687" w14:textId="77777777">
            <w:pPr>
              <w:pStyle w:val="TableValue"/>
            </w:pPr>
            <w:r>
              <w:t>[[PARCEL_ID]]</w:t>
            </w:r>
          </w:p>
        </w:tc>
      </w:tr>
      <w:tr w14:paraId="40E8718C" w14:textId="77777777">
        <w:trPr>
          <w:trHeight w:val="317"/>
        </w:trPr>
        <w:tc>
          <w:tcPr>
            <w:tcW w:w="2160" w:type="dxa"/>
            <w:tcMar>
              <w:top w:w="80" w:type="dxa"/>
              <w:left w:w="140" w:type="dxa"/>
              <w:bottom w:w="80" w:type="dxa"/>
              <w:right w:w="100" w:type="dxa"/>
            </w:tcMar>
            <w:vAlign w:val="center"/>
          </w:tcPr>
          <w:p w14:paraId="4874B288" w14:textId="77777777">
            <w:pPr>
              <w:spacing w:after="0" w:line="240" w:lineRule="auto"/>
              <w:rPr>
                <w:rFonts w:ascii="Articulat CF Medium" w:eastAsiaTheme="minorHAnsi" w:hAnsi="Articulat CF Medium" w:cs="Articulat CF Medium"/>
                <w:color w:val="3F2A66"/>
                <w:kern w:val="2"/>
                <w:sz w:val="20"/>
                <w:szCs w:val="20"/>
                <w14:ligatures w14:val="standardContextual"/>
              </w:rPr>
            </w:pPr>
            <w:r>
              <w:rPr>
                <w:rFonts w:ascii="Articulat CF Medium" w:eastAsiaTheme="minorHAnsi" w:hAnsi="Articulat CF Medium" w:cs="Articulat CF Medium"/>
                <w:color w:val="3F2A66"/>
                <w:kern w:val="2"/>
                <w:sz w:val="20"/>
                <w:szCs w:val="20"/>
                <w14:ligatures w14:val="standardContextual"/>
              </w:rPr>
              <w:t>Property Type:</w:t>
            </w:r>
          </w:p>
        </w:tc>
        <w:tc>
          <w:tcPr>
            <w:tcW w:w="7200" w:type="dxa"/>
            <w:tcMar>
              <w:top w:w="80" w:type="dxa"/>
              <w:left w:w="140" w:type="dxa"/>
              <w:bottom w:w="80" w:type="dxa"/>
              <w:right w:w="100" w:type="dxa"/>
            </w:tcMar>
            <w:vAlign w:val="center"/>
          </w:tcPr>
          <w:p w14:paraId="3FF1F8F4" w14:textId="77777777">
            <w:pPr>
              <w:pStyle w:val="TableValue"/>
            </w:pPr>
            <w:r>
              <w:t>[[PROPERTY_SUBTYPE_TABLE]]</w:t>
            </w:r>
          </w:p>
        </w:tc>
      </w:tr>
    </w:tbl>
    <w:p w14:paraId="27B705A9" w14:textId="77777777">
      <w:pPr>
        <w:spacing w:before="200" w:after="0" w:line="240" w:lineRule="auto"/>
        <w:rPr>
          <w:rFonts w:ascii="Articulat CF Medium" w:eastAsiaTheme="minorHAnsi" w:hAnsi="Articulat CF Medium" w:cs="Articulat CF Medium"/>
          <w:caps/>
          <w:color w:val="3F2A66"/>
          <w:spacing w:val="10"/>
          <w:kern w:val="2"/>
          <w14:ligatures w14:val="standardContextual"/>
        </w:rPr>
      </w:pPr>
      <w:r>
        <w:rPr>
          <w:rFonts w:ascii="Articulat CF Medium" w:eastAsiaTheme="minorHAnsi" w:hAnsi="Articulat CF Medium" w:cs="Articulat CF Medium"/>
          <w:caps/>
          <w:color w:val="3F2A66"/>
          <w:spacing w:val="10"/>
          <w:kern w:val="2"/>
          <w14:ligatures w14:val="standardContextual"/>
        </w:rPr>
        <w:t>Client &amp; Intended Use</w:t>
      </w:r>
    </w:p>
    <w:p w14:paraId="3360ECED" w14:textId="77777777">
      <w:pPr>
        <w:rPr>
          <w:rFonts w:ascii="Sabon Next LT" w:hAnsi="Sabon Next LT" w:cs="Sabon Next LT"/>
          <w:sz w:val="21"/>
          <w:szCs w:val="21"/>
        </w:rPr>
      </w:pPr>
      <w:r>
        <w:rPr>
          <w:rFonts w:ascii="Sabon Next LT" w:hAnsi="Sabon Next LT" w:cs="Sabon Next LT"/>
          <w:sz w:val="21"/>
          <w:szCs w:val="21"/>
        </w:rPr>
        <w:t>The client for this assignment is [[CONTACT_NAME]], [[CLIENT_NAME]]. The client is responsible for payment of the appraisal fee and communication regarding the scope of work unless otherwise agreed in writing. No other party may rely on the appraisal report without the prior written consent of Axiom Commercial Appraisal. Possession of the report does not create reliance rights for any party not specifically identified as an intended user.</w:t>
      </w:r>
    </w:p>
    <w:p w14:paraId="286E1358" w14:textId="77777777">
      <w:pPr>
        <w:rPr>
          <w:rFonts w:ascii="Sabon Next LT" w:hAnsi="Sabon Next LT" w:cs="Sabon Next LT"/>
          <w:sz w:val="21"/>
          <w:szCs w:val="21"/>
        </w:rPr>
      </w:pPr>
      <w:r>
        <w:rPr>
          <w:rFonts w:ascii="Sabon Next LT" w:hAnsi="Sabon Next LT" w:cs="Sabon Next LT"/>
          <w:sz w:val="21"/>
          <w:szCs w:val="21"/>
        </w:rPr>
        <w:t>The intended use of the appraisal is [[INTENDED_USE]]. The appraisal report may not be used for any other purpose without the prior written consent of Axiom Commercial Appraisal.</w:t>
      </w:r>
    </w:p>
    <w:p w14:paraId="7AF2C7D1" w14:textId="02CE19E1">
      <w:pPr>
        <w:spacing w:before="120" w:after="0" w:line="240" w:lineRule="auto"/>
        <w:rPr>
          <w:rFonts w:ascii="Articulat CF Medium" w:eastAsiaTheme="minorHAnsi" w:hAnsi="Articulat CF Medium" w:cs="Articulat CF Medium"/>
          <w:caps/>
          <w:color w:val="3F2A66"/>
          <w:spacing w:val="10"/>
          <w:kern w:val="2"/>
          <w14:ligatures w14:val="standardContextual"/>
        </w:rPr>
      </w:pPr>
      <w:r>
        <w:rPr>
          <w:rFonts w:ascii="Articulat CF Medium" w:eastAsiaTheme="minorHAnsi" w:hAnsi="Articulat CF Medium" w:cs="Articulat CF Medium"/>
          <w:caps/>
          <w:color w:val="3F2A66"/>
          <w:spacing w:val="10"/>
          <w:kern w:val="2"/>
          <w14:ligatures w14:val="standardContextual"/>
        </w:rPr>
        <w:t>Property Interest Appraised</w:t>
      </w:r>
    </w:p>
    <w:p w14:paraId="071B3A75" w14:textId="53ACBEC1">
      <w:pPr>
        <w:pStyle w:val="FirstParagraph"/>
        <w:spacing w:before="0" w:after="80" w:line="252" w:lineRule="auto"/>
        <w:rPr>
          <w:rFonts w:ascii="Sabon Next LT" w:eastAsia="Cambria" w:hAnsi="Sabon Next LT" w:cs="Sabon Next LT"/>
          <w:color w:val="000000"/>
          <w:sz w:val="21"/>
          <w:szCs w:val="21"/>
        </w:rPr>
      </w:pPr>
      <w:r>
        <w:rPr>
          <w:rFonts w:ascii="Sabon Next LT" w:eastAsia="Cambria" w:hAnsi="Sabon Next LT" w:cs="Sabon Next LT"/>
          <w:color w:val="000000"/>
          <w:sz w:val="21"/>
          <w:szCs w:val="21"/>
        </w:rPr>
        <w:t>The property interest to be appraised is the [[PROPERTY_RIGHTS]]. If leases, occupancy, easements, restrictions, or other property rights materially affect the subject property, the appraiser will consider such information to the extent it is provided, available, and relevant to the assignment.</w:t>
      </w:r>
      <w:r>
        <w:rPr>
          <w:rFonts w:ascii="Articulat CF Medium" w:hAnsi="Articulat CF Medium" w:cs="Articulat CF Medium"/>
          <w:caps/>
          <w:color w:val="3F2A66"/>
          <w:spacing w:val="10"/>
          <w:kern w:val="2"/>
          <w14:ligatures w14:val="standardContextual"/>
        </w:rPr>
        <w:br w:type="page"/>
      </w:r>
    </w:p>
    <w:p w14:paraId="19717785" w14:textId="6C0496D4">
      <w:pPr>
        <w:spacing w:before="120" w:after="0" w:line="240" w:lineRule="auto"/>
        <w:rPr>
          <w:rFonts w:ascii="Articulat CF Medium" w:eastAsiaTheme="minorHAnsi" w:hAnsi="Articulat CF Medium" w:cs="Articulat CF Medium"/>
          <w:caps/>
          <w:color w:val="3F2A66"/>
          <w:spacing w:val="10"/>
          <w:kern w:val="2"/>
          <w14:ligatures w14:val="standardContextual"/>
        </w:rPr>
      </w:pPr>
      <w:r>
        <w:rPr>
          <w:rFonts w:ascii="Articulat CF Medium" w:eastAsiaTheme="minorHAnsi" w:hAnsi="Articulat CF Medium" w:cs="Articulat CF Medium"/>
          <w:caps/>
          <w:color w:val="3F2A66"/>
          <w:spacing w:val="10"/>
          <w:kern w:val="2"/>
          <w14:ligatures w14:val="standardContextual"/>
        </w:rPr>
        <w:lastRenderedPageBreak/>
        <w:t>Type and Definition of Value</w:t>
      </w:r>
    </w:p>
    <w:p w14:paraId="3102D839" w14:textId="3FD8E9C9">
      <w:pPr>
        <w:pStyle w:val="FirstParagraph"/>
        <w:spacing w:before="0" w:after="80" w:line="252" w:lineRule="auto"/>
        <w:rPr>
          <w:rFonts w:ascii="Sabon Next LT" w:eastAsia="Cambria" w:hAnsi="Sabon Next LT" w:cs="Sabon Next LT"/>
          <w:color w:val="000000"/>
          <w:sz w:val="21"/>
          <w:szCs w:val="21"/>
        </w:rPr>
      </w:pPr>
      <w:r>
        <w:rPr>
          <w:rFonts w:ascii="Sabon Next LT" w:eastAsia="Cambria" w:hAnsi="Sabon Next LT" w:cs="Sabon Next LT"/>
          <w:color w:val="000000"/>
          <w:sz w:val="21"/>
          <w:szCs w:val="21"/>
        </w:rPr>
        <w:t>The type of value to be developed is market value. The applicable definition of value will be stated in the appraisal report. Unless otherwise stated, the valuation will be developed on an “as is” basis as of the effective date of value.</w:t>
      </w:r>
    </w:p>
    <w:p w14:paraId="55BE9793" w14:textId="05CB5053">
      <w:pPr>
        <w:spacing w:before="120" w:after="0" w:line="240" w:lineRule="auto"/>
        <w:rPr>
          <w:rFonts w:ascii="Articulat CF Medium" w:eastAsiaTheme="minorHAnsi" w:hAnsi="Articulat CF Medium" w:cs="Articulat CF Medium"/>
          <w:caps/>
          <w:color w:val="3F2A66"/>
          <w:spacing w:val="10"/>
          <w:kern w:val="2"/>
          <w14:ligatures w14:val="standardContextual"/>
        </w:rPr>
      </w:pPr>
      <w:r>
        <w:rPr>
          <w:rFonts w:ascii="Articulat CF Medium" w:eastAsiaTheme="minorHAnsi" w:hAnsi="Articulat CF Medium" w:cs="Articulat CF Medium"/>
          <w:caps/>
          <w:color w:val="3F2A66"/>
          <w:spacing w:val="10"/>
          <w:kern w:val="2"/>
          <w14:ligatures w14:val="standardContextual"/>
        </w:rPr>
        <w:t>effective date of value</w:t>
      </w:r>
    </w:p>
    <w:p w14:paraId="0BC9D652" w14:textId="5DFE2D6B">
      <w:pPr>
        <w:pStyle w:val="FirstParagraph"/>
        <w:spacing w:before="0" w:after="80" w:line="252" w:lineRule="auto"/>
        <w:rPr>
          <w:rFonts w:ascii="Sabon Next LT" w:eastAsia="Cambria" w:hAnsi="Sabon Next LT" w:cs="Sabon Next LT"/>
          <w:color w:val="000000"/>
          <w:sz w:val="21"/>
          <w:szCs w:val="21"/>
        </w:rPr>
      </w:pPr>
      <w:r>
        <w:rPr>
          <w:rFonts w:ascii="Sabon Next LT" w:eastAsia="Cambria" w:hAnsi="Sabon Next LT" w:cs="Sabon Next LT"/>
          <w:color w:val="000000"/>
          <w:sz w:val="21"/>
          <w:szCs w:val="21"/>
        </w:rPr>
        <w:t>The effective date of value will be the date of the property inspection. If the effective date of value differs from the date of inspection, that distinction will be clearly stated in the appraisal report.</w:t>
      </w:r>
    </w:p>
    <w:p w14:paraId="32160820" w14:textId="5DCC3015">
      <w:pPr>
        <w:spacing w:before="120" w:after="0" w:line="240" w:lineRule="auto"/>
        <w:rPr>
          <w:rFonts w:ascii="Articulat CF Medium" w:eastAsiaTheme="minorHAnsi" w:hAnsi="Articulat CF Medium" w:cs="Articulat CF Medium"/>
          <w:caps/>
          <w:color w:val="3F2A66"/>
          <w:spacing w:val="10"/>
          <w:kern w:val="2"/>
          <w14:ligatures w14:val="standardContextual"/>
        </w:rPr>
      </w:pPr>
      <w:r>
        <w:rPr>
          <w:rFonts w:ascii="Articulat CF Medium" w:eastAsiaTheme="minorHAnsi" w:hAnsi="Articulat CF Medium" w:cs="Articulat CF Medium"/>
          <w:caps/>
          <w:color w:val="3F2A66"/>
          <w:spacing w:val="10"/>
          <w:kern w:val="2"/>
          <w14:ligatures w14:val="standardContextual"/>
        </w:rPr>
        <w:t>Report Type</w:t>
      </w:r>
    </w:p>
    <w:p w14:paraId="12427F02" w14:textId="63049154">
      <w:pPr>
        <w:pStyle w:val="FirstParagraph"/>
        <w:spacing w:before="0" w:after="80" w:line="252" w:lineRule="auto"/>
        <w:rPr>
          <w:rFonts w:ascii="Sabon Next LT" w:eastAsia="Cambria" w:hAnsi="Sabon Next LT" w:cs="Sabon Next LT"/>
          <w:color w:val="000000"/>
          <w:sz w:val="21"/>
          <w:szCs w:val="21"/>
        </w:rPr>
      </w:pPr>
      <w:r>
        <w:rPr>
          <w:rFonts w:ascii="Sabon Next LT" w:eastAsia="Cambria" w:hAnsi="Sabon Next LT" w:cs="Sabon Next LT"/>
          <w:color w:val="000000"/>
          <w:sz w:val="21"/>
          <w:szCs w:val="21"/>
        </w:rPr>
        <w:t>The appraisal will be communicated as a [[REPORT_TYPE]]. The level of detail will be appropriate for the intended use, intended users, property type, and scope of work.</w:t>
      </w:r>
    </w:p>
    <w:p w14:paraId="3392DFBE" w14:textId="77777777">
      <w:pPr>
        <w:spacing w:before="120" w:after="0" w:line="240" w:lineRule="auto"/>
        <w:rPr>
          <w:rFonts w:ascii="Articulat CF Medium" w:eastAsiaTheme="minorHAnsi" w:hAnsi="Articulat CF Medium" w:cs="Articulat CF Medium"/>
          <w:caps/>
          <w:color w:val="3F2A66"/>
          <w:spacing w:val="10"/>
          <w:kern w:val="2"/>
          <w14:ligatures w14:val="standardContextual"/>
        </w:rPr>
      </w:pPr>
      <w:r>
        <w:rPr>
          <w:rFonts w:ascii="Articulat CF Medium" w:eastAsiaTheme="minorHAnsi" w:hAnsi="Articulat CF Medium" w:cs="Articulat CF Medium"/>
          <w:caps/>
          <w:color w:val="3F2A66"/>
          <w:spacing w:val="10"/>
          <w:kern w:val="2"/>
          <w14:ligatures w14:val="standardContextual"/>
        </w:rPr>
        <w:t>Scope of Work</w:t>
      </w:r>
    </w:p>
    <w:p w14:paraId="249E52CB" w14:textId="77777777">
      <w:pPr>
        <w:rPr>
          <w:rFonts w:ascii="Sabon Next LT" w:hAnsi="Sabon Next LT" w:cs="Sabon Next LT"/>
          <w:sz w:val="21"/>
          <w:szCs w:val="21"/>
        </w:rPr>
      </w:pPr>
      <w:r>
        <w:rPr>
          <w:rFonts w:ascii="Sabon Next LT" w:hAnsi="Sabon Next LT" w:cs="Sabon Next LT"/>
          <w:sz w:val="21"/>
          <w:szCs w:val="21"/>
        </w:rPr>
        <w:t>The scope of work is expected to include, as applicable: identification of the subject property and relevant property rights; review of available public records, tax records, deed records, zoning information, floodplain information, and market data; review of property information provided by the client; inspection of the subject property; research and analysis of relevant market data; development of applicable valuation approaches; and preparation and delivery of a written appraisal report.</w:t>
      </w:r>
    </w:p>
    <w:p w14:paraId="33262AE1" w14:textId="4D2A588D">
      <w:pPr>
        <w:rPr>
          <w:rFonts w:ascii="Sabon Next LT" w:hAnsi="Sabon Next LT" w:cs="Sabon Next LT"/>
          <w:sz w:val="21"/>
          <w:szCs w:val="21"/>
        </w:rPr>
      </w:pPr>
      <w:r>
        <w:rPr>
          <w:rFonts w:ascii="Sabon Next LT" w:hAnsi="Sabon Next LT" w:cs="Sabon Next LT"/>
          <w:sz w:val="21"/>
          <w:szCs w:val="21"/>
        </w:rPr>
        <w:t>The appraiser will determine the appropriate scope of work necessary to produce credible assignment results. The scope may be modified if additional information, property complexity, access limitations, or other conditions are discovered during the course of the assignment.</w:t>
      </w:r>
    </w:p>
    <w:p w14:paraId="2162CB65" w14:textId="77777777">
      <w:pPr>
        <w:spacing w:before="120" w:after="0" w:line="240" w:lineRule="auto"/>
        <w:rPr>
          <w:rFonts w:ascii="Articulat CF Medium" w:eastAsiaTheme="minorHAnsi" w:hAnsi="Articulat CF Medium" w:cs="Articulat CF Medium"/>
          <w:caps/>
          <w:color w:val="3F2A66"/>
          <w:spacing w:val="10"/>
          <w:kern w:val="2"/>
          <w14:ligatures w14:val="standardContextual"/>
        </w:rPr>
      </w:pPr>
      <w:r>
        <w:rPr>
          <w:rFonts w:ascii="Articulat CF Medium" w:eastAsiaTheme="minorHAnsi" w:hAnsi="Articulat CF Medium" w:cs="Articulat CF Medium"/>
          <w:caps/>
          <w:color w:val="3F2A66"/>
          <w:spacing w:val="10"/>
          <w:kern w:val="2"/>
          <w14:ligatures w14:val="standardContextual"/>
        </w:rPr>
        <w:t>Approaches to Value</w:t>
      </w:r>
    </w:p>
    <w:p w14:paraId="66219BFC" w14:textId="77777777">
      <w:pPr>
        <w:pStyle w:val="FirstParagraph"/>
        <w:spacing w:before="0" w:after="80" w:line="252" w:lineRule="auto"/>
        <w:rPr>
          <w:rFonts w:ascii="Sabon Next LT" w:eastAsia="Cambria" w:hAnsi="Sabon Next LT" w:cs="Sabon Next LT"/>
          <w:color w:val="000000"/>
          <w:sz w:val="21"/>
          <w:szCs w:val="21"/>
        </w:rPr>
      </w:pPr>
      <w:r>
        <w:rPr>
          <w:rFonts w:ascii="Sabon Next LT" w:eastAsia="Cambria" w:hAnsi="Sabon Next LT" w:cs="Sabon Next LT"/>
          <w:color w:val="000000"/>
          <w:sz w:val="21"/>
          <w:szCs w:val="21"/>
        </w:rPr>
        <w:t>The appraiser will consider the Cost Approach, Sales Comparison Approach, and Income Approach, as applicable. The approaches developed will depend on the property type, available data, intended use, and relevance of each approach to the assignment. The appraisal report will explain which approaches were developed and which, if any, were considered but not developed.</w:t>
      </w:r>
    </w:p>
    <w:p w14:paraId="3269F887" w14:textId="77777777">
      <w:pPr>
        <w:spacing w:before="120" w:after="0" w:line="240" w:lineRule="auto"/>
        <w:rPr>
          <w:rFonts w:ascii="Articulat CF Medium" w:eastAsiaTheme="minorHAnsi" w:hAnsi="Articulat CF Medium" w:cs="Articulat CF Medium"/>
          <w:caps/>
          <w:color w:val="3F2A66"/>
          <w:spacing w:val="10"/>
          <w:kern w:val="2"/>
          <w14:ligatures w14:val="standardContextual"/>
        </w:rPr>
      </w:pPr>
      <w:r>
        <w:rPr>
          <w:rFonts w:ascii="Articulat CF Medium" w:eastAsiaTheme="minorHAnsi" w:hAnsi="Articulat CF Medium" w:cs="Articulat CF Medium"/>
          <w:caps/>
          <w:color w:val="3F2A66"/>
          <w:spacing w:val="10"/>
          <w:kern w:val="2"/>
          <w14:ligatures w14:val="standardContextual"/>
        </w:rPr>
        <w:t>Property Inspection</w:t>
      </w:r>
    </w:p>
    <w:p w14:paraId="26700EB0" w14:textId="77777777">
      <w:pPr>
        <w:pStyle w:val="FirstParagraph"/>
        <w:spacing w:before="0" w:after="80" w:line="252" w:lineRule="auto"/>
        <w:rPr>
          <w:rFonts w:ascii="Sabon Next LT" w:eastAsia="Cambria" w:hAnsi="Sabon Next LT" w:cs="Sabon Next LT"/>
          <w:color w:val="000000"/>
          <w:sz w:val="21"/>
          <w:szCs w:val="21"/>
        </w:rPr>
      </w:pPr>
      <w:r>
        <w:rPr>
          <w:rFonts w:ascii="Sabon Next LT" w:eastAsia="Cambria" w:hAnsi="Sabon Next LT" w:cs="Sabon Next LT"/>
          <w:color w:val="000000"/>
          <w:sz w:val="21"/>
          <w:szCs w:val="21"/>
        </w:rPr>
        <w:t>The appraiser will conduct a visual inspection of the subject property unless otherwise agreed in writing. The inspection is for appraisal purposes only. It is not a property condition assessment, engineering inspection, environmental assessment, roof inspection, survey, code compliance inspection, or building’s systems evaluation.</w:t>
      </w:r>
    </w:p>
    <w:p w14:paraId="33F03FE5" w14:textId="77777777">
      <w:pPr>
        <w:rPr>
          <w:rFonts w:ascii="Sabon Next LT" w:hAnsi="Sabon Next LT" w:cs="Sabon Next LT"/>
          <w:sz w:val="21"/>
          <w:szCs w:val="21"/>
        </w:rPr>
      </w:pPr>
      <w:r>
        <w:rPr>
          <w:rFonts w:ascii="Sabon Next LT" w:hAnsi="Sabon Next LT" w:cs="Sabon Next LT"/>
          <w:sz w:val="21"/>
          <w:szCs w:val="21"/>
        </w:rPr>
        <w:t>Unless specifically stated otherwise, the appraisal will value the real property only. Personal property, furniture, fixtures, equipment, inventory, business value, going-concern value, franchise value, and other intangible assets are excluded unless expressly included in the scope of work.</w:t>
      </w:r>
    </w:p>
    <w:p w14:paraId="38FE8C25" w14:textId="77777777">
      <w:pPr>
        <w:spacing w:after="0" w:line="240" w:lineRule="auto"/>
        <w:rPr>
          <w:rFonts w:ascii="Articulat CF Medium" w:eastAsiaTheme="minorHAnsi" w:hAnsi="Articulat CF Medium" w:cs="Articulat CF Medium"/>
          <w:caps/>
          <w:color w:val="3F2A66"/>
          <w:spacing w:val="10"/>
          <w:kern w:val="2"/>
          <w14:ligatures w14:val="standardContextual"/>
        </w:rPr>
      </w:pPr>
      <w:r>
        <w:rPr>
          <w:rFonts w:ascii="Articulat CF Medium" w:eastAsiaTheme="minorHAnsi" w:hAnsi="Articulat CF Medium" w:cs="Articulat CF Medium"/>
          <w:caps/>
          <w:color w:val="3F2A66"/>
          <w:spacing w:val="10"/>
          <w:kern w:val="2"/>
          <w14:ligatures w14:val="standardContextual"/>
        </w:rPr>
        <w:br w:type="page"/>
      </w:r>
    </w:p>
    <w:p w14:paraId="22CFF262" w14:textId="3ECC26F0">
      <w:pPr>
        <w:spacing w:after="0" w:line="240" w:lineRule="auto"/>
        <w:rPr>
          <w:rFonts w:ascii="Articulat CF Medium" w:eastAsiaTheme="minorHAnsi" w:hAnsi="Articulat CF Medium" w:cs="Articulat CF Medium"/>
          <w:caps/>
          <w:color w:val="3F2A66"/>
          <w:spacing w:val="10"/>
          <w:kern w:val="2"/>
          <w14:ligatures w14:val="standardContextual"/>
        </w:rPr>
      </w:pPr>
      <w:r>
        <w:rPr>
          <w:rFonts w:ascii="Articulat CF Medium" w:eastAsiaTheme="minorHAnsi" w:hAnsi="Articulat CF Medium" w:cs="Articulat CF Medium"/>
          <w:caps/>
          <w:color w:val="3F2A66"/>
          <w:spacing w:val="10"/>
          <w:kern w:val="2"/>
          <w14:ligatures w14:val="standardContextual"/>
        </w:rPr>
        <w:lastRenderedPageBreak/>
        <w:t>Environmental, Legal, and Technical Matters</w:t>
      </w:r>
    </w:p>
    <w:p w14:paraId="1E926A4D" w14:textId="77777777">
      <w:pPr>
        <w:pStyle w:val="FirstParagraph"/>
        <w:spacing w:before="0" w:after="80" w:line="252" w:lineRule="auto"/>
        <w:rPr>
          <w:rFonts w:ascii="Sabon Next LT" w:hAnsi="Sabon Next LT" w:cs="Sabon Next LT"/>
          <w:sz w:val="22"/>
          <w:szCs w:val="22"/>
        </w:rPr>
      </w:pPr>
      <w:r>
        <w:rPr>
          <w:rFonts w:ascii="Sabon Next LT" w:hAnsi="Sabon Next LT" w:cs="Sabon Next LT"/>
          <w:sz w:val="22"/>
          <w:szCs w:val="22"/>
        </w:rPr>
        <w:t>The appraisal will assume, unless otherwise stated, that the property is free of environmental contamination, hazardous materials, adverse subsurface conditions, title defects, encroachments, zoning violations, building code violations, and other legal or technical defects that would materially affect value.</w:t>
      </w:r>
    </w:p>
    <w:p w14:paraId="7204D77F" w14:textId="77777777">
      <w:pPr>
        <w:pStyle w:val="BodyText"/>
        <w:spacing w:before="0" w:after="80" w:line="252" w:lineRule="auto"/>
        <w:rPr>
          <w:rFonts w:ascii="Sabon Next LT" w:hAnsi="Sabon Next LT" w:cs="Sabon Next LT"/>
          <w:sz w:val="22"/>
          <w:szCs w:val="22"/>
        </w:rPr>
      </w:pPr>
      <w:r>
        <w:rPr>
          <w:rFonts w:ascii="Sabon Next LT" w:hAnsi="Sabon Next LT" w:cs="Sabon Next LT"/>
          <w:sz w:val="22"/>
          <w:szCs w:val="22"/>
        </w:rPr>
        <w:t>The appraiser is not qualified to detect or evaluate hazardous substances, structural defects, environmental conditions, legal title issues, survey matters, building code compliance, engineering matters, or other specialized conditions. If any such matters are material to the assignment, the client should obtain reports from qualified professionals.</w:t>
      </w:r>
    </w:p>
    <w:p w14:paraId="3A7CBA20" w14:textId="77777777">
      <w:pPr>
        <w:spacing w:before="120" w:after="0" w:line="240" w:lineRule="auto"/>
        <w:rPr>
          <w:rFonts w:ascii="Articulat CF Medium" w:eastAsiaTheme="minorHAnsi" w:hAnsi="Articulat CF Medium" w:cs="Articulat CF Medium"/>
          <w:caps/>
          <w:color w:val="3F2A66"/>
          <w:spacing w:val="10"/>
          <w:kern w:val="2"/>
          <w14:ligatures w14:val="standardContextual"/>
        </w:rPr>
      </w:pPr>
      <w:r>
        <w:rPr>
          <w:rFonts w:ascii="Articulat CF Medium" w:eastAsiaTheme="minorHAnsi" w:hAnsi="Articulat CF Medium" w:cs="Articulat CF Medium"/>
          <w:caps/>
          <w:color w:val="3F2A66"/>
          <w:spacing w:val="10"/>
          <w:kern w:val="2"/>
          <w14:ligatures w14:val="standardContextual"/>
        </w:rPr>
        <w:t>Information Requested</w:t>
      </w:r>
    </w:p>
    <w:p w14:paraId="5DFD2ACD" w14:textId="77777777">
      <w:pPr>
        <w:rPr>
          <w:rFonts w:ascii="Sabon Next LT" w:hAnsi="Sabon Next LT" w:cs="Sabon Next LT"/>
          <w:sz w:val="21"/>
          <w:szCs w:val="21"/>
        </w:rPr>
      </w:pPr>
      <w:r>
        <w:rPr>
          <w:rFonts w:ascii="Sabon Next LT" w:hAnsi="Sabon Next LT" w:cs="Sabon Next LT"/>
          <w:sz w:val="21"/>
          <w:szCs w:val="21"/>
        </w:rPr>
        <w:t>The client agrees to provide, or assist in obtaining, reasonably available property information relevant to the assignment. Requested information may include current rent roll and copies of leases; operating statements and current budget; tax bills and insurance information; survey, site plan, or building plans; purchase agreement or listing information; environmental or property condition reports; contact information for inspection access.</w:t>
      </w:r>
    </w:p>
    <w:p w14:paraId="545FD7C2" w14:textId="77777777">
      <w:pPr>
        <w:rPr>
          <w:rFonts w:ascii="Sabon Next LT" w:hAnsi="Sabon Next LT" w:cs="Sabon Next LT"/>
          <w:sz w:val="21"/>
          <w:szCs w:val="21"/>
        </w:rPr>
      </w:pPr>
      <w:r>
        <w:rPr>
          <w:rFonts w:ascii="Sabon Next LT" w:hAnsi="Sabon Next LT" w:cs="Sabon Next LT"/>
          <w:sz w:val="21"/>
          <w:szCs w:val="21"/>
        </w:rPr>
        <w:t>The appraiser may rely on information provided by the client, property owner, property manager, broker, public records, or other sources considered reliable. The appraiser is not responsible for errors or omissions in information provided by others, unless such errors or omissions are known or should be reasonably apparent during the assignment.</w:t>
      </w:r>
    </w:p>
    <w:p w14:paraId="435AB10E" w14:textId="0F4CE759">
      <w:pPr>
        <w:spacing w:before="120" w:after="0" w:line="240" w:lineRule="auto"/>
        <w:rPr>
          <w:rFonts w:ascii="Articulat CF Medium" w:eastAsiaTheme="minorHAnsi" w:hAnsi="Articulat CF Medium" w:cs="Articulat CF Medium"/>
          <w:caps/>
          <w:color w:val="3F2A66"/>
          <w:spacing w:val="10"/>
          <w:kern w:val="2"/>
          <w14:ligatures w14:val="standardContextual"/>
        </w:rPr>
      </w:pPr>
      <w:r>
        <w:rPr>
          <w:rFonts w:ascii="Articulat CF Medium" w:eastAsiaTheme="minorHAnsi" w:hAnsi="Articulat CF Medium" w:cs="Articulat CF Medium"/>
          <w:caps/>
          <w:color w:val="3F2A66"/>
          <w:spacing w:val="10"/>
          <w:kern w:val="2"/>
          <w14:ligatures w14:val="standardContextual"/>
        </w:rPr>
        <w:t>Confidentiality</w:t>
      </w:r>
    </w:p>
    <w:p w14:paraId="094735AA" w14:textId="77777777">
      <w:pPr>
        <w:rPr>
          <w:rFonts w:ascii="Sabon Next LT" w:hAnsi="Sabon Next LT" w:cs="Sabon Next LT"/>
          <w:sz w:val="21"/>
          <w:szCs w:val="21"/>
        </w:rPr>
      </w:pPr>
      <w:r>
        <w:rPr>
          <w:rFonts w:ascii="Sabon Next LT" w:hAnsi="Sabon Next LT" w:cs="Sabon Next LT"/>
          <w:sz w:val="21"/>
          <w:szCs w:val="21"/>
        </w:rPr>
        <w:t>The appraiser will maintain the confidentiality of assignment results and confidential information in accordance with applicable professional standards and law. The appraisal report will not be disclosed to parties other than the client and identified intended user(s), except as authorized by the client, required by law, required by subpoena or court order, required for professional peer review, or otherwise permitted by applicable professional standards.</w:t>
      </w:r>
    </w:p>
    <w:p w14:paraId="0B6BE429" w14:textId="04E7122C">
      <w:pPr>
        <w:spacing w:before="120" w:after="0" w:line="240" w:lineRule="auto"/>
        <w:rPr>
          <w:rFonts w:ascii="Articulat CF Medium" w:eastAsiaTheme="minorHAnsi" w:hAnsi="Articulat CF Medium" w:cs="Articulat CF Medium"/>
          <w:caps/>
          <w:color w:val="3F2A66"/>
          <w:spacing w:val="10"/>
          <w:kern w:val="2"/>
          <w14:ligatures w14:val="standardContextual"/>
        </w:rPr>
      </w:pPr>
      <w:r>
        <w:rPr>
          <w:rFonts w:ascii="Articulat CF Medium" w:eastAsiaTheme="minorHAnsi" w:hAnsi="Articulat CF Medium" w:cs="Articulat CF Medium"/>
          <w:caps/>
          <w:color w:val="3F2A66"/>
          <w:spacing w:val="10"/>
          <w:kern w:val="2"/>
          <w14:ligatures w14:val="standardContextual"/>
        </w:rPr>
        <w:t>Fee</w:t>
      </w:r>
    </w:p>
    <w:p w14:paraId="451CA195" w14:textId="17573B06">
      <w:pPr>
        <w:pStyle w:val="SectionLabel"/>
        <w:spacing w:before="0"/>
        <w:rPr>
          <w:rFonts w:ascii="Sabon Next LT" w:eastAsia="Cambria" w:hAnsi="Sabon Next LT" w:cs="Sabon Next LT"/>
          <w:caps w:val="0"/>
          <w:color w:val="000000"/>
          <w:spacing w:val="0"/>
          <w:kern w:val="0"/>
          <w:sz w:val="21"/>
          <w:szCs w:val="21"/>
          <w14:ligatures w14:val="none"/>
        </w:rPr>
      </w:pPr>
      <w:r>
        <w:rPr>
          <w:rFonts w:ascii="Sabon Next LT" w:eastAsia="Cambria" w:hAnsi="Sabon Next LT" w:cs="Sabon Next LT"/>
          <w:caps w:val="0"/>
          <w:color w:val="000000"/>
          <w:spacing w:val="0"/>
          <w:kern w:val="0"/>
          <w:sz w:val="21"/>
          <w:szCs w:val="21"/>
          <w14:ligatures w14:val="none"/>
        </w:rPr>
        <w:t>The fee and for this assignment will be:</w:t>
      </w:r>
    </w:p>
    <w:tbl>
      <w:tblPr>
        <w:tblW w:w="9360" w:type="dxa"/>
        <w:tblBorders>
          <w:top w:val="single" w:sz="4" w:space="0" w:color="CCCCCC"/>
          <w:bottom w:val="single" w:sz="4" w:space="0" w:color="CCCCCC"/>
          <w:insideH w:val="single" w:sz="4" w:space="0" w:color="CCCCCC"/>
        </w:tblBorders>
        <w:tblLayout w:type="fixed"/>
        <w:tblCellMar>
          <w:top w:w="29" w:type="dxa"/>
          <w:left w:w="58" w:type="dxa"/>
          <w:bottom w:w="29" w:type="dxa"/>
          <w:right w:w="58" w:type="dxa"/>
        </w:tblCellMar>
        <w:tblLook w:val="0000" w:firstRow="0" w:lastRow="0" w:firstColumn="0" w:lastColumn="0" w:noHBand="0" w:noVBand="0"/>
      </w:tblPr>
      <w:tblGrid>
        <w:gridCol w:w="2250"/>
        <w:gridCol w:w="7110"/>
      </w:tblGrid>
      <w:tr w14:paraId="41C6B455" w14:textId="77777777">
        <w:trPr>
          <w:trHeight w:val="317"/>
        </w:trPr>
        <w:tc>
          <w:tcPr>
            <w:tcW w:w="2250" w:type="dxa"/>
            <w:tcMar>
              <w:top w:w="80" w:type="dxa"/>
              <w:left w:w="140" w:type="dxa"/>
              <w:bottom w:w="80" w:type="dxa"/>
              <w:right w:w="100" w:type="dxa"/>
            </w:tcMar>
            <w:vAlign w:val="center"/>
          </w:tcPr>
          <w:p w14:paraId="766F9CCE" w14:textId="77777777">
            <w:pPr>
              <w:spacing w:after="0" w:line="240" w:lineRule="auto"/>
              <w:rPr>
                <w:rFonts w:ascii="Articulat CF Medium" w:eastAsiaTheme="minorHAnsi" w:hAnsi="Articulat CF Medium" w:cs="Articulat CF Medium"/>
                <w:color w:val="3F2A66"/>
                <w:kern w:val="2"/>
                <w:sz w:val="20"/>
                <w:szCs w:val="20"/>
                <w14:ligatures w14:val="standardContextual"/>
              </w:rPr>
            </w:pPr>
            <w:r>
              <w:rPr>
                <w:rFonts w:ascii="Articulat CF Medium" w:eastAsiaTheme="minorHAnsi" w:hAnsi="Articulat CF Medium" w:cs="Articulat CF Medium"/>
                <w:color w:val="3F2A66"/>
                <w:kern w:val="2"/>
                <w:sz w:val="20"/>
                <w:szCs w:val="20"/>
                <w14:ligatures w14:val="standardContextual"/>
              </w:rPr>
              <w:t>Fee</w:t>
            </w:r>
          </w:p>
        </w:tc>
        <w:tc>
          <w:tcPr>
            <w:tcW w:w="7110" w:type="dxa"/>
            <w:tcMar>
              <w:top w:w="80" w:type="dxa"/>
              <w:left w:w="140" w:type="dxa"/>
              <w:bottom w:w="80" w:type="dxa"/>
              <w:right w:w="100" w:type="dxa"/>
            </w:tcMar>
            <w:vAlign w:val="center"/>
          </w:tcPr>
          <w:p w14:paraId="32DF7636" w14:textId="4AFD1D6E">
            <w:pPr>
              <w:pStyle w:val="TableValue"/>
            </w:pPr>
            <w:r>
              <w:t>[[FEE_AMOUNT]]</w:t>
            </w:r>
          </w:p>
        </w:tc>
      </w:tr>
      <w:tr w14:paraId="40A8478F" w14:textId="77777777">
        <w:trPr>
          <w:trHeight w:val="317"/>
        </w:trPr>
        <w:tc>
          <w:tcPr>
            <w:tcW w:w="2250" w:type="dxa"/>
            <w:tcMar>
              <w:top w:w="80" w:type="dxa"/>
              <w:left w:w="140" w:type="dxa"/>
              <w:bottom w:w="80" w:type="dxa"/>
              <w:right w:w="100" w:type="dxa"/>
            </w:tcMar>
            <w:vAlign w:val="center"/>
          </w:tcPr>
          <w:p w14:paraId="7F00FBFD" w14:textId="77777777">
            <w:pPr>
              <w:spacing w:after="0" w:line="240" w:lineRule="auto"/>
              <w:rPr>
                <w:rFonts w:ascii="Articulat CF Medium" w:eastAsiaTheme="minorHAnsi" w:hAnsi="Articulat CF Medium" w:cs="Articulat CF Medium"/>
                <w:color w:val="3F2A66"/>
                <w:kern w:val="2"/>
                <w:sz w:val="20"/>
                <w:szCs w:val="20"/>
                <w14:ligatures w14:val="standardContextual"/>
              </w:rPr>
            </w:pPr>
            <w:r>
              <w:rPr>
                <w:rFonts w:ascii="Articulat CF Medium" w:eastAsiaTheme="minorHAnsi" w:hAnsi="Articulat CF Medium" w:cs="Articulat CF Medium"/>
                <w:color w:val="3F2A66"/>
                <w:kern w:val="2"/>
                <w:sz w:val="20"/>
                <w:szCs w:val="20"/>
                <w14:ligatures w14:val="standardContextual"/>
              </w:rPr>
              <w:t>Payment Terms</w:t>
            </w:r>
          </w:p>
        </w:tc>
        <w:tc>
          <w:tcPr>
            <w:tcW w:w="7110" w:type="dxa"/>
            <w:tcMar>
              <w:top w:w="80" w:type="dxa"/>
              <w:left w:w="140" w:type="dxa"/>
              <w:bottom w:w="80" w:type="dxa"/>
              <w:right w:w="100" w:type="dxa"/>
            </w:tcMar>
            <w:vAlign w:val="center"/>
          </w:tcPr>
          <w:p w14:paraId="63D01451" w14:textId="77777777">
            <w:pPr>
              <w:pStyle w:val="TableValue"/>
            </w:pPr>
            <w:r>
              <w:t>Payment is due prior to delivery of the report</w:t>
            </w:r>
          </w:p>
        </w:tc>
      </w:tr>
    </w:tbl>
    <w:p w14:paraId="12CE1484" w14:textId="77777777">
      <w:pPr>
        <w:spacing w:before="200"/>
        <w:rPr>
          <w:rFonts w:ascii="Sabon Next LT" w:hAnsi="Sabon Next LT" w:cs="Sabon Next LT"/>
          <w:sz w:val="21"/>
          <w:szCs w:val="21"/>
        </w:rPr>
      </w:pPr>
      <w:r>
        <w:rPr>
          <w:rFonts w:ascii="Sabon Next LT" w:hAnsi="Sabon Next LT" w:cs="Sabon Next LT"/>
          <w:sz w:val="21"/>
          <w:szCs w:val="21"/>
        </w:rPr>
        <w:t>The quoted is based on the scope of work currently understood. If the assignment proves materially more complex than anticipated, or if the client requests additional services beyond the agreed scope, the fee may be revised by mutual written agreement.</w:t>
      </w:r>
    </w:p>
    <w:p w14:paraId="06F5BE15" w14:textId="77777777">
      <w:pPr>
        <w:rPr>
          <w:rFonts w:ascii="Sabon Next LT" w:hAnsi="Sabon Next LT" w:cs="Sabon Next LT"/>
          <w:sz w:val="21"/>
          <w:szCs w:val="21"/>
        </w:rPr>
      </w:pPr>
      <w:r>
        <w:rPr>
          <w:rFonts w:ascii="Sabon Next LT" w:hAnsi="Sabon Next LT" w:cs="Sabon Next LT"/>
          <w:sz w:val="21"/>
          <w:szCs w:val="21"/>
        </w:rPr>
        <w:t>Payment is due in accordance with the fee terms stated above. Unless otherwise agreed in writing, the appraisal report may be withheld until all required payments have been received. Past-due balances may be subject to reasonable collection costs, administrative fees, and any remedies available under applicable law. The client is responsible for payment regardless of the outcome, conclusion, or utility of the appraisal report.</w:t>
      </w:r>
    </w:p>
    <w:p w14:paraId="1C89F2F7" w14:textId="77777777">
      <w:pPr>
        <w:spacing w:before="120" w:after="0" w:line="240" w:lineRule="auto"/>
        <w:rPr>
          <w:rFonts w:ascii="Articulat CF Medium" w:eastAsiaTheme="minorHAnsi" w:hAnsi="Articulat CF Medium" w:cs="Articulat CF Medium"/>
          <w:caps/>
          <w:color w:val="3F2A66"/>
          <w:spacing w:val="10"/>
          <w:kern w:val="2"/>
          <w14:ligatures w14:val="standardContextual"/>
        </w:rPr>
      </w:pPr>
      <w:r>
        <w:rPr>
          <w:rFonts w:ascii="Articulat CF Medium" w:eastAsiaTheme="minorHAnsi" w:hAnsi="Articulat CF Medium" w:cs="Articulat CF Medium"/>
          <w:caps/>
          <w:color w:val="3F2A66"/>
          <w:spacing w:val="10"/>
          <w:kern w:val="2"/>
          <w14:ligatures w14:val="standardContextual"/>
        </w:rPr>
        <w:lastRenderedPageBreak/>
        <w:t>Turnaround Time &amp; Delivery</w:t>
      </w:r>
    </w:p>
    <w:p w14:paraId="4F2C1660" w14:textId="77777777">
      <w:pPr>
        <w:rPr>
          <w:rFonts w:ascii="Sabon Next LT" w:hAnsi="Sabon Next LT" w:cs="Sabon Next LT"/>
          <w:sz w:val="21"/>
          <w:szCs w:val="21"/>
        </w:rPr>
      </w:pPr>
      <w:r>
        <w:rPr>
          <w:rFonts w:ascii="Sabon Next LT" w:hAnsi="Sabon Next LT" w:cs="Sabon Next LT"/>
          <w:sz w:val="21"/>
          <w:szCs w:val="21"/>
        </w:rPr>
        <w:t>The estimated delivery timeframe is [[TURNAROUND_DAYS]] from receipt of the signed engagement letter, required retainer, necessary property information, and inspection access. This timeframe is an estimate and may be affected by property access, delayed documents, assignment complexity, data availability, or other factors outside the appraiser’s control.</w:t>
      </w:r>
    </w:p>
    <w:p w14:paraId="7C1B5BAC" w14:textId="1C4BB110">
      <w:pPr>
        <w:rPr>
          <w:rFonts w:ascii="Sabon Next LT" w:hAnsi="Sabon Next LT" w:cs="Sabon Next LT"/>
          <w:sz w:val="21"/>
          <w:szCs w:val="21"/>
        </w:rPr>
      </w:pPr>
      <w:r>
        <w:rPr>
          <w:rFonts w:ascii="Sabon Next LT" w:hAnsi="Sabon Next LT" w:cs="Sabon Next LT"/>
          <w:sz w:val="21"/>
          <w:szCs w:val="21"/>
        </w:rPr>
        <w:t>The appraisal report will be delivered electronically in PDF format via email. Hard copies are available upon request. The anticipated delivery date is [[DELIVERY_DATE]].</w:t>
      </w:r>
    </w:p>
    <w:p w14:paraId="08E675B2" w14:textId="6A475F9E">
      <w:pPr>
        <w:spacing w:before="120" w:after="0" w:line="240" w:lineRule="auto"/>
        <w:rPr>
          <w:rFonts w:ascii="Articulat CF Medium" w:eastAsiaTheme="minorHAnsi" w:hAnsi="Articulat CF Medium" w:cs="Articulat CF Medium"/>
          <w:caps/>
          <w:color w:val="3F2A66"/>
          <w:spacing w:val="10"/>
          <w:kern w:val="2"/>
          <w14:ligatures w14:val="standardContextual"/>
        </w:rPr>
      </w:pPr>
      <w:r>
        <w:rPr>
          <w:rFonts w:ascii="Articulat CF Medium" w:eastAsiaTheme="minorHAnsi" w:hAnsi="Articulat CF Medium" w:cs="Articulat CF Medium"/>
          <w:caps/>
          <w:color w:val="3F2A66"/>
          <w:spacing w:val="10"/>
          <w:kern w:val="2"/>
          <w14:ligatures w14:val="standardContextual"/>
        </w:rPr>
        <w:t>Revisions and Additional Services</w:t>
      </w:r>
    </w:p>
    <w:p w14:paraId="0C3DE929" w14:textId="77777777">
      <w:pPr>
        <w:rPr>
          <w:rFonts w:ascii="Sabon Next LT" w:hAnsi="Sabon Next LT" w:cs="Sabon Next LT"/>
          <w:sz w:val="21"/>
          <w:szCs w:val="21"/>
        </w:rPr>
      </w:pPr>
      <w:r>
        <w:rPr>
          <w:rFonts w:ascii="Sabon Next LT" w:hAnsi="Sabon Next LT" w:cs="Sabon Next LT"/>
          <w:sz w:val="21"/>
          <w:szCs w:val="21"/>
        </w:rPr>
        <w:t>The appraisal fee includes reasonable clarification of the completed report. Substantive revisions, additional analyses, additional report versions, meetings, testimony, consultation, or changes in scope requested after delivery will be billed separately at [[HOURLY_RATE]] per hour, or as otherwise agreed in writing.</w:t>
      </w:r>
    </w:p>
    <w:p w14:paraId="2FC872BC" w14:textId="59A5EBE4">
      <w:pPr>
        <w:spacing w:before="120" w:after="0"/>
        <w:rPr>
          <w:rFonts w:ascii="Articulat CF Medium" w:eastAsiaTheme="minorHAnsi" w:hAnsi="Articulat CF Medium" w:cs="Articulat CF Medium"/>
          <w:caps/>
          <w:color w:val="3F2A66"/>
          <w:spacing w:val="10"/>
          <w:kern w:val="2"/>
          <w14:ligatures w14:val="standardContextual"/>
        </w:rPr>
      </w:pPr>
      <w:r>
        <w:rPr>
          <w:rFonts w:ascii="Articulat CF Medium" w:eastAsiaTheme="minorHAnsi" w:hAnsi="Articulat CF Medium" w:cs="Articulat CF Medium"/>
          <w:caps/>
          <w:color w:val="3F2A66"/>
          <w:spacing w:val="10"/>
          <w:kern w:val="2"/>
          <w14:ligatures w14:val="standardContextual"/>
        </w:rPr>
        <w:t>Assignment Cancellation</w:t>
      </w:r>
    </w:p>
    <w:p w14:paraId="37E66C3E" w14:textId="30D00D1F">
      <w:pPr>
        <w:rPr>
          <w:rFonts w:ascii="Sabon Next LT" w:hAnsi="Sabon Next LT" w:cs="Sabon Next LT"/>
          <w:sz w:val="21"/>
          <w:szCs w:val="21"/>
        </w:rPr>
      </w:pPr>
      <w:r>
        <w:rPr>
          <w:rFonts w:ascii="Sabon Next LT" w:hAnsi="Sabon Next LT" w:cs="Sabon Next LT"/>
          <w:sz w:val="21"/>
          <w:szCs w:val="21"/>
        </w:rPr>
        <w:t>If this assignment is cancelled after acceptance, the client will be responsible for fees incurred based on work completed as of the cancellation date. This will include time expended, research completed, inspection preparation, travel, and other assignment-related costs.</w:t>
      </w:r>
    </w:p>
    <w:p w14:paraId="3E2685EA" w14:textId="08945F8F">
      <w:pPr>
        <w:spacing w:before="120" w:after="0"/>
        <w:rPr>
          <w:rFonts w:ascii="Articulat CF Medium" w:eastAsiaTheme="minorHAnsi" w:hAnsi="Articulat CF Medium" w:cs="Articulat CF Medium"/>
          <w:caps/>
          <w:color w:val="3F2A66"/>
          <w:spacing w:val="10"/>
          <w:kern w:val="2"/>
          <w14:ligatures w14:val="standardContextual"/>
        </w:rPr>
      </w:pPr>
      <w:r>
        <w:rPr>
          <w:rFonts w:ascii="Articulat CF Medium" w:eastAsiaTheme="minorHAnsi" w:hAnsi="Articulat CF Medium" w:cs="Articulat CF Medium"/>
          <w:caps/>
          <w:color w:val="3F2A66"/>
          <w:spacing w:val="10"/>
          <w:kern w:val="2"/>
          <w14:ligatures w14:val="standardContextual"/>
        </w:rPr>
        <w:t>No Contingent Fee</w:t>
      </w:r>
    </w:p>
    <w:p w14:paraId="66EC2870" w14:textId="77777777">
      <w:pPr>
        <w:rPr>
          <w:rFonts w:ascii="Sabon Next LT" w:hAnsi="Sabon Next LT" w:cs="Sabon Next LT"/>
          <w:sz w:val="21"/>
          <w:szCs w:val="21"/>
        </w:rPr>
      </w:pPr>
      <w:r>
        <w:rPr>
          <w:rFonts w:ascii="Sabon Next LT" w:hAnsi="Sabon Next LT" w:cs="Sabon Next LT"/>
          <w:sz w:val="21"/>
          <w:szCs w:val="21"/>
        </w:rPr>
        <w:t>The appraisal fee is not contingent upon the value conclusion, loan approval, transaction outcome, tax outcome, litigation outcome, or occurrence of any subsequent event. The appraiser’s compensation is solely for professional appraisal services rendered.</w:t>
      </w:r>
    </w:p>
    <w:p w14:paraId="1131CA53" w14:textId="23B31DB4">
      <w:pPr>
        <w:spacing w:before="120" w:after="0" w:line="240" w:lineRule="auto"/>
        <w:rPr>
          <w:rFonts w:ascii="Articulat CF Medium" w:eastAsiaTheme="minorHAnsi" w:hAnsi="Articulat CF Medium" w:cs="Articulat CF Medium"/>
          <w:caps/>
          <w:color w:val="3F2A66"/>
          <w:spacing w:val="10"/>
          <w:kern w:val="2"/>
          <w14:ligatures w14:val="standardContextual"/>
        </w:rPr>
      </w:pPr>
      <w:r>
        <w:rPr>
          <w:rFonts w:ascii="Articulat CF Medium" w:eastAsiaTheme="minorHAnsi" w:hAnsi="Articulat CF Medium" w:cs="Articulat CF Medium"/>
          <w:caps/>
          <w:color w:val="3F2A66"/>
          <w:spacing w:val="10"/>
          <w:kern w:val="2"/>
          <w14:ligatures w14:val="standardContextual"/>
        </w:rPr>
        <w:t>Appraiser Independence</w:t>
      </w:r>
    </w:p>
    <w:p w14:paraId="3E2B954A" w14:textId="77777777">
      <w:pPr>
        <w:rPr>
          <w:rFonts w:ascii="Sabon Next LT" w:hAnsi="Sabon Next LT" w:cs="Sabon Next LT"/>
          <w:sz w:val="21"/>
          <w:szCs w:val="21"/>
        </w:rPr>
      </w:pPr>
      <w:r>
        <w:rPr>
          <w:rFonts w:ascii="Sabon Next LT" w:hAnsi="Sabon Next LT" w:cs="Sabon Next LT"/>
          <w:sz w:val="21"/>
          <w:szCs w:val="21"/>
        </w:rPr>
        <w:t>The appraiser will perform the assignment independently, objectively, and impartially. The client agrees not to condition payment, continued engagement, or future assignments on a predetermined value, direction in value, specific result, or occurrence of any subsequent event.</w:t>
      </w:r>
    </w:p>
    <w:p w14:paraId="2B21A2A3" w14:textId="1484D56C">
      <w:pPr>
        <w:spacing w:before="120" w:after="0"/>
        <w:rPr>
          <w:rFonts w:ascii="Articulat CF Medium" w:eastAsiaTheme="minorHAnsi" w:hAnsi="Articulat CF Medium" w:cs="Articulat CF Medium"/>
          <w:caps/>
          <w:color w:val="3F2A66"/>
          <w:spacing w:val="10"/>
          <w:kern w:val="2"/>
          <w14:ligatures w14:val="standardContextual"/>
        </w:rPr>
      </w:pPr>
      <w:r>
        <w:rPr>
          <w:rFonts w:ascii="Articulat CF Medium" w:eastAsiaTheme="minorHAnsi" w:hAnsi="Articulat CF Medium" w:cs="Articulat CF Medium"/>
          <w:caps/>
          <w:color w:val="3F2A66"/>
          <w:spacing w:val="10"/>
          <w:kern w:val="2"/>
          <w14:ligatures w14:val="standardContextual"/>
        </w:rPr>
        <w:t>Use, Reliance, and Distribution</w:t>
      </w:r>
    </w:p>
    <w:p w14:paraId="44691644" w14:textId="264641F4">
      <w:pPr>
        <w:rPr>
          <w:rFonts w:ascii="Sabon Next LT" w:hAnsi="Sabon Next LT" w:cs="Sabon Next LT"/>
          <w:sz w:val="21"/>
          <w:szCs w:val="21"/>
        </w:rPr>
      </w:pPr>
      <w:r>
        <w:rPr>
          <w:rFonts w:ascii="Sabon Next LT" w:hAnsi="Sabon Next LT" w:cs="Sabon Next LT"/>
          <w:sz w:val="21"/>
          <w:szCs w:val="21"/>
        </w:rPr>
        <w:t>This appraisal is intended only for the intended use and intended user(s) identified in this engagement letter and in the report itself. The report may not be distributed, published, reproduced, quoted, or relied upon by other parties without prior written consent from Axiom Commercial Appraisal, except as required by law or regulation. Any unauthorized use or reliance is at the user’s own risk.</w:t>
      </w:r>
    </w:p>
    <w:p w14:paraId="45B9B9D5" w14:textId="77777777">
      <w:pPr>
        <w:spacing w:after="0" w:line="240" w:lineRule="auto"/>
        <w:rPr>
          <w:rFonts w:ascii="Articulat CF Medium" w:eastAsiaTheme="minorHAnsi" w:hAnsi="Articulat CF Medium" w:cs="Articulat CF Medium"/>
          <w:caps/>
          <w:color w:val="3F2A66"/>
          <w:spacing w:val="10"/>
          <w:kern w:val="2"/>
          <w14:ligatures w14:val="standardContextual"/>
        </w:rPr>
      </w:pPr>
      <w:r>
        <w:rPr>
          <w:rFonts w:ascii="Articulat CF Medium" w:eastAsiaTheme="minorHAnsi" w:hAnsi="Articulat CF Medium" w:cs="Articulat CF Medium"/>
          <w:caps/>
          <w:color w:val="3F2A66"/>
          <w:spacing w:val="10"/>
          <w:kern w:val="2"/>
          <w14:ligatures w14:val="standardContextual"/>
        </w:rPr>
        <w:br w:type="page"/>
      </w:r>
    </w:p>
    <w:p w14:paraId="0B19D07B" w14:textId="298746F4">
      <w:pPr>
        <w:spacing w:before="120" w:after="0"/>
        <w:rPr>
          <w:rFonts w:ascii="Sabon Next LT" w:hAnsi="Sabon Next LT" w:cs="Sabon Next LT"/>
          <w:sz w:val="21"/>
          <w:szCs w:val="21"/>
        </w:rPr>
      </w:pPr>
      <w:r>
        <w:rPr>
          <w:rFonts w:ascii="Articulat CF Medium" w:eastAsiaTheme="minorHAnsi" w:hAnsi="Articulat CF Medium" w:cs="Articulat CF Medium"/>
          <w:caps/>
          <w:color w:val="3F2A66"/>
          <w:spacing w:val="10"/>
          <w:kern w:val="2"/>
          <w14:ligatures w14:val="standardContextual"/>
        </w:rPr>
        <w:lastRenderedPageBreak/>
        <w:t>Acceptance</w:t>
      </w:r>
    </w:p>
    <w:p w14:paraId="785FBB13" w14:textId="77777777">
      <w:pPr>
        <w:rPr>
          <w:rFonts w:ascii="Sabon Next LT" w:hAnsi="Sabon Next LT" w:cs="Sabon Next LT"/>
          <w:sz w:val="21"/>
          <w:szCs w:val="21"/>
        </w:rPr>
      </w:pPr>
      <w:r>
        <w:rPr>
          <w:rFonts w:ascii="Sabon Next LT" w:hAnsi="Sabon Next LT" w:cs="Sabon Next LT"/>
          <w:sz w:val="21"/>
          <w:szCs w:val="21"/>
        </w:rPr>
        <w:t>If the terms described in this engagement letter are acceptable, please sign below and return a signed copy to Axiom Commercial Appraisal. Engagement will begin upon receipt of the signed engagement letter and required retainer, unless otherwise agreed in writing.</w:t>
      </w:r>
    </w:p>
    <w:p w14:paraId="0F2FDCA3" w14:textId="139BAE33">
      <w:pPr>
        <w:rPr>
          <w:rFonts w:ascii="Sabon Next LT" w:hAnsi="Sabon Next LT" w:cs="Sabon Next LT"/>
          <w:sz w:val="21"/>
          <w:szCs w:val="21"/>
        </w:rPr>
      </w:pPr>
      <w:r>
        <w:rPr>
          <w:rFonts w:ascii="Sabon Next LT" w:hAnsi="Sabon Next LT" w:cs="Sabon Next LT"/>
          <w:sz w:val="21"/>
          <w:szCs w:val="21"/>
        </w:rPr>
        <w:t>Please note that we cannot commence work on this assignment without receipt of a countersigned copy of this engagement letter.</w:t>
      </w:r>
    </w:p>
    <w:p w14:paraId="0B98B12E" w14:textId="77777777">
      <w:pPr>
        <w:spacing w:before="280" w:after="480"/>
        <w:rPr>
          <w:rFonts w:ascii="Sabon Next LT" w:hAnsi="Sabon Next LT" w:cs="Sabon Next LT"/>
          <w:sz w:val="21"/>
          <w:szCs w:val="21"/>
        </w:rPr>
      </w:pPr>
      <w:r>
        <w:rPr>
          <w:rFonts w:ascii="Sabon Next LT" w:hAnsi="Sabon Next LT" w:cs="Sabon Next LT"/>
          <w:sz w:val="21"/>
          <w:szCs w:val="21"/>
        </w:rPr>
        <w:t>Respectfully submitted,</w:t>
      </w:r>
    </w:p>
    <w:p w14:paraId="29605909" w14:textId="77777777">
      <w:pPr>
        <w:pStyle w:val="Body"/>
        <w:spacing w:before="120" w:line="240" w:lineRule="auto"/>
      </w:pPr>
      <w:r>
        <w:rPr>
          <w:noProof/>
        </w:rPr>
        <w:drawing>
          <wp:inline distT="0" distB="0" distL="0" distR="0" wp14:anchorId="0E2F627B" wp14:editId="1939BF7F">
            <wp:extent cx="1499384" cy="264795"/>
            <wp:effectExtent l="0" t="0" r="5715" b="1905"/>
            <wp:docPr id="1121750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474777" name="Picture 2090474777"/>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13128" cy="320203"/>
                    </a:xfrm>
                    <a:prstGeom prst="rect">
                      <a:avLst/>
                    </a:prstGeom>
                  </pic:spPr>
                </pic:pic>
              </a:graphicData>
            </a:graphic>
          </wp:inline>
        </w:drawing>
      </w:r>
    </w:p>
    <w:p w14:paraId="13F41687" w14:textId="70447AFE">
      <w:pPr>
        <w:spacing w:before="120"/>
      </w:pPr>
      <w:r>
        <w:rPr>
          <w:rFonts w:ascii="Sabon LT Pro" w:hAnsi="Sabon LT Pro" w:cs="Sabon Next LT"/>
        </w:rPr>
        <w:t>Derek Ryan Munro</w:t>
      </w:r>
      <w:r>
        <w:br/>
      </w:r>
      <w:r>
        <w:rPr>
          <w:sz w:val="20"/>
          <w:szCs w:val="20"/>
        </w:rPr>
        <w:t>Certified General Real Property Appraiser</w:t>
      </w:r>
      <w:r>
        <w:rPr>
          <w:sz w:val="20"/>
          <w:szCs w:val="20"/>
        </w:rPr>
        <w:br/>
        <w:t>Ala. License No. 003056</w:t>
      </w:r>
    </w:p>
    <w:p w14:paraId="139B38E8" w14:textId="77777777">
      <w:pPr>
        <w:spacing w:before="360"/>
      </w:pPr>
    </w:p>
    <w:tbl>
      <w:tblPr>
        <w:tblW w:w="9360" w:type="dxa"/>
        <w:shd w:val="clear" w:color="auto" w:fill="F2F2F2" w:themeFill="background1" w:themeFillShade="F2"/>
        <w:tblCellMar>
          <w:left w:w="10" w:type="dxa"/>
          <w:right w:w="10" w:type="dxa"/>
        </w:tblCellMar>
        <w:tblLook w:val="0000" w:firstRow="0" w:lastRow="0" w:firstColumn="0" w:lastColumn="0" w:noHBand="0" w:noVBand="0"/>
      </w:tblPr>
      <w:tblGrid>
        <w:gridCol w:w="9360"/>
      </w:tblGrid>
      <w:tr w14:paraId="2FB3BD87" w14:textId="77777777">
        <w:tc>
          <w:tcPr>
            <w:tcW w:w="9360" w:type="dxa"/>
            <w:shd w:val="clear" w:color="auto" w:fill="F2F2F2" w:themeFill="background1" w:themeFillShade="F2"/>
            <w:tcMar>
              <w:top w:w="180" w:type="dxa"/>
              <w:left w:w="220" w:type="dxa"/>
              <w:bottom w:w="180" w:type="dxa"/>
              <w:right w:w="220" w:type="dxa"/>
            </w:tcMar>
          </w:tcPr>
          <w:p w14:paraId="1610FA4F" w14:textId="77777777">
            <w:pPr>
              <w:rPr>
                <w:rFonts w:ascii="Sabon LT Pro" w:hAnsi="Sabon LT Pro" w:cs="Sabon Next LT"/>
                <w:b/>
                <w:bCs/>
                <w:color w:val="auto"/>
                <w:spacing w:val="4"/>
              </w:rPr>
            </w:pPr>
            <w:r>
              <w:rPr>
                <w:rFonts w:ascii="Sabon LT Pro" w:hAnsi="Sabon LT Pro" w:cs="Sabon Next LT"/>
                <w:b/>
                <w:bCs/>
                <w:caps/>
                <w:color w:val="auto"/>
                <w:spacing w:val="4"/>
              </w:rPr>
              <w:t>ACCEPTANCE</w:t>
            </w:r>
          </w:p>
          <w:p w14:paraId="245F6432" w14:textId="77777777">
            <w:pPr>
              <w:spacing w:after="100"/>
              <w:rPr>
                <w:rFonts w:ascii="Sabon Next LT" w:hAnsi="Sabon Next LT" w:cs="Sabon Next LT"/>
              </w:rPr>
            </w:pPr>
            <w:r>
              <w:rPr>
                <w:rFonts w:ascii="Sabon Next LT" w:hAnsi="Sabon Next LT" w:cs="Sabon Next LT"/>
                <w:i/>
                <w:iCs/>
                <w:color w:val="555555"/>
                <w:sz w:val="20"/>
                <w:szCs w:val="20"/>
              </w:rPr>
              <w:t>By signing below, the undersigned acknowledges receipt and acceptance of the terms of this engagement letter.</w:t>
            </w:r>
          </w:p>
          <w:p w14:paraId="7A938E2E" w14:textId="77777777">
            <w:pPr>
              <w:spacing w:after="120"/>
              <w:rPr>
                <w:rFonts w:ascii="Sabon Next LT" w:hAnsi="Sabon Next LT" w:cs="Sabon Next LT"/>
              </w:rPr>
            </w:pPr>
            <w:r>
              <w:rPr>
                <w:rFonts w:ascii="Sabon Next LT" w:hAnsi="Sabon Next LT" w:cs="Sabon Next LT"/>
                <w:b/>
                <w:bCs/>
                <w:sz w:val="20"/>
                <w:szCs w:val="20"/>
              </w:rPr>
              <w:t xml:space="preserve">Client: </w:t>
            </w:r>
            <w:r>
              <w:rPr>
                <w:rFonts w:ascii="Sabon Next LT" w:hAnsi="Sabon Next LT" w:cs="Sabon Next LT"/>
                <w:sz w:val="20"/>
                <w:szCs w:val="20"/>
              </w:rPr>
              <w:t>[[CONTACT_NAME]], [[CLIENT_NAME]]</w:t>
            </w:r>
          </w:p>
          <w:p w14:paraId="09C26783" w14:textId="77777777">
            <w:pPr>
              <w:pBdr>
                <w:bottom w:val="single" w:sz="4" w:space="1" w:color="AAAAAA"/>
              </w:pBdr>
              <w:spacing w:before="160" w:after="60"/>
              <w:rPr>
                <w:rFonts w:ascii="Sabon Next LT" w:hAnsi="Sabon Next LT" w:cs="Sabon Next LT"/>
              </w:rPr>
            </w:pPr>
            <w:r>
              <w:rPr>
                <w:rFonts w:ascii="Sabon Next LT" w:hAnsi="Sabon Next LT" w:cs="Sabon Next LT"/>
                <w:sz w:val="32"/>
                <w:szCs w:val="32"/>
              </w:rPr>
              <w:t xml:space="preserve"> </w:t>
            </w:r>
          </w:p>
          <w:p w14:paraId="0209B62E" w14:textId="77777777">
            <w:pPr>
              <w:spacing w:before="40" w:after="120"/>
              <w:rPr>
                <w:rFonts w:ascii="Sabon Next LT" w:hAnsi="Sabon Next LT" w:cs="Sabon Next LT"/>
              </w:rPr>
            </w:pPr>
            <w:r>
              <w:t>{{Sig_es_:signer1:signature}}                                                            {{Dat_es_:signer1:date}}</w:t>
            </w:r>
          </w:p>
          <w:p w14:paraId="0209B62E" w14:textId="77777777">
            <w:pPr>
              <w:spacing w:before="40" w:after="120"/>
              <w:rPr>
                <w:rFonts w:ascii="Sabon Next LT" w:hAnsi="Sabon Next LT" w:cs="Sabon Next LT"/>
              </w:rPr>
            </w:pPr>
            <w:r>
              <w:rPr>
                <w:rFonts w:ascii="Sabon Next LT" w:hAnsi="Sabon Next LT" w:cs="Sabon Next LT"/>
                <w:color w:val="999999"/>
                <w:sz w:val="16"/>
                <w:szCs w:val="16"/>
              </w:rPr>
              <w:t>Authorized Signature</w:t>
            </w:r>
            <w:r>
              <w:rPr>
                <w:rFonts w:ascii="Sabon Next LT" w:hAnsi="Sabon Next LT" w:cs="Sabon Next LT"/>
                <w:sz w:val="16"/>
                <w:szCs w:val="16"/>
              </w:rPr>
              <w:t xml:space="preserve">                                                              </w:t>
            </w:r>
            <w:r>
              <w:rPr>
                <w:rFonts w:ascii="Sabon Next LT" w:hAnsi="Sabon Next LT" w:cs="Sabon Next LT"/>
                <w:color w:val="999999"/>
                <w:sz w:val="16"/>
                <w:szCs w:val="16"/>
              </w:rPr>
              <w:t>Date</w:t>
            </w:r>
          </w:p>
          <w:p w14:paraId="499EAEEB" w14:textId="77777777">
            <w:pPr>
              <w:pBdr>
                <w:bottom w:val="single" w:sz="4" w:space="1" w:color="AAAAAA"/>
              </w:pBdr>
              <w:spacing w:before="80" w:after="60"/>
              <w:rPr>
                <w:rFonts w:ascii="Sabon Next LT" w:hAnsi="Sabon Next LT" w:cs="Sabon Next LT"/>
              </w:rPr>
            </w:pPr>
            <w:r>
              <w:rPr>
                <w:rFonts w:ascii="Sabon Next LT" w:hAnsi="Sabon Next LT" w:cs="Sabon Next LT"/>
                <w:sz w:val="32"/>
                <w:szCs w:val="32"/>
              </w:rPr>
              <w:t xml:space="preserve"> </w:t>
            </w:r>
          </w:p>
          <w:p w14:paraId="67A94DA7" w14:textId="63D293A1">
            <w:pPr>
              <w:spacing w:before="40" w:after="120"/>
              <w:rPr>
                <w:rFonts w:ascii="Sabon Next LT" w:hAnsi="Sabon Next LT" w:cs="Sabon Next LT"/>
              </w:rPr>
            </w:pPr>
            <w:r>
              <w:t>{{Nam_es_:signer1:fullname}}                                                            {{Ttl_es_:signer1:title}}</w:t>
            </w:r>
          </w:p>
          <w:p w14:paraId="67A94DA7" w14:textId="63D293A1">
            <w:pPr>
              <w:spacing w:before="40" w:after="120"/>
              <w:rPr>
                <w:rFonts w:ascii="Sabon Next LT" w:hAnsi="Sabon Next LT" w:cs="Sabon Next LT"/>
              </w:rPr>
            </w:pPr>
            <w:r>
              <w:rPr>
                <w:rFonts w:ascii="Sabon Next LT" w:hAnsi="Sabon Next LT" w:cs="Sabon Next LT"/>
                <w:color w:val="999999"/>
                <w:sz w:val="16"/>
                <w:szCs w:val="16"/>
              </w:rPr>
              <w:t>Printed Name</w:t>
            </w:r>
            <w:r>
              <w:rPr>
                <w:rFonts w:ascii="Sabon Next LT" w:hAnsi="Sabon Next LT" w:cs="Sabon Next LT"/>
                <w:sz w:val="16"/>
                <w:szCs w:val="16"/>
              </w:rPr>
              <w:t xml:space="preserve">                                                                          </w:t>
            </w:r>
            <w:r>
              <w:rPr>
                <w:rFonts w:ascii="Sabon Next LT" w:hAnsi="Sabon Next LT" w:cs="Sabon Next LT"/>
                <w:color w:val="999999"/>
                <w:sz w:val="16"/>
                <w:szCs w:val="16"/>
              </w:rPr>
              <w:t>Title</w:t>
            </w:r>
          </w:p>
          <w:p w14:paraId="6515002B" w14:textId="77777777">
            <w:pPr>
              <w:pBdr>
                <w:bottom w:val="single" w:sz="4" w:space="1" w:color="AAAAAA"/>
              </w:pBdr>
              <w:spacing w:before="80" w:after="60"/>
              <w:rPr>
                <w:rFonts w:ascii="Sabon Next LT" w:hAnsi="Sabon Next LT" w:cs="Sabon Next LT"/>
              </w:rPr>
            </w:pPr>
            <w:r>
              <w:rPr>
                <w:rFonts w:ascii="Sabon Next LT" w:hAnsi="Sabon Next LT" w:cs="Sabon Next LT"/>
                <w:sz w:val="32"/>
                <w:szCs w:val="32"/>
              </w:rPr>
              <w:t xml:space="preserve"> </w:t>
            </w:r>
          </w:p>
          <w:p w14:paraId="71B45F2A" w14:textId="77777777">
            <w:pPr>
              <w:spacing w:before="40"/>
            </w:pPr>
            <w:r>
              <w:rPr>
                <w:rFonts w:ascii="Sabon Next LT" w:hAnsi="Sabon Next LT" w:cs="Sabon Next LT"/>
                <w:color w:val="999999"/>
                <w:sz w:val="16"/>
                <w:szCs w:val="16"/>
              </w:rPr>
              <w:t>Billing Email Address</w:t>
            </w:r>
          </w:p>
        </w:tc>
      </w:tr>
    </w:tbl>
    <w:p w14:paraId="1D7AB3D8" w14:textId="07F92EAE"/>
    <w:p w14:paraId="7D806E99" w14:textId="3FC2C855">
      <w:pPr>
        <w:spacing w:after="0" w:line="240" w:lineRule="auto"/>
      </w:pPr>
    </w:p>
    <w:sectPr>
      <w:headerReference w:type="default" r:id="rId8"/>
      <w:footerReference w:type="default" r:id="rId9"/>
      <w:pgSz w:w="12240" w:h="15840"/>
      <w:pgMar w:top="1440" w:right="1224" w:bottom="1080" w:left="122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0AC51" w14:textId="77777777">
      <w:pPr>
        <w:spacing w:after="0" w:line="240" w:lineRule="auto"/>
      </w:pPr>
      <w:r>
        <w:separator/>
      </w:r>
    </w:p>
  </w:endnote>
  <w:endnote w:type="continuationSeparator" w:id="0">
    <w:p w14:paraId="035AC28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ticulat CF Medium">
    <w:altName w:val="Calibri"/>
    <w:panose1 w:val="00000000000000000000"/>
    <w:charset w:val="00"/>
    <w:family w:val="modern"/>
    <w:notTrueType/>
    <w:pitch w:val="variable"/>
    <w:sig w:usb0="A00002FF" w:usb1="0000205A" w:usb2="00000000" w:usb3="00000000" w:csb0="00000197" w:csb1="00000000"/>
  </w:font>
  <w:font w:name="Aptos">
    <w:charset w:val="00"/>
    <w:family w:val="swiss"/>
    <w:pitch w:val="variable"/>
    <w:sig w:usb0="20000287" w:usb1="00000003" w:usb2="00000000" w:usb3="00000000" w:csb0="0000019F" w:csb1="00000000"/>
  </w:font>
  <w:font w:name="Sabon Next LT">
    <w:charset w:val="00"/>
    <w:family w:val="auto"/>
    <w:pitch w:val="variable"/>
    <w:sig w:usb0="A11526FF" w:usb1="D000000B" w:usb2="00010000" w:usb3="00000000" w:csb0="0000019F" w:csb1="00000000"/>
  </w:font>
  <w:font w:name="Sabon LT Pro">
    <w:altName w:val="Cambria"/>
    <w:panose1 w:val="02020602060506020403"/>
    <w:charset w:val="00"/>
    <w:family w:val="roman"/>
    <w:notTrueType/>
    <w:pitch w:val="variable"/>
    <w:sig w:usb0="A00000AF" w:usb1="5000205A" w:usb2="00000000" w:usb3="00000000" w:csb0="00000093"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CEFC2" w14:textId="6536E46D">
    <w:pPr>
      <w:pBdr>
        <w:top w:val="single" w:sz="6" w:space="3" w:color="3F2A66"/>
      </w:pBdr>
      <w:spacing w:before="80"/>
      <w:jc w:val="center"/>
    </w:pPr>
    <w:r>
      <w:rPr>
        <w:color w:val="999999"/>
        <w:sz w:val="16"/>
        <w:szCs w:val="16"/>
      </w:rPr>
      <w:t>Axiom Commercial Appraisal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7EDD8" w14:textId="77777777">
      <w:pPr>
        <w:spacing w:after="0" w:line="240" w:lineRule="auto"/>
      </w:pPr>
      <w:r>
        <w:separator/>
      </w:r>
    </w:p>
  </w:footnote>
  <w:footnote w:type="continuationSeparator" w:id="0">
    <w:p w14:paraId="1383A65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761" w:type="pct"/>
      <w:tblLook w:val="04A0" w:firstRow="1" w:lastRow="0" w:firstColumn="1" w:lastColumn="0" w:noHBand="0" w:noVBand="1"/>
    </w:tblPr>
    <w:tblGrid>
      <w:gridCol w:w="3449"/>
    </w:tblGrid>
    <w:tr w14:paraId="7728E3D7" w14:textId="77777777">
      <w:tc>
        <w:tcPr>
          <w:tcW w:w="3449"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6"/>
            <w:gridCol w:w="2087"/>
          </w:tblGrid>
          <w:tr w14:paraId="0E55AAD3" w14:textId="77777777">
            <w:trPr>
              <w:cantSplit/>
              <w:trHeight w:val="1070"/>
            </w:trPr>
            <w:tc>
              <w:tcPr>
                <w:tcW w:w="787" w:type="dxa"/>
                <w:vAlign w:val="center"/>
              </w:tcPr>
              <w:p w14:paraId="660B44E0" w14:textId="77777777">
                <w:pPr>
                  <w:spacing w:after="0" w:line="240" w:lineRule="auto"/>
                  <w:rPr>
                    <w:rFonts w:ascii="Articulat CF Medium" w:hAnsi="Articulat CF Medium" w:cs="Sabon Next LT"/>
                    <w:bCs/>
                  </w:rPr>
                </w:pPr>
                <w:r>
                  <w:rPr>
                    <w:noProof/>
                  </w:rPr>
                  <w:drawing>
                    <wp:inline distT="0" distB="0" distL="0" distR="0" wp14:anchorId="07871063" wp14:editId="638C4E20">
                      <wp:extent cx="586740" cy="586740"/>
                      <wp:effectExtent l="0" t="0" r="3810" b="3810"/>
                      <wp:docPr id="370284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6740" cy="586740"/>
                              </a:xfrm>
                              <a:prstGeom prst="rect">
                                <a:avLst/>
                              </a:prstGeom>
                              <a:noFill/>
                              <a:ln>
                                <a:noFill/>
                              </a:ln>
                            </pic:spPr>
                          </pic:pic>
                        </a:graphicData>
                      </a:graphic>
                    </wp:inline>
                  </w:drawing>
                </w:r>
              </w:p>
            </w:tc>
            <w:tc>
              <w:tcPr>
                <w:tcW w:w="2436" w:type="dxa"/>
                <w:vAlign w:val="center"/>
              </w:tcPr>
              <w:p w14:paraId="595E364A" w14:textId="77777777">
                <w:pPr>
                  <w:spacing w:after="0" w:line="192" w:lineRule="auto"/>
                  <w:rPr>
                    <w:rFonts w:ascii="Articulat CF Medium" w:hAnsi="Articulat CF Medium" w:cs="Sabon Next LT"/>
                    <w:bCs/>
                    <w:sz w:val="22"/>
                    <w:szCs w:val="22"/>
                  </w:rPr>
                </w:pPr>
                <w:r>
                  <w:rPr>
                    <w:rFonts w:ascii="Articulat CF Medium" w:hAnsi="Articulat CF Medium" w:cs="Sabon Next LT"/>
                    <w:bCs/>
                    <w:sz w:val="22"/>
                    <w:szCs w:val="22"/>
                  </w:rPr>
                  <w:t>Axiom</w:t>
                </w:r>
                <w:r>
                  <w:rPr>
                    <w:rFonts w:ascii="Articulat CF Medium" w:hAnsi="Articulat CF Medium" w:cs="Sabon Next LT"/>
                    <w:b/>
                    <w:sz w:val="22"/>
                    <w:szCs w:val="22"/>
                  </w:rPr>
                  <w:br/>
                </w:r>
                <w:r>
                  <w:rPr>
                    <w:rFonts w:ascii="Articulat CF Medium" w:hAnsi="Articulat CF Medium" w:cs="Sabon Next LT"/>
                    <w:bCs/>
                    <w:sz w:val="22"/>
                    <w:szCs w:val="22"/>
                  </w:rPr>
                  <w:t xml:space="preserve">Commercial </w:t>
                </w:r>
                <w:r>
                  <w:rPr>
                    <w:rFonts w:ascii="Articulat CF Medium" w:hAnsi="Articulat CF Medium" w:cs="Sabon Next LT"/>
                    <w:bCs/>
                    <w:sz w:val="22"/>
                    <w:szCs w:val="22"/>
                  </w:rPr>
                  <w:br/>
                  <w:t>Appraisal</w:t>
                </w:r>
              </w:p>
            </w:tc>
          </w:tr>
        </w:tbl>
        <w:p w14:paraId="4DF0F3EA" w14:textId="2D1DA9E3">
          <w:pPr>
            <w:spacing w:line="192" w:lineRule="auto"/>
            <w:rPr>
              <w:rFonts w:ascii="Articulat CF Medium" w:hAnsi="Articulat CF Medium" w:cs="Sabon Next LT"/>
              <w:b/>
            </w:rPr>
          </w:pPr>
        </w:p>
      </w:tc>
    </w:tr>
  </w:tbl>
  <w:p w14:paraId="59BFC4F2" w14:textId="77777777">
    <w:pPr>
      <w:spacing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40A95"/>
    <w:multiLevelType w:val="hybridMultilevel"/>
    <w:tmpl w:val="49B6297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2F41E3"/>
    <w:multiLevelType w:val="hybridMultilevel"/>
    <w:tmpl w:val="A7B672F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0464EB"/>
    <w:multiLevelType w:val="hybridMultilevel"/>
    <w:tmpl w:val="CEC4D0FA"/>
    <w:lvl w:ilvl="0" w:tplc="A8348376">
      <w:start w:val="1"/>
      <w:numFmt w:val="bullet"/>
      <w:lvlText w:val="●"/>
      <w:lvlJc w:val="left"/>
      <w:pPr>
        <w:ind w:left="720" w:hanging="360"/>
      </w:pPr>
    </w:lvl>
    <w:lvl w:ilvl="1" w:tplc="AB28A7EA">
      <w:start w:val="1"/>
      <w:numFmt w:val="bullet"/>
      <w:lvlText w:val="○"/>
      <w:lvlJc w:val="left"/>
      <w:pPr>
        <w:ind w:left="1440" w:hanging="360"/>
      </w:pPr>
    </w:lvl>
    <w:lvl w:ilvl="2" w:tplc="6B54ECB4">
      <w:start w:val="1"/>
      <w:numFmt w:val="bullet"/>
      <w:lvlText w:val="■"/>
      <w:lvlJc w:val="left"/>
      <w:pPr>
        <w:ind w:left="2160" w:hanging="360"/>
      </w:pPr>
    </w:lvl>
    <w:lvl w:ilvl="3" w:tplc="49E09716">
      <w:start w:val="1"/>
      <w:numFmt w:val="bullet"/>
      <w:lvlText w:val="●"/>
      <w:lvlJc w:val="left"/>
      <w:pPr>
        <w:ind w:left="2880" w:hanging="360"/>
      </w:pPr>
    </w:lvl>
    <w:lvl w:ilvl="4" w:tplc="D4C4F2B4">
      <w:start w:val="1"/>
      <w:numFmt w:val="bullet"/>
      <w:lvlText w:val="○"/>
      <w:lvlJc w:val="left"/>
      <w:pPr>
        <w:ind w:left="3600" w:hanging="360"/>
      </w:pPr>
    </w:lvl>
    <w:lvl w:ilvl="5" w:tplc="AD96D3C6">
      <w:start w:val="1"/>
      <w:numFmt w:val="bullet"/>
      <w:lvlText w:val="■"/>
      <w:lvlJc w:val="left"/>
      <w:pPr>
        <w:ind w:left="4320" w:hanging="360"/>
      </w:pPr>
    </w:lvl>
    <w:lvl w:ilvl="6" w:tplc="CA628664">
      <w:start w:val="1"/>
      <w:numFmt w:val="bullet"/>
      <w:lvlText w:val="●"/>
      <w:lvlJc w:val="left"/>
      <w:pPr>
        <w:ind w:left="5040" w:hanging="360"/>
      </w:pPr>
    </w:lvl>
    <w:lvl w:ilvl="7" w:tplc="23B2BD4C">
      <w:start w:val="1"/>
      <w:numFmt w:val="bullet"/>
      <w:lvlText w:val="●"/>
      <w:lvlJc w:val="left"/>
      <w:pPr>
        <w:ind w:left="5760" w:hanging="360"/>
      </w:pPr>
    </w:lvl>
    <w:lvl w:ilvl="8" w:tplc="ABB82ED2">
      <w:start w:val="1"/>
      <w:numFmt w:val="bullet"/>
      <w:lvlText w:val="●"/>
      <w:lvlJc w:val="left"/>
      <w:pPr>
        <w:ind w:left="6480" w:hanging="360"/>
      </w:pPr>
    </w:lvl>
  </w:abstractNum>
  <w:num w:numId="1" w16cid:durableId="1556240605">
    <w:abstractNumId w:val="2"/>
    <w:lvlOverride w:ilvl="0">
      <w:startOverride w:val="1"/>
    </w:lvlOverride>
  </w:num>
  <w:num w:numId="2" w16cid:durableId="2103917776">
    <w:abstractNumId w:val="0"/>
  </w:num>
  <w:num w:numId="3" w16cid:durableId="12332763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7B90"/>
    <w:rsid w:val="000A7A96"/>
    <w:rsid w:val="00284AFD"/>
    <w:rsid w:val="00293471"/>
    <w:rsid w:val="0038235D"/>
    <w:rsid w:val="00464A31"/>
    <w:rsid w:val="00490286"/>
    <w:rsid w:val="004E53A4"/>
    <w:rsid w:val="00746358"/>
    <w:rsid w:val="00774D6F"/>
    <w:rsid w:val="007B44C2"/>
    <w:rsid w:val="007D739E"/>
    <w:rsid w:val="007F6C00"/>
    <w:rsid w:val="00846416"/>
    <w:rsid w:val="00857B90"/>
    <w:rsid w:val="0096475D"/>
    <w:rsid w:val="009764F7"/>
    <w:rsid w:val="00990477"/>
    <w:rsid w:val="009B3614"/>
    <w:rsid w:val="00A65FAC"/>
    <w:rsid w:val="00BE74A3"/>
    <w:rsid w:val="00C2520C"/>
    <w:rsid w:val="00C66AA7"/>
    <w:rsid w:val="00D06A49"/>
    <w:rsid w:val="00D74740"/>
    <w:rsid w:val="00D8123F"/>
    <w:rsid w:val="00D87FAF"/>
    <w:rsid w:val="00DE0677"/>
    <w:rsid w:val="00F20385"/>
    <w:rsid w:val="00F34864"/>
    <w:rsid w:val="00F508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530020"/>
  <w15:docId w15:val="{8C28707B-E776-4E13-903B-57938566C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D6F"/>
    <w:pPr>
      <w:spacing w:after="80" w:line="252" w:lineRule="auto"/>
    </w:p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F6C00"/>
    <w:pPr>
      <w:tabs>
        <w:tab w:val="center" w:pos="4680"/>
        <w:tab w:val="right" w:pos="9360"/>
      </w:tabs>
    </w:pPr>
  </w:style>
  <w:style w:type="character" w:customStyle="1" w:styleId="HeaderChar">
    <w:name w:val="Header Char"/>
    <w:basedOn w:val="DefaultParagraphFont"/>
    <w:link w:val="Header"/>
    <w:uiPriority w:val="99"/>
    <w:rsid w:val="007F6C00"/>
  </w:style>
  <w:style w:type="paragraph" w:styleId="Footer">
    <w:name w:val="footer"/>
    <w:basedOn w:val="Normal"/>
    <w:link w:val="FooterChar"/>
    <w:uiPriority w:val="99"/>
    <w:unhideWhenUsed/>
    <w:rsid w:val="007F6C00"/>
    <w:pPr>
      <w:tabs>
        <w:tab w:val="center" w:pos="4680"/>
        <w:tab w:val="right" w:pos="9360"/>
      </w:tabs>
    </w:pPr>
  </w:style>
  <w:style w:type="character" w:customStyle="1" w:styleId="FooterChar">
    <w:name w:val="Footer Char"/>
    <w:basedOn w:val="DefaultParagraphFont"/>
    <w:link w:val="Footer"/>
    <w:uiPriority w:val="99"/>
    <w:rsid w:val="007F6C00"/>
  </w:style>
  <w:style w:type="paragraph" w:customStyle="1" w:styleId="SectionLabel">
    <w:name w:val="SectionLabel"/>
    <w:basedOn w:val="Normal"/>
    <w:rsid w:val="00774D6F"/>
    <w:pPr>
      <w:spacing w:before="120"/>
    </w:pPr>
    <w:rPr>
      <w:rFonts w:ascii="Articulat CF Medium" w:eastAsiaTheme="minorHAnsi" w:hAnsi="Articulat CF Medium" w:cs="Articulat CF Medium"/>
      <w:caps/>
      <w:color w:val="3F2A66"/>
      <w:spacing w:val="10"/>
      <w:kern w:val="2"/>
      <w:sz w:val="18"/>
      <w:szCs w:val="18"/>
      <w14:ligatures w14:val="standardContextual"/>
    </w:rPr>
  </w:style>
  <w:style w:type="paragraph" w:styleId="BodyText">
    <w:name w:val="Body Text"/>
    <w:basedOn w:val="Normal"/>
    <w:link w:val="BodyTextChar"/>
    <w:qFormat/>
    <w:rsid w:val="00D8123F"/>
    <w:pPr>
      <w:spacing w:before="180" w:after="180" w:line="240" w:lineRule="auto"/>
    </w:pPr>
    <w:rPr>
      <w:rFonts w:asciiTheme="minorHAnsi" w:eastAsiaTheme="minorHAnsi" w:hAnsiTheme="minorHAnsi" w:cstheme="minorBidi"/>
      <w:color w:val="auto"/>
      <w:sz w:val="24"/>
      <w:szCs w:val="24"/>
    </w:rPr>
  </w:style>
  <w:style w:type="character" w:customStyle="1" w:styleId="BodyTextChar">
    <w:name w:val="Body Text Char"/>
    <w:basedOn w:val="DefaultParagraphFont"/>
    <w:link w:val="BodyText"/>
    <w:rsid w:val="00D8123F"/>
    <w:rPr>
      <w:rFonts w:asciiTheme="minorHAnsi" w:eastAsiaTheme="minorHAnsi" w:hAnsiTheme="minorHAnsi" w:cstheme="minorBidi"/>
      <w:color w:val="auto"/>
      <w:sz w:val="24"/>
      <w:szCs w:val="24"/>
    </w:rPr>
  </w:style>
  <w:style w:type="paragraph" w:customStyle="1" w:styleId="FirstParagraph">
    <w:name w:val="First Paragraph"/>
    <w:basedOn w:val="BodyText"/>
    <w:next w:val="BodyText"/>
    <w:qFormat/>
    <w:rsid w:val="00D8123F"/>
  </w:style>
  <w:style w:type="table" w:styleId="TableGrid">
    <w:name w:val="Table Grid"/>
    <w:basedOn w:val="TableNormal"/>
    <w:rsid w:val="00A65FAC"/>
    <w:rPr>
      <w:rFonts w:asciiTheme="minorHAnsi" w:eastAsiaTheme="minorHAnsi" w:hAnsiTheme="minorHAnsi" w:cstheme="minorBidi"/>
      <w:color w:val="aut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Value">
    <w:name w:val="Table Value"/>
    <w:basedOn w:val="Normal"/>
    <w:rsid w:val="00D06A49"/>
    <w:pPr>
      <w:spacing w:after="0" w:line="240" w:lineRule="auto"/>
    </w:pPr>
    <w:rPr>
      <w:rFonts w:ascii="Sabon Next LT" w:eastAsiaTheme="minorHAnsi" w:hAnsi="Sabon Next LT" w:cs="Sabon Next LT"/>
      <w:color w:val="2D2D2D"/>
      <w:kern w:val="2"/>
      <w:sz w:val="20"/>
      <w:szCs w:val="20"/>
      <w14:ligatures w14:val="standardContextual"/>
    </w:rPr>
  </w:style>
  <w:style w:type="paragraph" w:customStyle="1" w:styleId="Body">
    <w:name w:val="Body"/>
    <w:basedOn w:val="Normal"/>
    <w:link w:val="BodyChar"/>
    <w:qFormat/>
    <w:rsid w:val="009764F7"/>
    <w:pPr>
      <w:spacing w:before="80" w:after="0"/>
    </w:pPr>
    <w:rPr>
      <w:rFonts w:ascii="Sabon Next LT" w:eastAsiaTheme="minorHAnsi" w:hAnsi="Sabon Next LT" w:cstheme="minorBidi"/>
      <w:color w:val="auto"/>
      <w:kern w:val="2"/>
      <w14:ligatures w14:val="standardContextual"/>
    </w:rPr>
  </w:style>
  <w:style w:type="character" w:customStyle="1" w:styleId="BodyChar">
    <w:name w:val="Body Char"/>
    <w:basedOn w:val="DefaultParagraphFont"/>
    <w:link w:val="Body"/>
    <w:rsid w:val="009764F7"/>
    <w:rPr>
      <w:rFonts w:ascii="Sabon Next LT" w:eastAsiaTheme="minorHAnsi" w:hAnsi="Sabon Next LT" w:cstheme="minorBidi"/>
      <w:color w:val="auto"/>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1420</Words>
  <Characters>8806</Characters>
  <Application>Microsoft Office Word</Application>
  <DocSecurity>0</DocSecurity>
  <Lines>166</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11</cp:revision>
  <dcterms:created xsi:type="dcterms:W3CDTF">2026-06-28T00:29:00Z</dcterms:created>
  <dcterms:modified xsi:type="dcterms:W3CDTF">2026-06-28T04:11:00Z</dcterms:modified>
</cp:coreProperties>
</file>