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83B" w:rsidRDefault="007156E7">
      <w:pPr>
        <w:spacing w:before="960"/>
        <w:jc w:val="center"/>
        <w:rPr>
          <w:rFonts w:hint="eastAsia"/>
        </w:rPr>
      </w:pPr>
      <w:bookmarkStart w:id="0" w:name="_GoBack"/>
      <w:bookmarkEnd w:id="0"/>
      <w:r>
        <w:rPr>
          <w:rFonts w:ascii="Aptos Display" w:hAnsi="Aptos Display"/>
          <w:b/>
          <w:color w:val="16324F"/>
          <w:sz w:val="50"/>
        </w:rPr>
        <w:t>KENYA HCV</w:t>
      </w:r>
      <w:r>
        <w:rPr>
          <w:rFonts w:ascii="Aptos Display" w:hAnsi="Aptos Display"/>
          <w:b/>
          <w:color w:val="16324F"/>
          <w:sz w:val="50"/>
        </w:rPr>
        <w:br/>
        <w:t>SURVEILLANCE INVESTIGATION</w:t>
      </w:r>
    </w:p>
    <w:p w:rsidR="00D4583B" w:rsidRDefault="007156E7">
      <w:pPr>
        <w:jc w:val="center"/>
        <w:rPr>
          <w:rFonts w:hint="eastAsia"/>
        </w:rPr>
      </w:pPr>
      <w:r>
        <w:rPr>
          <w:color w:val="168C8C"/>
          <w:sz w:val="26"/>
        </w:rPr>
        <w:t>A preliminary analysis of public screening data and available epidemiological evidence</w:t>
      </w:r>
    </w:p>
    <w:p w:rsidR="00D4583B" w:rsidRDefault="00D4583B">
      <w:pPr>
        <w:rPr>
          <w:rFonts w:hint="eastAsia"/>
        </w:rPr>
      </w:pPr>
    </w:p>
    <w:tbl>
      <w:tblPr>
        <w:tblStyle w:val="LightShading-Accent1"/>
        <w:tblW w:w="0" w:type="auto"/>
        <w:jc w:val="center"/>
        <w:tblLook w:val="04A0" w:firstRow="1" w:lastRow="0" w:firstColumn="1" w:lastColumn="0" w:noHBand="0" w:noVBand="1"/>
      </w:tblPr>
      <w:tblGrid>
        <w:gridCol w:w="4968"/>
        <w:gridCol w:w="4968"/>
      </w:tblGrid>
      <w:tr w:rsidR="00D4583B" w:rsidTr="00D458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D4583B" w:rsidRDefault="007156E7">
            <w:pPr>
              <w:rPr>
                <w:rFonts w:hint="eastAsia"/>
              </w:rPr>
            </w:pPr>
            <w:r>
              <w:t>Primary question</w:t>
            </w:r>
          </w:p>
        </w:tc>
        <w:tc>
          <w:tcPr>
            <w:tcW w:w="4968" w:type="dxa"/>
            <w:vAlign w:val="center"/>
          </w:tcPr>
          <w:p w:rsidR="00D4583B" w:rsidRDefault="007156E7">
            <w:pPr>
              <w:cnfStyle w:val="100000000000" w:firstRow="1" w:lastRow="0" w:firstColumn="0" w:lastColumn="0" w:oddVBand="0" w:evenVBand="0" w:oddHBand="0" w:evenHBand="0" w:firstRowFirstColumn="0" w:firstRowLastColumn="0" w:lastRowFirstColumn="0" w:lastRowLastColumn="0"/>
              <w:rPr>
                <w:rFonts w:hint="eastAsia"/>
              </w:rPr>
            </w:pPr>
            <w:r>
              <w:t>Does available evidence support an increase in new active HCV infections in Kenya?</w:t>
            </w:r>
          </w:p>
        </w:tc>
      </w:tr>
      <w:tr w:rsidR="00D4583B" w:rsidTr="00D458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D4583B" w:rsidRDefault="007156E7">
            <w:pPr>
              <w:rPr>
                <w:rFonts w:hint="eastAsia"/>
              </w:rPr>
            </w:pPr>
            <w:r>
              <w:t>Scope</w:t>
            </w:r>
          </w:p>
        </w:tc>
        <w:tc>
          <w:tcPr>
            <w:tcW w:w="4968" w:type="dxa"/>
            <w:vAlign w:val="center"/>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 xml:space="preserve">Public-source </w:t>
            </w:r>
            <w:r>
              <w:t>investigation; screening data for 2020, 2022 and 2023, plus selected published evidence.</w:t>
            </w:r>
          </w:p>
        </w:tc>
      </w:tr>
      <w:tr w:rsidR="00D4583B" w:rsidTr="00D4583B">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rsidR="00D4583B" w:rsidRDefault="007156E7">
            <w:pPr>
              <w:rPr>
                <w:rFonts w:hint="eastAsia"/>
              </w:rPr>
            </w:pPr>
            <w:r>
              <w:t>Status</w:t>
            </w:r>
          </w:p>
        </w:tc>
        <w:tc>
          <w:tcPr>
            <w:tcW w:w="4968" w:type="dxa"/>
            <w:vAlign w:val="center"/>
          </w:tcPr>
          <w:p w:rsidR="00D4583B" w:rsidRDefault="007156E7">
            <w:pPr>
              <w:cnfStyle w:val="000000000000" w:firstRow="0" w:lastRow="0" w:firstColumn="0" w:lastColumn="0" w:oddVBand="0" w:evenVBand="0" w:oddHBand="0" w:evenHBand="0" w:firstRowFirstColumn="0" w:firstRowLastColumn="0" w:lastRowFirstColumn="0" w:lastRowLastColumn="0"/>
              <w:rPr>
                <w:rFonts w:hint="eastAsia"/>
              </w:rPr>
            </w:pPr>
            <w:r>
              <w:t>Preliminary. National incidence trend not established; source table and definitions require final verification.</w:t>
            </w:r>
          </w:p>
        </w:tc>
      </w:tr>
    </w:tbl>
    <w:p w:rsidR="00D4583B" w:rsidRDefault="007156E7">
      <w:pPr>
        <w:rPr>
          <w:rFonts w:hint="eastAsia"/>
        </w:rPr>
      </w:pPr>
      <w:r>
        <w:br w:type="page"/>
      </w:r>
    </w:p>
    <w:p w:rsidR="00D4583B" w:rsidRDefault="007156E7">
      <w:pPr>
        <w:pStyle w:val="Heading1"/>
      </w:pPr>
      <w:r>
        <w:lastRenderedPageBreak/>
        <w:t>1. Executive Summary</w:t>
      </w:r>
    </w:p>
    <w:p w:rsidR="00D4583B" w:rsidRDefault="007156E7">
      <w:pPr>
        <w:rPr>
          <w:rFonts w:hint="eastAsia"/>
        </w:rPr>
      </w:pPr>
      <w:r>
        <w:t>This preliminary invest</w:t>
      </w:r>
      <w:r>
        <w:t>igation examines whether available public evidence demonstrates an increase in new active hepatitis C virus (HCV) infections in Kenya. The currently assembled national screening series reports positivity of approximately 2.6% in 2020, 1.5% in 2022 and 1.7%</w:t>
      </w:r>
      <w:r>
        <w:t xml:space="preserve"> in 2023. Recalculation from the recorded counts gives 2.64%, 1.51% and 1.73%, respectively. This represents an overall decline of about 0.91 percentage points between 2020 and 2023, with a small increase between 2022 and 2023.</w:t>
      </w:r>
    </w:p>
    <w:p w:rsidR="00D4583B" w:rsidRDefault="007156E7">
      <w:pPr>
        <w:rPr>
          <w:rFonts w:hint="eastAsia"/>
        </w:rPr>
      </w:pPr>
      <w:r>
        <w:t>These figures describe scree</w:t>
      </w:r>
      <w:r>
        <w:t>ning positivity, not incidence of new active HCV infections. The number of positive tests also increased between 2022 and 2023, but the number of tests increased as well. Without comparable information about the population tested, testing practices, confir</w:t>
      </w:r>
      <w:r>
        <w:t>mation by HCV RNA, and a validated incidence series, positive-test counts cannot establish a national increase in new active infections.</w:t>
      </w:r>
    </w:p>
    <w:p w:rsidR="00D4583B" w:rsidRDefault="007156E7">
      <w:pPr>
        <w:rPr>
          <w:rFonts w:hint="eastAsia"/>
        </w:rPr>
      </w:pPr>
      <w:r>
        <w:t>Preliminary conclusion: the available screening figures do not show a sustained increase in screening positivity across</w:t>
      </w:r>
      <w:r>
        <w:t xml:space="preserve"> the observed years, but they are insufficient to confirm or rule out an increase in new active HCV infections nationally. The national source table and indicator definitions must be checked before the figures are treated as fully verified.</w:t>
      </w:r>
    </w:p>
    <w:p w:rsidR="00D4583B" w:rsidRDefault="007156E7">
      <w:pPr>
        <w:pStyle w:val="Heading1"/>
      </w:pPr>
      <w:r>
        <w:t>2. Background a</w:t>
      </w:r>
      <w:r>
        <w:t>nd Objectives</w:t>
      </w:r>
    </w:p>
    <w:p w:rsidR="00D4583B" w:rsidRDefault="007156E7">
      <w:pPr>
        <w:rPr>
          <w:rFonts w:hint="eastAsia"/>
        </w:rPr>
      </w:pPr>
      <w:r>
        <w:t xml:space="preserve">HCV surveillance requires careful distinction between measures that describe exposure, current infection and the occurrence of new infections. Anti-HCV antibody testing indicates previous or current exposure, while HCV RNA testing identifies </w:t>
      </w:r>
      <w:r>
        <w:t>current viraemic infection. Neither a positive antibody test nor a count of positive screening tests alone measures national incidence.</w:t>
      </w:r>
    </w:p>
    <w:p w:rsidR="00D4583B" w:rsidRDefault="007156E7">
      <w:pPr>
        <w:rPr>
          <w:rFonts w:hint="eastAsia"/>
        </w:rPr>
      </w:pPr>
      <w:r>
        <w:t>The investigation has four objectives:</w:t>
      </w:r>
    </w:p>
    <w:p w:rsidR="00D4583B" w:rsidRDefault="007156E7">
      <w:pPr>
        <w:pStyle w:val="ListBullet"/>
        <w:rPr>
          <w:rFonts w:hint="eastAsia"/>
        </w:rPr>
      </w:pPr>
      <w:r>
        <w:t>Describe the available national HCV screening positivity figures for selected yea</w:t>
      </w:r>
      <w:r>
        <w:t>rs.</w:t>
      </w:r>
    </w:p>
    <w:p w:rsidR="00D4583B" w:rsidRDefault="007156E7">
      <w:pPr>
        <w:pStyle w:val="ListBullet"/>
        <w:rPr>
          <w:rFonts w:hint="eastAsia"/>
        </w:rPr>
      </w:pPr>
      <w:r>
        <w:t>Calculate and interpret changes in screening positivity using the recorded counts.</w:t>
      </w:r>
    </w:p>
    <w:p w:rsidR="00D4583B" w:rsidRDefault="007156E7">
      <w:pPr>
        <w:pStyle w:val="ListBullet"/>
        <w:rPr>
          <w:rFonts w:hint="eastAsia"/>
        </w:rPr>
      </w:pPr>
      <w:r>
        <w:t>Review published Kenyan evidence for context without treating selected study populations as nationally representative.</w:t>
      </w:r>
    </w:p>
    <w:p w:rsidR="00D4583B" w:rsidRDefault="007156E7">
      <w:pPr>
        <w:pStyle w:val="ListBullet"/>
        <w:rPr>
          <w:rFonts w:hint="eastAsia"/>
        </w:rPr>
      </w:pPr>
      <w:r>
        <w:t xml:space="preserve">Identify evidence gaps that prevent a firm </w:t>
      </w:r>
      <w:r>
        <w:t>conclusion about national trends in new active HCV infections.</w:t>
      </w:r>
    </w:p>
    <w:p w:rsidR="00D4583B" w:rsidRDefault="007156E7">
      <w:pPr>
        <w:pStyle w:val="Heading1"/>
      </w:pPr>
      <w:r>
        <w:t>3. Data Sources and Methods</w:t>
      </w:r>
    </w:p>
    <w:p w:rsidR="00D4583B" w:rsidRDefault="007156E7">
      <w:pPr>
        <w:rPr>
          <w:rFonts w:hint="eastAsia"/>
        </w:rPr>
      </w:pPr>
      <w:r>
        <w:t>This is a descriptive, public-source investigation. No confidential laboratory data or patient-level records are included. The working dataset currently contains the</w:t>
      </w:r>
      <w:r>
        <w:t xml:space="preserve"> following screening counts attributed to Kenya's 2024 national progress report and the Kenya Health Information System; these values remain preliminary pending direct verification of the original report table and its definitions.</w:t>
      </w:r>
    </w:p>
    <w:tbl>
      <w:tblPr>
        <w:tblStyle w:val="LightShading-Accent1"/>
        <w:tblW w:w="0" w:type="auto"/>
        <w:jc w:val="center"/>
        <w:tblLook w:val="04A0" w:firstRow="1" w:lastRow="0" w:firstColumn="1" w:lastColumn="0" w:noHBand="0" w:noVBand="1"/>
      </w:tblPr>
      <w:tblGrid>
        <w:gridCol w:w="2484"/>
        <w:gridCol w:w="2484"/>
        <w:gridCol w:w="2484"/>
        <w:gridCol w:w="2484"/>
      </w:tblGrid>
      <w:tr w:rsidR="00D4583B" w:rsidTr="00D458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D4583B" w:rsidRDefault="007156E7">
            <w:pPr>
              <w:rPr>
                <w:rFonts w:hint="eastAsia"/>
              </w:rPr>
            </w:pPr>
            <w:r>
              <w:t>Year</w:t>
            </w:r>
          </w:p>
        </w:tc>
        <w:tc>
          <w:tcPr>
            <w:tcW w:w="2484" w:type="dxa"/>
          </w:tcPr>
          <w:p w:rsidR="00D4583B" w:rsidRDefault="007156E7">
            <w:pPr>
              <w:cnfStyle w:val="100000000000" w:firstRow="1" w:lastRow="0" w:firstColumn="0" w:lastColumn="0" w:oddVBand="0" w:evenVBand="0" w:oddHBand="0" w:evenHBand="0" w:firstRowFirstColumn="0" w:firstRowLastColumn="0" w:lastRowFirstColumn="0" w:lastRowLastColumn="0"/>
              <w:rPr>
                <w:rFonts w:hint="eastAsia"/>
              </w:rPr>
            </w:pPr>
            <w:r>
              <w:t>Tests</w:t>
            </w:r>
          </w:p>
        </w:tc>
        <w:tc>
          <w:tcPr>
            <w:tcW w:w="2484" w:type="dxa"/>
          </w:tcPr>
          <w:p w:rsidR="00D4583B" w:rsidRDefault="007156E7">
            <w:pPr>
              <w:cnfStyle w:val="100000000000" w:firstRow="1" w:lastRow="0" w:firstColumn="0" w:lastColumn="0" w:oddVBand="0" w:evenVBand="0" w:oddHBand="0" w:evenHBand="0" w:firstRowFirstColumn="0" w:firstRowLastColumn="0" w:lastRowFirstColumn="0" w:lastRowLastColumn="0"/>
              <w:rPr>
                <w:rFonts w:hint="eastAsia"/>
              </w:rPr>
            </w:pPr>
            <w:r>
              <w:t>Positive tests</w:t>
            </w:r>
          </w:p>
        </w:tc>
        <w:tc>
          <w:tcPr>
            <w:tcW w:w="2484" w:type="dxa"/>
          </w:tcPr>
          <w:p w:rsidR="00D4583B" w:rsidRDefault="007156E7">
            <w:pPr>
              <w:cnfStyle w:val="100000000000" w:firstRow="1" w:lastRow="0" w:firstColumn="0" w:lastColumn="0" w:oddVBand="0" w:evenVBand="0" w:oddHBand="0" w:evenHBand="0" w:firstRowFirstColumn="0" w:firstRowLastColumn="0" w:lastRowFirstColumn="0" w:lastRowLastColumn="0"/>
              <w:rPr>
                <w:rFonts w:hint="eastAsia"/>
              </w:rPr>
            </w:pPr>
            <w:r>
              <w:t>Calculated positivity</w:t>
            </w:r>
          </w:p>
        </w:tc>
      </w:tr>
      <w:tr w:rsidR="00D4583B" w:rsidTr="00D458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D4583B" w:rsidRDefault="007156E7">
            <w:pPr>
              <w:rPr>
                <w:rFonts w:hint="eastAsia"/>
              </w:rPr>
            </w:pPr>
            <w:r>
              <w:t>2020</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63,353</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1,674</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2.64%</w:t>
            </w:r>
          </w:p>
        </w:tc>
      </w:tr>
      <w:tr w:rsidR="00D4583B" w:rsidTr="00D4583B">
        <w:trPr>
          <w:jc w:val="center"/>
        </w:trPr>
        <w:tc>
          <w:tcPr>
            <w:cnfStyle w:val="001000000000" w:firstRow="0" w:lastRow="0" w:firstColumn="1" w:lastColumn="0" w:oddVBand="0" w:evenVBand="0" w:oddHBand="0" w:evenHBand="0" w:firstRowFirstColumn="0" w:firstRowLastColumn="0" w:lastRowFirstColumn="0" w:lastRowLastColumn="0"/>
            <w:tcW w:w="2484" w:type="dxa"/>
          </w:tcPr>
          <w:p w:rsidR="00D4583B" w:rsidRDefault="007156E7">
            <w:pPr>
              <w:rPr>
                <w:rFonts w:hint="eastAsia"/>
              </w:rPr>
            </w:pPr>
            <w:r>
              <w:t>2022</w:t>
            </w:r>
          </w:p>
        </w:tc>
        <w:tc>
          <w:tcPr>
            <w:tcW w:w="2484" w:type="dxa"/>
          </w:tcPr>
          <w:p w:rsidR="00D4583B" w:rsidRDefault="007156E7">
            <w:pPr>
              <w:cnfStyle w:val="000000000000" w:firstRow="0" w:lastRow="0" w:firstColumn="0" w:lastColumn="0" w:oddVBand="0" w:evenVBand="0" w:oddHBand="0" w:evenHBand="0" w:firstRowFirstColumn="0" w:firstRowLastColumn="0" w:lastRowFirstColumn="0" w:lastRowLastColumn="0"/>
              <w:rPr>
                <w:rFonts w:hint="eastAsia"/>
              </w:rPr>
            </w:pPr>
            <w:r>
              <w:t>88,398</w:t>
            </w:r>
          </w:p>
        </w:tc>
        <w:tc>
          <w:tcPr>
            <w:tcW w:w="2484" w:type="dxa"/>
          </w:tcPr>
          <w:p w:rsidR="00D4583B" w:rsidRDefault="007156E7">
            <w:pPr>
              <w:cnfStyle w:val="000000000000" w:firstRow="0" w:lastRow="0" w:firstColumn="0" w:lastColumn="0" w:oddVBand="0" w:evenVBand="0" w:oddHBand="0" w:evenHBand="0" w:firstRowFirstColumn="0" w:firstRowLastColumn="0" w:lastRowFirstColumn="0" w:lastRowLastColumn="0"/>
              <w:rPr>
                <w:rFonts w:hint="eastAsia"/>
              </w:rPr>
            </w:pPr>
            <w:r>
              <w:t>1,333</w:t>
            </w:r>
          </w:p>
        </w:tc>
        <w:tc>
          <w:tcPr>
            <w:tcW w:w="2484" w:type="dxa"/>
          </w:tcPr>
          <w:p w:rsidR="00D4583B" w:rsidRDefault="007156E7">
            <w:pPr>
              <w:cnfStyle w:val="000000000000" w:firstRow="0" w:lastRow="0" w:firstColumn="0" w:lastColumn="0" w:oddVBand="0" w:evenVBand="0" w:oddHBand="0" w:evenHBand="0" w:firstRowFirstColumn="0" w:firstRowLastColumn="0" w:lastRowFirstColumn="0" w:lastRowLastColumn="0"/>
              <w:rPr>
                <w:rFonts w:hint="eastAsia"/>
              </w:rPr>
            </w:pPr>
            <w:r>
              <w:t>1.51%</w:t>
            </w:r>
          </w:p>
        </w:tc>
      </w:tr>
      <w:tr w:rsidR="00D4583B" w:rsidTr="00D458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D4583B" w:rsidRDefault="007156E7">
            <w:pPr>
              <w:rPr>
                <w:rFonts w:hint="eastAsia"/>
              </w:rPr>
            </w:pPr>
            <w:r>
              <w:t>2023</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103,465</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1,792</w:t>
            </w:r>
          </w:p>
        </w:tc>
        <w:tc>
          <w:tcPr>
            <w:tcW w:w="2484"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1.73%</w:t>
            </w:r>
          </w:p>
        </w:tc>
      </w:tr>
    </w:tbl>
    <w:p w:rsidR="00D4583B" w:rsidRDefault="007156E7">
      <w:pPr>
        <w:rPr>
          <w:rFonts w:hint="eastAsia"/>
        </w:rPr>
      </w:pPr>
      <w:r>
        <w:t xml:space="preserve">Calculated screening positivity = positive screening tests ÷ total screening tests × 100. The calculated values are rounded to two decimal places. The </w:t>
      </w:r>
      <w:r>
        <w:t>series contains no verified 2021 value, so no value was imputed.</w:t>
      </w:r>
    </w:p>
    <w:p w:rsidR="00D4583B" w:rsidRDefault="007156E7">
      <w:pPr>
        <w:pStyle w:val="Heading1"/>
      </w:pPr>
      <w:r>
        <w:t>4. Findings</w:t>
      </w:r>
    </w:p>
    <w:p w:rsidR="00D4583B" w:rsidRDefault="007156E7">
      <w:pPr>
        <w:pStyle w:val="Heading2"/>
      </w:pPr>
      <w:r>
        <w:t>4.1 Screening positivity</w:t>
      </w:r>
    </w:p>
    <w:p w:rsidR="00D4583B" w:rsidRDefault="007156E7">
      <w:pPr>
        <w:pStyle w:val="ListBullet"/>
        <w:rPr>
          <w:rFonts w:hint="eastAsia"/>
        </w:rPr>
      </w:pPr>
      <w:r>
        <w:t>2020: 1,674 positive tests among 63,353 tests; calculated positivity approximately 2.64%.</w:t>
      </w:r>
    </w:p>
    <w:p w:rsidR="00D4583B" w:rsidRDefault="007156E7">
      <w:pPr>
        <w:pStyle w:val="ListBullet"/>
        <w:rPr>
          <w:rFonts w:hint="eastAsia"/>
        </w:rPr>
      </w:pPr>
      <w:r>
        <w:t>2022: 1,333 positive tests among 88,398 tests; calculated positi</w:t>
      </w:r>
      <w:r>
        <w:t>vity approximately 1.51%.</w:t>
      </w:r>
    </w:p>
    <w:p w:rsidR="00D4583B" w:rsidRDefault="007156E7">
      <w:pPr>
        <w:pStyle w:val="ListBullet"/>
        <w:rPr>
          <w:rFonts w:hint="eastAsia"/>
        </w:rPr>
      </w:pPr>
      <w:r>
        <w:lastRenderedPageBreak/>
        <w:t>2023: 1,792 positive tests among 103,465 tests; calculated positivity approximately 1.73%.</w:t>
      </w:r>
    </w:p>
    <w:p w:rsidR="00D4583B" w:rsidRDefault="007156E7">
      <w:pPr>
        <w:pStyle w:val="Heading2"/>
      </w:pPr>
      <w:r>
        <w:t>4.2 Change between observed years</w:t>
      </w:r>
    </w:p>
    <w:tbl>
      <w:tblPr>
        <w:tblStyle w:val="LightShading-Accent1"/>
        <w:tblW w:w="0" w:type="auto"/>
        <w:tblLook w:val="04A0" w:firstRow="1" w:lastRow="0" w:firstColumn="1" w:lastColumn="0" w:noHBand="0" w:noVBand="1"/>
      </w:tblPr>
      <w:tblGrid>
        <w:gridCol w:w="4968"/>
        <w:gridCol w:w="4968"/>
      </w:tblGrid>
      <w:tr w:rsidR="00D4583B" w:rsidTr="00D4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D4583B" w:rsidRDefault="007156E7">
            <w:pPr>
              <w:rPr>
                <w:rFonts w:hint="eastAsia"/>
              </w:rPr>
            </w:pPr>
            <w:r>
              <w:t>Comparison</w:t>
            </w:r>
          </w:p>
        </w:tc>
        <w:tc>
          <w:tcPr>
            <w:tcW w:w="4968" w:type="dxa"/>
          </w:tcPr>
          <w:p w:rsidR="00D4583B" w:rsidRDefault="007156E7">
            <w:pPr>
              <w:cnfStyle w:val="100000000000" w:firstRow="1" w:lastRow="0" w:firstColumn="0" w:lastColumn="0" w:oddVBand="0" w:evenVBand="0" w:oddHBand="0" w:evenHBand="0" w:firstRowFirstColumn="0" w:firstRowLastColumn="0" w:lastRowFirstColumn="0" w:lastRowLastColumn="0"/>
              <w:rPr>
                <w:rFonts w:hint="eastAsia"/>
              </w:rPr>
            </w:pPr>
            <w:r>
              <w:t>Change in positivity</w:t>
            </w:r>
          </w:p>
        </w:tc>
      </w:tr>
      <w:tr w:rsidR="00D4583B" w:rsidTr="00D45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D4583B" w:rsidRDefault="007156E7">
            <w:pPr>
              <w:rPr>
                <w:rFonts w:hint="eastAsia"/>
              </w:rPr>
            </w:pPr>
            <w:r>
              <w:t>2020 to 2022</w:t>
            </w:r>
          </w:p>
        </w:tc>
        <w:tc>
          <w:tcPr>
            <w:tcW w:w="4968"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w:t>
            </w:r>
            <w:r>
              <w:t>1.14 percentage points</w:t>
            </w:r>
          </w:p>
        </w:tc>
      </w:tr>
      <w:tr w:rsidR="00D4583B" w:rsidTr="00D4583B">
        <w:tc>
          <w:tcPr>
            <w:cnfStyle w:val="001000000000" w:firstRow="0" w:lastRow="0" w:firstColumn="1" w:lastColumn="0" w:oddVBand="0" w:evenVBand="0" w:oddHBand="0" w:evenHBand="0" w:firstRowFirstColumn="0" w:firstRowLastColumn="0" w:lastRowFirstColumn="0" w:lastRowLastColumn="0"/>
            <w:tcW w:w="4968" w:type="dxa"/>
          </w:tcPr>
          <w:p w:rsidR="00D4583B" w:rsidRDefault="007156E7">
            <w:pPr>
              <w:rPr>
                <w:rFonts w:hint="eastAsia"/>
              </w:rPr>
            </w:pPr>
            <w:r>
              <w:t>2022 to 2023</w:t>
            </w:r>
          </w:p>
        </w:tc>
        <w:tc>
          <w:tcPr>
            <w:tcW w:w="4968" w:type="dxa"/>
          </w:tcPr>
          <w:p w:rsidR="00D4583B" w:rsidRDefault="007156E7">
            <w:pPr>
              <w:cnfStyle w:val="000000000000" w:firstRow="0" w:lastRow="0" w:firstColumn="0" w:lastColumn="0" w:oddVBand="0" w:evenVBand="0" w:oddHBand="0" w:evenHBand="0" w:firstRowFirstColumn="0" w:firstRowLastColumn="0" w:lastRowFirstColumn="0" w:lastRowLastColumn="0"/>
              <w:rPr>
                <w:rFonts w:hint="eastAsia"/>
              </w:rPr>
            </w:pPr>
            <w:r>
              <w:t xml:space="preserve">+0.22 percentage </w:t>
            </w:r>
            <w:r>
              <w:t>points</w:t>
            </w:r>
          </w:p>
        </w:tc>
      </w:tr>
      <w:tr w:rsidR="00D4583B" w:rsidTr="00D45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D4583B" w:rsidRDefault="007156E7">
            <w:pPr>
              <w:rPr>
                <w:rFonts w:hint="eastAsia"/>
              </w:rPr>
            </w:pPr>
            <w:r>
              <w:t>2020 to 2023</w:t>
            </w:r>
          </w:p>
        </w:tc>
        <w:tc>
          <w:tcPr>
            <w:tcW w:w="4968" w:type="dxa"/>
          </w:tcPr>
          <w:p w:rsidR="00D4583B" w:rsidRDefault="007156E7">
            <w:pPr>
              <w:cnfStyle w:val="000000100000" w:firstRow="0" w:lastRow="0" w:firstColumn="0" w:lastColumn="0" w:oddVBand="0" w:evenVBand="0" w:oddHBand="1" w:evenHBand="0" w:firstRowFirstColumn="0" w:firstRowLastColumn="0" w:lastRowFirstColumn="0" w:lastRowLastColumn="0"/>
              <w:rPr>
                <w:rFonts w:hint="eastAsia"/>
              </w:rPr>
            </w:pPr>
            <w:r>
              <w:t>−</w:t>
            </w:r>
            <w:r>
              <w:t>0.91 percentage points</w:t>
            </w:r>
          </w:p>
        </w:tc>
      </w:tr>
    </w:tbl>
    <w:p w:rsidR="00D4583B" w:rsidRDefault="007156E7">
      <w:pPr>
        <w:rPr>
          <w:rFonts w:hint="eastAsia"/>
        </w:rPr>
      </w:pPr>
      <w:r>
        <w:t xml:space="preserve">The pattern is a decline between 2020 and 2022 followed by a modest increase in 2023. Positive-test counts increased from 1,333 in 2022 to 1,792 in 2023, while total tests rose from 88,398 to 103,465. Counts </w:t>
      </w:r>
      <w:r>
        <w:t>and positivity should therefore be interpreted alongside testing volume and the characteristics of the people tested.</w:t>
      </w:r>
    </w:p>
    <w:p w:rsidR="00D4583B" w:rsidRDefault="007156E7">
      <w:pPr>
        <w:pStyle w:val="Heading1"/>
      </w:pPr>
      <w:r>
        <w:t>5. Context from Published Evidence</w:t>
      </w:r>
    </w:p>
    <w:p w:rsidR="00D4583B" w:rsidRDefault="007156E7">
      <w:pPr>
        <w:rPr>
          <w:rFonts w:hint="eastAsia"/>
        </w:rPr>
      </w:pPr>
      <w:r>
        <w:t>A peer-reviewed study by Akiyama and colleagues, published in 2019 and involving people who inject drug</w:t>
      </w:r>
      <w:r>
        <w:t>s in Kenya, reported detectable HCV RNA in 230 of 284 antibody-positive participants who underwent RNA testing. This supports the presence of active infection among participants in that selected study population; it is not a national estimate.</w:t>
      </w:r>
    </w:p>
    <w:p w:rsidR="00D4583B" w:rsidRDefault="007156E7">
      <w:pPr>
        <w:rPr>
          <w:rFonts w:hint="eastAsia"/>
        </w:rPr>
      </w:pPr>
      <w:r>
        <w:t>A 2024 Kenya</w:t>
      </w:r>
      <w:r>
        <w:t>n HCV transmission-network study provides molecular epidemiology context for studied populations. Evidence of transmission networks in specific study populations does not, on its own, establish a rise in national incidence.</w:t>
      </w:r>
    </w:p>
    <w:p w:rsidR="00D4583B" w:rsidRDefault="007156E7">
      <w:pPr>
        <w:rPr>
          <w:rFonts w:hint="eastAsia"/>
        </w:rPr>
      </w:pPr>
      <w:r>
        <w:t>WHO's global hepatitis reporting</w:t>
      </w:r>
      <w:r>
        <w:t xml:space="preserve"> and indicator documentation are relevant sources for further investigation of annual incidence estimates. Kenya-specific values, years, definitions and whether the values are country-reported or modelled must be extracted and recorded before they are used</w:t>
      </w:r>
      <w:r>
        <w:t xml:space="preserve"> to make a trend claim.</w:t>
      </w:r>
    </w:p>
    <w:p w:rsidR="00D4583B" w:rsidRDefault="007156E7">
      <w:pPr>
        <w:pStyle w:val="Heading1"/>
      </w:pPr>
      <w:r>
        <w:t>6. Discussion and Limitations</w:t>
      </w:r>
    </w:p>
    <w:p w:rsidR="00D4583B" w:rsidRDefault="007156E7">
      <w:pPr>
        <w:pStyle w:val="ListBullet"/>
        <w:rPr>
          <w:rFonts w:hint="eastAsia"/>
        </w:rPr>
      </w:pPr>
      <w:r>
        <w:t>The observed series includes 2020, 2022 and 2023 only; 2021 is missing.</w:t>
      </w:r>
    </w:p>
    <w:p w:rsidR="00D4583B" w:rsidRDefault="007156E7">
      <w:pPr>
        <w:pStyle w:val="ListBullet"/>
        <w:rPr>
          <w:rFonts w:hint="eastAsia"/>
        </w:rPr>
      </w:pPr>
      <w:r>
        <w:t>The source table, indicator definition, reporting coverage and extraction should be verified directly before final publication.</w:t>
      </w:r>
    </w:p>
    <w:p w:rsidR="00D4583B" w:rsidRDefault="007156E7">
      <w:pPr>
        <w:pStyle w:val="ListBullet"/>
        <w:rPr>
          <w:rFonts w:hint="eastAsia"/>
        </w:rPr>
      </w:pPr>
      <w:r>
        <w:t>Sc</w:t>
      </w:r>
      <w:r>
        <w:t>reening positivity is not equivalent to the incidence of new active HCV infections.</w:t>
      </w:r>
    </w:p>
    <w:p w:rsidR="00D4583B" w:rsidRDefault="007156E7">
      <w:pPr>
        <w:pStyle w:val="ListBullet"/>
        <w:rPr>
          <w:rFonts w:hint="eastAsia"/>
        </w:rPr>
      </w:pPr>
      <w:r>
        <w:t>Changes in testing volume, population screened, access to testing, risk profile and testing practices may affect the observed positivity.</w:t>
      </w:r>
    </w:p>
    <w:p w:rsidR="00D4583B" w:rsidRDefault="007156E7">
      <w:pPr>
        <w:pStyle w:val="ListBullet"/>
        <w:rPr>
          <w:rFonts w:hint="eastAsia"/>
        </w:rPr>
      </w:pPr>
      <w:r>
        <w:t>Antibody positivity and RNA positi</w:t>
      </w:r>
      <w:r>
        <w:t>vity represent different clinical and surveillance measures.</w:t>
      </w:r>
    </w:p>
    <w:p w:rsidR="00D4583B" w:rsidRDefault="007156E7">
      <w:pPr>
        <w:pStyle w:val="ListBullet"/>
        <w:rPr>
          <w:rFonts w:hint="eastAsia"/>
        </w:rPr>
      </w:pPr>
      <w:r>
        <w:t>The cited cohort and transmission-network studies involve selected populations and cannot be generalized to the national population without appropriate evidence.</w:t>
      </w:r>
    </w:p>
    <w:p w:rsidR="00D4583B" w:rsidRDefault="007156E7">
      <w:pPr>
        <w:pStyle w:val="ListBullet"/>
        <w:rPr>
          <w:rFonts w:hint="eastAsia"/>
        </w:rPr>
      </w:pPr>
      <w:r>
        <w:t>A complete, comparable Kenya-spec</w:t>
      </w:r>
      <w:r>
        <w:t>ific annual HCV incidence series has not yet been verified for this investigation.</w:t>
      </w:r>
    </w:p>
    <w:p w:rsidR="00D4583B" w:rsidRDefault="007156E7">
      <w:pPr>
        <w:pStyle w:val="Heading1"/>
      </w:pPr>
      <w:r>
        <w:t>7. Conclusion</w:t>
      </w:r>
    </w:p>
    <w:p w:rsidR="00D4583B" w:rsidRDefault="007156E7">
      <w:pPr>
        <w:rPr>
          <w:rFonts w:hint="eastAsia"/>
        </w:rPr>
      </w:pPr>
      <w:r>
        <w:t>The currently assembled national screening data do not demonstrate a sustained increase in HCV screening positivity from 2020 to 2023. They show a decline over</w:t>
      </w:r>
      <w:r>
        <w:t>all and a modest rise between 2022 and 2023. However, the data are insufficient to confirm or rule out an increase in new active HCV infections nationally. The appropriate conclusion is that the national incidence trend remains undetermined from the eviden</w:t>
      </w:r>
      <w:r>
        <w:t>ce currently verified.</w:t>
      </w:r>
    </w:p>
    <w:p w:rsidR="00D4583B" w:rsidRDefault="007156E7">
      <w:pPr>
        <w:pStyle w:val="Heading1"/>
      </w:pPr>
      <w:r>
        <w:t>8. Recommendations</w:t>
      </w:r>
    </w:p>
    <w:p w:rsidR="00D4583B" w:rsidRDefault="007156E7">
      <w:pPr>
        <w:pStyle w:val="ListBullet"/>
        <w:rPr>
          <w:rFonts w:hint="eastAsia"/>
        </w:rPr>
      </w:pPr>
      <w:r>
        <w:t>Verify the original national report table and document the exact indicator definition, reporting coverage and source notes.</w:t>
      </w:r>
    </w:p>
    <w:p w:rsidR="00D4583B" w:rsidRDefault="007156E7">
      <w:pPr>
        <w:pStyle w:val="ListBullet"/>
        <w:rPr>
          <w:rFonts w:hint="eastAsia"/>
        </w:rPr>
      </w:pPr>
      <w:r>
        <w:t>Extract a Kenya-specific annual HCV incidence series from WHO or another authoritative sou</w:t>
      </w:r>
      <w:r>
        <w:t>rce, recording whether each value is country-reported or modelled.</w:t>
      </w:r>
    </w:p>
    <w:p w:rsidR="00D4583B" w:rsidRDefault="007156E7">
      <w:pPr>
        <w:pStyle w:val="ListBullet"/>
        <w:rPr>
          <w:rFonts w:hint="eastAsia"/>
        </w:rPr>
      </w:pPr>
      <w:r>
        <w:lastRenderedPageBreak/>
        <w:t>Where available, distinguish antibody screening results from confirmatory HCV RNA results and from estimates of new infections.</w:t>
      </w:r>
    </w:p>
    <w:p w:rsidR="00D4583B" w:rsidRDefault="007156E7">
      <w:pPr>
        <w:pStyle w:val="ListBullet"/>
        <w:rPr>
          <w:rFonts w:hint="eastAsia"/>
        </w:rPr>
      </w:pPr>
      <w:r>
        <w:t>When comparing years, review testing volume, population scree</w:t>
      </w:r>
      <w:r>
        <w:t>ned and changes in testing policy or coverage.</w:t>
      </w:r>
    </w:p>
    <w:p w:rsidR="00D4583B" w:rsidRDefault="007156E7">
      <w:pPr>
        <w:pStyle w:val="ListBullet"/>
        <w:rPr>
          <w:rFonts w:hint="eastAsia"/>
        </w:rPr>
      </w:pPr>
      <w:r>
        <w:t>Continue to communicate findings cautiously and avoid describing screening positivity as active infection incidence.</w:t>
      </w:r>
    </w:p>
    <w:p w:rsidR="00D4583B" w:rsidRDefault="007156E7">
      <w:pPr>
        <w:pStyle w:val="Heading1"/>
      </w:pPr>
      <w:r>
        <w:t>9. References</w:t>
      </w:r>
    </w:p>
    <w:p w:rsidR="00D4583B" w:rsidRDefault="007156E7">
      <w:pPr>
        <w:pStyle w:val="ListNumber"/>
        <w:rPr>
          <w:rFonts w:hint="eastAsia"/>
        </w:rPr>
      </w:pPr>
      <w:r>
        <w:t>Kenya National Syndemic Diseases Control Council / national progress reporting</w:t>
      </w:r>
      <w:r>
        <w:t xml:space="preserve">. Kenya National Progress Report 2024. Preliminary source for screening figures; verify the original table before final use. </w:t>
      </w:r>
      <w:r>
        <w:rPr>
          <w:color w:val="168C8C"/>
        </w:rPr>
        <w:t>https://analytics.nsdcc.go.ke/estimates/PROGRESS-REPORT-2024.pdf</w:t>
      </w:r>
    </w:p>
    <w:p w:rsidR="00D4583B" w:rsidRDefault="007156E7">
      <w:pPr>
        <w:pStyle w:val="ListNumber"/>
        <w:rPr>
          <w:rFonts w:hint="eastAsia"/>
        </w:rPr>
      </w:pPr>
      <w:r>
        <w:t xml:space="preserve">Akiyama et al. (2019). PubMed record for the Kenyan HCV study. </w:t>
      </w:r>
      <w:r>
        <w:rPr>
          <w:color w:val="168C8C"/>
        </w:rPr>
        <w:t>htt</w:t>
      </w:r>
      <w:r>
        <w:rPr>
          <w:color w:val="168C8C"/>
        </w:rPr>
        <w:t>ps://pubmed.ncbi.nlm.nih.gov/31540840/</w:t>
      </w:r>
    </w:p>
    <w:p w:rsidR="00D4583B" w:rsidRDefault="007156E7">
      <w:pPr>
        <w:pStyle w:val="ListNumber"/>
        <w:rPr>
          <w:rFonts w:hint="eastAsia"/>
        </w:rPr>
      </w:pPr>
      <w:r>
        <w:t xml:space="preserve">Kenyan HCV transmission-network study (2024). PubMed record. </w:t>
      </w:r>
      <w:r>
        <w:rPr>
          <w:color w:val="168C8C"/>
        </w:rPr>
        <w:t>https://pubmed.ncbi.nlm.nih.gov/39182826/</w:t>
      </w:r>
    </w:p>
    <w:p w:rsidR="00D4583B" w:rsidRDefault="007156E7">
      <w:pPr>
        <w:pStyle w:val="ListNumber"/>
        <w:rPr>
          <w:rFonts w:hint="eastAsia"/>
        </w:rPr>
      </w:pPr>
      <w:r>
        <w:t xml:space="preserve">World Health Organization. Global Hepatitis Report 2026. </w:t>
      </w:r>
      <w:r>
        <w:rPr>
          <w:color w:val="168C8C"/>
        </w:rPr>
        <w:t>https://www.who.int/teams/global-hiv-hepatitis-and-stis-p</w:t>
      </w:r>
      <w:r>
        <w:rPr>
          <w:color w:val="168C8C"/>
        </w:rPr>
        <w:t>rogrammes/hepatitis/reports/global-hepatitis-report-2026</w:t>
      </w:r>
    </w:p>
    <w:p w:rsidR="00D4583B" w:rsidRDefault="007156E7">
      <w:pPr>
        <w:pStyle w:val="ListNumber"/>
        <w:rPr>
          <w:rFonts w:hint="eastAsia"/>
        </w:rPr>
      </w:pPr>
      <w:r>
        <w:t xml:space="preserve">World Health Organization. Hepatitis new infections indicator documentation. </w:t>
      </w:r>
      <w:r>
        <w:rPr>
          <w:color w:val="168C8C"/>
        </w:rPr>
        <w:t>https://www.who.int/data/gho/data/indicators/indicator-details/GHO/hepatitis---new-infections</w:t>
      </w:r>
    </w:p>
    <w:p w:rsidR="00D4583B" w:rsidRDefault="007156E7">
      <w:pPr>
        <w:pStyle w:val="Heading1"/>
      </w:pPr>
      <w:r>
        <w:t xml:space="preserve">Appendix A. Reproducibility </w:t>
      </w:r>
      <w:r>
        <w:t>Notes</w:t>
      </w:r>
    </w:p>
    <w:p w:rsidR="00D4583B" w:rsidRDefault="007156E7">
      <w:pPr>
        <w:rPr>
          <w:rFonts w:hint="eastAsia"/>
        </w:rPr>
      </w:pPr>
      <w:r>
        <w:t xml:space="preserve">Working data file: kenya_hcv_screening_data.csv. Analysis workbook: kenya_hcv_screening_analysis.xlsx. Trend visual: kenya_hcv_screening_positivity_trend.png. The CSV should be preserved as the raw working dataset; calculations and visualisations </w:t>
      </w:r>
      <w:r>
        <w:t>should remain in separate analysis outputs.</w:t>
      </w:r>
    </w:p>
    <w:sectPr w:rsidR="00D4583B"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6E7" w:rsidRDefault="007156E7">
      <w:pPr>
        <w:spacing w:after="0" w:line="240" w:lineRule="auto"/>
        <w:rPr>
          <w:rFonts w:hint="eastAsia"/>
        </w:rPr>
      </w:pPr>
      <w:r>
        <w:separator/>
      </w:r>
    </w:p>
  </w:endnote>
  <w:endnote w:type="continuationSeparator" w:id="0">
    <w:p w:rsidR="007156E7" w:rsidRDefault="007156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83B" w:rsidRDefault="007156E7">
    <w:pPr>
      <w:pStyle w:val="Footer"/>
      <w:jc w:val="center"/>
      <w:rPr>
        <w:rFonts w:hint="eastAsia"/>
      </w:rPr>
    </w:pPr>
    <w:r>
      <w:rPr>
        <w:color w:val="5B6573"/>
        <w:sz w:val="16"/>
      </w:rPr>
      <w:t>Preliminary report • Public-source investigation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6E7" w:rsidRDefault="007156E7">
      <w:pPr>
        <w:spacing w:after="0" w:line="240" w:lineRule="auto"/>
        <w:rPr>
          <w:rFonts w:hint="eastAsia"/>
        </w:rPr>
      </w:pPr>
      <w:r>
        <w:separator/>
      </w:r>
    </w:p>
  </w:footnote>
  <w:footnote w:type="continuationSeparator" w:id="0">
    <w:p w:rsidR="007156E7" w:rsidRDefault="007156E7">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83B" w:rsidRDefault="007156E7">
    <w:pPr>
      <w:pStyle w:val="Caption"/>
      <w:rPr>
        <w:rFonts w:hint="eastAsia"/>
      </w:rPr>
    </w:pPr>
    <w:r>
      <w:rPr>
        <w:color w:val="168C8C"/>
      </w:rPr>
      <w:t>KENYA HCV SURVEILLANCE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3E46"/>
    <w:rsid w:val="007156E7"/>
    <w:rsid w:val="00AA1D8D"/>
    <w:rsid w:val="00B47730"/>
    <w:rsid w:val="00CB0664"/>
    <w:rsid w:val="00D45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8C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8C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C3D19-51E3-4A6F-AE03-0C9C1CB45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2026-10-26T09:11:00Z</dcterms:created>
  <dcterms:modified xsi:type="dcterms:W3CDTF">2026-10-26T09:11:00Z</dcterms:modified>
</cp:coreProperties>
</file>