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Cartier Eyeglasses — Old Bridge, NJ</w:t>
      </w:r>
    </w:p>
    <w:p>
      <w:r>
        <w:rPr>
          <w:b/>
        </w:rPr>
        <w:t xml:space="preserve">Page: </w:t>
      </w:r>
      <w:r>
        <w:t>https://www.eyeatelier.com/cartier-eyeglasses-old-bridge-nj</w:t>
      </w:r>
    </w:p>
    <w:p>
      <w:r>
        <w:rPr>
          <w:b/>
        </w:rPr>
        <w:t xml:space="preserve">Purpose: </w:t>
      </w:r>
      <w:r>
        <w:t>New sections to deepen the page with Cartier history, named collection families, and materials. Edit freely in your own voice — these will replace the section labels and body text on the live page. When done, send back and I will wire it into the HTML and the FAQ schema.</w:t>
      </w:r>
    </w:p>
    <w:p>
      <w:r>
        <w:rPr>
          <w:b/>
        </w:rPr>
        <w:t xml:space="preserve">Where these go on the page: </w:t>
      </w:r>
      <w:r>
        <w:t>Inserted between the existing two intro paragraphs and the existing "What a Cartier fitting looks like" section. Order matters — keep the section sequence as below.</w:t>
      </w:r>
    </w:p>
    <w:p/>
    <w:p>
      <w:pPr>
        <w:pStyle w:val="Heading2"/>
      </w:pPr>
      <w:r>
        <w:t>Section 1 — H2 heading</w:t>
      </w:r>
    </w:p>
    <w:p>
      <w:r>
        <w:rPr>
          <w:b/>
        </w:rPr>
        <w:t xml:space="preserve">Section label (the H2): </w:t>
      </w:r>
      <w:r>
        <w:t>The Cartier hand</w:t>
      </w:r>
    </w:p>
    <w:p>
      <w:r>
        <w:rPr>
          <w:b/>
        </w:rPr>
        <w:t xml:space="preserve">Italic word in heading (becomes &lt;em&gt;): </w:t>
      </w:r>
      <w:r>
        <w:t>hand</w:t>
      </w:r>
    </w:p>
    <w:p>
      <w:r>
        <w:rPr>
          <w:b/>
        </w:rPr>
        <w:t>Body text:</w:t>
      </w:r>
    </w:p>
    <w:p>
      <w:pPr>
        <w:ind w:left="360"/>
      </w:pPr>
      <w:r>
        <w:t>Cartier was founded in Paris in 1847, and the design grammar that has carried through nearly two centuries of jewelry and watchmaking carries cleanly into eyewear. A Cartier optical reads as Cartier the moment you pick it up — the visible flathead screws (the vis) borrowed from the 1904 Santos watch, the brushed-and-polished metal contrast, the deliberate weight of solid gold and platinum on the most premium pieces, the panther curve in the temples of the feminine silhouettes. The maison's eyewear is now produced under Kering Eyewear, and the production discipline shows: tolerances are tight, finishes are clean, and the pieces feel like objects rather than accessories.</w:t>
      </w:r>
    </w:p>
    <w:p/>
    <w:p>
      <w:pPr>
        <w:pStyle w:val="Heading2"/>
      </w:pPr>
      <w:r>
        <w:t>Section 2 — H2 heading</w:t>
      </w:r>
    </w:p>
    <w:p>
      <w:r>
        <w:rPr>
          <w:b/>
        </w:rPr>
        <w:t xml:space="preserve">Section label (the H2): </w:t>
      </w:r>
      <w:r>
        <w:t>The collections we curate from</w:t>
      </w:r>
    </w:p>
    <w:p>
      <w:r>
        <w:rPr>
          <w:b/>
        </w:rPr>
        <w:t xml:space="preserve">Italic word in heading (becomes &lt;em&gt;): </w:t>
      </w:r>
      <w:r>
        <w:t>from</w:t>
      </w:r>
    </w:p>
    <w:p>
      <w:r>
        <w:rPr>
          <w:b/>
        </w:rPr>
        <w:t>Lead paragraph:</w:t>
      </w:r>
    </w:p>
    <w:p>
      <w:pPr>
        <w:ind w:left="360"/>
      </w:pPr>
      <w:r>
        <w:t>Cartier organizes its eyewear around named collection families that echo the maison's watch and jewelry codes. Our optical curation typically draws from across the range — though, again, availability rotates and a call ahead is the only way to know exactly what is on the floor.</w:t>
      </w:r>
    </w:p>
    <w:p>
      <w:r>
        <w:rPr>
          <w:b/>
        </w:rPr>
        <w:t>Bulleted list of collection families (each bold name + description):</w:t>
      </w:r>
    </w:p>
    <w:p>
      <w:pPr>
        <w:pStyle w:val="ListBullet"/>
        <w:ind w:left="720"/>
      </w:pPr>
      <w:r>
        <w:rPr>
          <w:b/>
        </w:rPr>
        <w:t>Première de Cartier</w:t>
      </w:r>
      <w:r>
        <w:t xml:space="preserve"> — </w:t>
      </w:r>
      <w:r>
        <w:t>the foundational, most premium line. 18k gold and platinum finishes, the signature vis screws, often paired with rich tonal acetate or buffalo horn temples. The piece you reach for when you want a Cartier that is unmistakably a Cartier.</w:t>
      </w:r>
    </w:p>
    <w:p>
      <w:pPr>
        <w:pStyle w:val="ListBullet"/>
        <w:ind w:left="720"/>
      </w:pPr>
      <w:r>
        <w:rPr>
          <w:b/>
        </w:rPr>
        <w:t>Santos de Cartier</w:t>
      </w:r>
      <w:r>
        <w:t xml:space="preserve"> — </w:t>
      </w:r>
      <w:r>
        <w:t>drawn from the 1904 Santos pilot watch. Rectangular and squared silhouettes, exposed screws on the metalwork, masculine but never heavy. A favorite of clients who want a structured, architectural optical.</w:t>
      </w:r>
    </w:p>
    <w:p>
      <w:pPr>
        <w:pStyle w:val="ListBullet"/>
        <w:ind w:left="720"/>
      </w:pPr>
      <w:r>
        <w:rPr>
          <w:b/>
        </w:rPr>
        <w:t>Panthère de Cartier</w:t>
      </w:r>
      <w:r>
        <w:t xml:space="preserve"> — </w:t>
      </w:r>
      <w:r>
        <w:t>the panther motif Cartier has shaped since the 1910s. Feline curves, soft cat-eye and rounded silhouettes, often gilded. Reads as quietly bold rather than loud.</w:t>
      </w:r>
    </w:p>
    <w:p>
      <w:pPr>
        <w:pStyle w:val="ListBullet"/>
        <w:ind w:left="720"/>
      </w:pPr>
      <w:r>
        <w:rPr>
          <w:b/>
        </w:rPr>
        <w:t>Pasha de Cartier</w:t>
      </w:r>
      <w:r>
        <w:t xml:space="preserve"> — </w:t>
      </w:r>
      <w:r>
        <w:t>the round, generous silhouette inherited from the 1985 Pasha watch. Confident proportion, clean lines, and a slightly retro register.</w:t>
      </w:r>
    </w:p>
    <w:p>
      <w:pPr>
        <w:pStyle w:val="ListBullet"/>
        <w:ind w:left="720"/>
      </w:pPr>
      <w:r>
        <w:rPr>
          <w:b/>
        </w:rPr>
        <w:t>Trinity de Cartier</w:t>
      </w:r>
      <w:r>
        <w:t xml:space="preserve"> — </w:t>
      </w:r>
      <w:r>
        <w:t>the three-band motif (yellow, white, and rose gold) translated into temple detail. Subtle, romantic, very recognizable to anyone who knows the jewelry.</w:t>
      </w:r>
    </w:p>
    <w:p>
      <w:pPr>
        <w:pStyle w:val="ListBullet"/>
        <w:ind w:left="720"/>
      </w:pPr>
      <w:r>
        <w:rPr>
          <w:b/>
        </w:rPr>
        <w:t>Signature C de Cartier and Décor C</w:t>
      </w:r>
      <w:r>
        <w:t xml:space="preserve"> — </w:t>
      </w:r>
      <w:r>
        <w:t>the Cartier C motif worked into temples and bridges. Less ostentatious than the Première line; the everyday Cartier for clients who want the codes without the gold.</w:t>
      </w:r>
    </w:p>
    <w:p/>
    <w:p>
      <w:pPr>
        <w:pStyle w:val="Heading2"/>
      </w:pPr>
      <w:r>
        <w:t>Section 3 — H2 heading</w:t>
      </w:r>
    </w:p>
    <w:p>
      <w:r>
        <w:rPr>
          <w:b/>
        </w:rPr>
        <w:t xml:space="preserve">Section label (the H2): </w:t>
      </w:r>
      <w:r>
        <w:t>Materials and finish</w:t>
      </w:r>
    </w:p>
    <w:p>
      <w:r>
        <w:rPr>
          <w:b/>
        </w:rPr>
        <w:t xml:space="preserve">Italic word in heading (becomes &lt;em&gt;): </w:t>
      </w:r>
      <w:r>
        <w:t>finish</w:t>
      </w:r>
    </w:p>
    <w:p>
      <w:r>
        <w:rPr>
          <w:b/>
        </w:rPr>
        <w:t>Body text:</w:t>
      </w:r>
    </w:p>
    <w:p>
      <w:pPr>
        <w:ind w:left="360"/>
      </w:pPr>
      <w:r>
        <w:t>Cartier eyewear works in a small, intentional vocabulary of materials. Solid 18k gold and platinum on the premium pieces — heavier than a plated frame, but adjustable and built to last decades. Titanium for lightweight construction with serious strength, often combined with metalwork at the temple tips. Italian acetate for the warmer, color-rich silhouettes — tortoise, transparent honey, smoke, and saturated solids. Buffalo horn and exotic acetates on certain Première pieces, where the tactility of the temple is part of the experience. We are happy to walk you through the differences in person — material is a real conversation when you are choosing a frame you intend to wear for years.</w:t>
      </w:r>
    </w:p>
    <w:p/>
    <w:p>
      <w:pPr>
        <w:pStyle w:val="Heading1"/>
      </w:pPr>
      <w:r>
        <w:t>New FAQ items (2)</w:t>
      </w:r>
    </w:p>
    <w:p>
      <w:pPr>
        <w:pStyle w:val="Heading2"/>
      </w:pPr>
      <w:r>
        <w:t>FAQ Item 1</w:t>
      </w:r>
    </w:p>
    <w:p>
      <w:r>
        <w:rPr>
          <w:b/>
        </w:rPr>
        <w:t xml:space="preserve">Question: </w:t>
      </w:r>
      <w:r>
        <w:t>Which Cartier eyewear collections do you carry?</w:t>
      </w:r>
    </w:p>
    <w:p>
      <w:r>
        <w:rPr>
          <w:b/>
        </w:rPr>
        <w:t xml:space="preserve">Answer: </w:t>
      </w:r>
    </w:p>
    <w:p>
      <w:pPr>
        <w:ind w:left="360"/>
      </w:pPr>
      <w:r>
        <w:t>Our optical curation draws from across the maison's named collection families — Première, Santos, Panthère, Pasha, Trinity, Signature C, and Décor C. Availability rotates piece by piece; call (732) 696·8933 to confirm what is in the case before your visit.</w:t>
      </w:r>
    </w:p>
    <w:p>
      <w:pPr>
        <w:pStyle w:val="Heading2"/>
      </w:pPr>
      <w:r>
        <w:t>FAQ Item 2</w:t>
      </w:r>
    </w:p>
    <w:p>
      <w:r>
        <w:rPr>
          <w:b/>
        </w:rPr>
        <w:t xml:space="preserve">Question: </w:t>
      </w:r>
      <w:r>
        <w:t>What materials does Cartier use in its eyewear?</w:t>
      </w:r>
    </w:p>
    <w:p>
      <w:r>
        <w:rPr>
          <w:b/>
        </w:rPr>
        <w:t xml:space="preserve">Answer: </w:t>
      </w:r>
    </w:p>
    <w:p>
      <w:pPr>
        <w:ind w:left="360"/>
      </w:pPr>
      <w:r>
        <w:t>A small, intentional palette: solid 18k gold and platinum on premium pieces, titanium for lightweight strength, Italian acetate for color-rich silhouettes, and buffalo horn and exotic acetates on certain Première pieces. We will walk you through the differences in person.</w:t>
      </w:r>
    </w:p>
    <w:p/>
    <w:p>
      <w:pPr>
        <w:pStyle w:val="Heading1"/>
      </w:pPr>
      <w:r>
        <w:t>Reference facts (use as you like)</w:t>
      </w:r>
    </w:p>
    <w:p>
      <w:r>
        <w:rPr>
          <w:i/>
        </w:rPr>
        <w:t>Public/branded facts to draw from when rewriting. The collection names and design codes are Cartier's own naming and are fine to reference directly.</w:t>
      </w:r>
    </w:p>
    <w:p>
      <w:pPr>
        <w:pStyle w:val="Heading2"/>
      </w:pPr>
      <w:r>
        <w:t>Maison</w:t>
      </w:r>
    </w:p>
    <w:p>
      <w:pPr>
        <w:pStyle w:val="ListBullet"/>
      </w:pPr>
      <w:r>
        <w:t>Founded 1847 in Paris by Louis-François Cartier.</w:t>
      </w:r>
    </w:p>
    <w:p>
      <w:pPr>
        <w:pStyle w:val="ListBullet"/>
      </w:pPr>
      <w:r>
        <w:t>Eyewear produced under Kering Eyewear (the official Cartier eyewear licensee, since 2017).</w:t>
      </w:r>
    </w:p>
    <w:p>
      <w:pPr>
        <w:pStyle w:val="Heading2"/>
      </w:pPr>
      <w:r>
        <w:t>Signature design codes</w:t>
      </w:r>
    </w:p>
    <w:p>
      <w:pPr>
        <w:pStyle w:val="ListBullet"/>
      </w:pPr>
      <w:r>
        <w:t>The vis — visible flathead screws on metalwork, originating in the 1904 Santos watch.</w:t>
      </w:r>
    </w:p>
    <w:p>
      <w:pPr>
        <w:pStyle w:val="ListBullet"/>
      </w:pPr>
      <w:r>
        <w:t>The panther / panthère motif — central to Cartier since Jeanne Toussaint's work in the 1910s–40s.</w:t>
      </w:r>
    </w:p>
    <w:p>
      <w:pPr>
        <w:pStyle w:val="ListBullet"/>
      </w:pPr>
      <w:r>
        <w:t>Trinity rings — yellow / white / rose gold three-band motif from the 1924 Trinity ring.</w:t>
      </w:r>
    </w:p>
    <w:p>
      <w:pPr>
        <w:pStyle w:val="ListBullet"/>
      </w:pPr>
      <w:r>
        <w:t>The C de Cartier monogram.</w:t>
      </w:r>
    </w:p>
    <w:p>
      <w:pPr>
        <w:pStyle w:val="Heading2"/>
      </w:pPr>
      <w:r>
        <w:t>Collection families</w:t>
      </w:r>
    </w:p>
    <w:p>
      <w:pPr>
        <w:pStyle w:val="ListBullet"/>
      </w:pPr>
      <w:r>
        <w:t>Première de Cartier</w:t>
      </w:r>
    </w:p>
    <w:p>
      <w:pPr>
        <w:pStyle w:val="ListBullet"/>
      </w:pPr>
      <w:r>
        <w:t>Santos de Cartier</w:t>
      </w:r>
    </w:p>
    <w:p>
      <w:pPr>
        <w:pStyle w:val="ListBullet"/>
      </w:pPr>
      <w:r>
        <w:t>Panthère de Cartier</w:t>
      </w:r>
    </w:p>
    <w:p>
      <w:pPr>
        <w:pStyle w:val="ListBullet"/>
      </w:pPr>
      <w:r>
        <w:t>Pasha de Cartier</w:t>
      </w:r>
    </w:p>
    <w:p>
      <w:pPr>
        <w:pStyle w:val="ListBullet"/>
      </w:pPr>
      <w:r>
        <w:t>Trinity de Cartier</w:t>
      </w:r>
    </w:p>
    <w:p>
      <w:pPr>
        <w:pStyle w:val="ListBullet"/>
      </w:pPr>
      <w:r>
        <w:t>Signature C de Cartier</w:t>
      </w:r>
    </w:p>
    <w:p>
      <w:pPr>
        <w:pStyle w:val="ListBullet"/>
      </w:pPr>
      <w:r>
        <w:t>Décor C</w:t>
      </w:r>
    </w:p>
    <w:p>
      <w:pPr>
        <w:pStyle w:val="ListBullet"/>
      </w:pPr>
      <w:r>
        <w:t>Core / lifestyle titanium and acetate everyday pieces</w:t>
      </w:r>
    </w:p>
    <w:p>
      <w:pPr>
        <w:pStyle w:val="Heading2"/>
      </w:pPr>
      <w:r>
        <w:t>Materials Cartier uses in eyewear</w:t>
      </w:r>
    </w:p>
    <w:p>
      <w:pPr>
        <w:pStyle w:val="ListBullet"/>
      </w:pPr>
      <w:r>
        <w:t>Solid 18k gold (yellow / white / rose), platinum, and palladium plating on the premium tier</w:t>
      </w:r>
    </w:p>
    <w:p>
      <w:pPr>
        <w:pStyle w:val="ListBullet"/>
      </w:pPr>
      <w:r>
        <w:t>Titanium core construction on contemporary pieces</w:t>
      </w:r>
    </w:p>
    <w:p>
      <w:pPr>
        <w:pStyle w:val="ListBullet"/>
      </w:pPr>
      <w:r>
        <w:t>Italian acetate (color-rich, including signature tortoises and saturated solids)</w:t>
      </w:r>
    </w:p>
    <w:p>
      <w:pPr>
        <w:pStyle w:val="ListBullet"/>
      </w:pPr>
      <w:r>
        <w:t>Buffalo horn and exotic acetate on certain Première pieces</w:t>
      </w:r>
    </w:p>
    <w:p>
      <w:pPr>
        <w:pStyle w:val="ListBullet"/>
      </w:pPr>
      <w:r>
        <w:t>Combinations of metal + acetate temples</w:t>
      </w:r>
    </w:p>
    <w:p/>
    <w:p>
      <w:pPr>
        <w:pStyle w:val="Heading1"/>
      </w:pPr>
      <w:r>
        <w:t>Editing notes</w:t>
      </w:r>
    </w:p>
    <w:p>
      <w:pPr>
        <w:pStyle w:val="ListBullet"/>
      </w:pPr>
      <w:r>
        <w:t>Edit the body text freely in your own voice. The drafts above are starting points, not final copy.</w:t>
      </w:r>
    </w:p>
    <w:p>
      <w:pPr>
        <w:pStyle w:val="ListBullet"/>
      </w:pPr>
      <w:r>
        <w:t>Keep section labels (the H2 headings) short — two to four words works best with the existing typography.</w:t>
      </w:r>
    </w:p>
    <w:p>
      <w:pPr>
        <w:pStyle w:val="ListBullet"/>
      </w:pPr>
      <w:r>
        <w:t>You can change which word in each H2 is italicized — that word renders in the Fraunces italic on the live page. If unsure, leave as-is.</w:t>
      </w:r>
    </w:p>
    <w:p>
      <w:pPr>
        <w:pStyle w:val="ListBullet"/>
      </w:pPr>
      <w:r>
        <w:t>Avoid lifting Kering's prose verbatim. Their words are their copyright even for resellers; their facts and collection names are fine.</w:t>
      </w:r>
    </w:p>
    <w:p>
      <w:pPr>
        <w:pStyle w:val="ListBullet"/>
      </w:pPr>
      <w:r>
        <w:t>Avoid claiming specific SKUs are in stock — phrase as "we curate from" / "selection rotates" so claims stay accurate week to week.</w:t>
      </w:r>
    </w:p>
    <w:p>
      <w:pPr>
        <w:pStyle w:val="ListBullet"/>
      </w:pPr>
      <w:r>
        <w:t>When done, save and send back. I will integrate it into the HTML and FAQPage JSON-LD and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