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Model Capacity Trade-off: TinyUNet in Context</w:t>
      </w:r>
    </w:p>
    <w:p>
      <w:pPr>
        <w:spacing w:after="200"/>
      </w:pPr>
      <w:r>
        <w:rPr>
          <w:i/>
          <w:iCs/>
          <w:sz w:val="19"/>
          <w:szCs w:val="19"/>
        </w:rPr>
        <w:t xml:space="preserve">TinyUNet's parameter count (117,041) is compared against a spectrum of larger segmentation and inpainting architectures, from lightweight research variants up to the original standard U-Net and the pretrained LaMa model used elsewhere in this pipeline (aiml_06_artifacts_removal_lama.py). Parameter count in U-Net-style architectures scales approximately with the square of channel width, so even modest increases in base channel width produce large jumps in model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1600"/>
        <w:gridCol w:w="1560"/>
      </w:tblGrid>
      <w:tr>
        <w:trPr>
          <w:tblHeader/>
        </w:trPr>
        <w:tc>
          <w:tcPr>
            <w:tcW w:type="dxa" w:w="26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 Channels / Depth</w:t>
            </w:r>
          </w:p>
        </w:tc>
        <w:tc>
          <w:tcPr>
            <w:tcW w:type="dxa" w:w="16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Approx. Parameters</w:t>
            </w:r>
          </w:p>
        </w:tc>
        <w:tc>
          <w:tcPr>
            <w:tcW w:type="dxa" w:w="16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vs. TinyUNet</w:t>
            </w:r>
          </w:p>
        </w:tc>
        <w:tc>
          <w:tcPr>
            <w:tcW w:type="dxa" w:w="15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</w:tr>
      <w:tr>
        <w:tc>
          <w:tcPr>
            <w:tcW w:type="dxa" w:w="2600"/>
            <w:shd w:fill="D9E8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TinyUNet (this project)</w:t>
            </w:r>
          </w:p>
        </w:tc>
        <w:tc>
          <w:tcPr>
            <w:tcW w:type="dxa" w:w="2000"/>
            <w:shd w:fill="D9E8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16→32→64, 2 pooling stages</w:t>
            </w:r>
          </w:p>
        </w:tc>
        <w:tc>
          <w:tcPr>
            <w:tcW w:type="dxa" w:w="1600"/>
            <w:shd w:fill="D9E8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~117K</w:t>
            </w:r>
          </w:p>
        </w:tc>
        <w:tc>
          <w:tcPr>
            <w:tcW w:type="dxa" w:w="1600"/>
            <w:shd w:fill="D9E8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1×</w:t>
            </w:r>
          </w:p>
        </w:tc>
        <w:tc>
          <w:tcPr>
            <w:tcW w:type="dxa" w:w="1560"/>
            <w:shd w:fill="D9E8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Teaching demo / pilot pipeline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"Small U-Net" community variants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32→64→128→256, 3 stages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~1.9M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~16×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Tutorials, Kaggle baselines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Quarter-width standard U-Net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16→32→64→128→256→512, 4 stages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~2M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~17×</w:t>
            </w:r>
          </w:p>
        </w:tc>
        <w:tc>
          <w:tcPr>
            <w:tcW w:type="dxa" w:w="15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Lightweight research baseline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U-Net + MobileNetV2 encoder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Pretrained mobile-optimised encoder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~6–9M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~55–75×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 lightweight production choice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Half-width standard U-Net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32→64→128→256→512→1024, 4 stages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~7.8M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~67×</w:t>
            </w:r>
          </w:p>
        </w:tc>
        <w:tc>
          <w:tcPr>
            <w:tcW w:type="dxa" w:w="15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Reduced-capacity research variant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U-Net + ResNet-34 encoder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Pretrained ImageNet encoder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~24M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~205×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Very common production segmentation choice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U-Net (original paper)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64→128→256→512→1024, 4 stages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~31M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~265×</w:t>
            </w:r>
          </w:p>
        </w:tc>
        <w:tc>
          <w:tcPr>
            <w:tcW w:type="dxa" w:w="15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 medical-imaging architecture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LaMa-Dilated (mobile)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Distilled inpainting model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~45.6M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~390×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On-device inpainting (different task)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LaMa / Big LaMa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9–18 FFC residual blocks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~27–51M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~230–436×</w:t>
            </w:r>
          </w:p>
        </w:tc>
        <w:tc>
          <w:tcPr>
            <w:tcW w:type="dxa" w:w="15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Pretrained inpainting (this project's artefact removal step)</w:t>
            </w:r>
          </w:p>
        </w:tc>
      </w:tr>
    </w:tbl>
    <w:p>
      <w:pPr>
        <w:spacing w:before="240"/>
      </w:pPr>
      <w:r>
        <w:rPr>
          <w:i/>
          <w:iCs/>
          <w:color w:val="6B7280"/>
          <w:sz w:val="18"/>
          <w:szCs w:val="18"/>
        </w:rPr>
        <w:t xml:space="preserve">Note: LaMa entries are included for cross-pipeline context (a different task — inpainting/artefact removal — rather than segmentation) rather than as a direct architectural alternative to TinyUNet.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2026-08-13T11:57:46.794Z</dcterms:created>
  <dcterms:modified xsi:type="dcterms:W3CDTF">2026-08-13T11:57:46.794Z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