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3236" w14:textId="0CD5C0A6" w:rsidR="00AE4B86" w:rsidRDefault="00DC370C" w:rsidP="00AE4B86">
      <w:pPr>
        <w:pStyle w:val="Heading1"/>
      </w:pPr>
      <w:r>
        <w:t>Project</w:t>
      </w:r>
      <w:r w:rsidR="00AE4B86">
        <w:t xml:space="preserve"> Summary</w:t>
      </w:r>
    </w:p>
    <w:p w14:paraId="10977CC5" w14:textId="2B5749EF" w:rsidR="001F7541" w:rsidRDefault="001F7541" w:rsidP="001F7541">
      <w:pPr>
        <w:rPr>
          <w:rFonts w:ascii="Arial" w:hAnsi="Arial" w:cs="Arial"/>
          <w:sz w:val="24"/>
          <w:szCs w:val="24"/>
        </w:rPr>
      </w:pPr>
      <w:r>
        <w:rPr>
          <w:rFonts w:ascii="Arial" w:hAnsi="Arial" w:cs="Arial"/>
          <w:sz w:val="24"/>
          <w:szCs w:val="24"/>
        </w:rPr>
        <w:t xml:space="preserve">Cotton plays an important role in the Australian economy, accounting for 3.1 billion dollars annually and providing employment for more than 10,000 people. However, the decentralised nature of this industry in Australia makes large-scale decision-making challenging. This can be addressed by an ability to predict cotton yields from the major cotton-growing regions before the harvest. While there are crop yield prediction systems, those that are usually utilised tend to be small-scale and rely heavily on the infrastructure of sensors that is not always available. This project proposes to create a system that can forecast cotton yields for large geographical areas, while relying solely on publicly available data. </w:t>
      </w:r>
    </w:p>
    <w:p w14:paraId="1E60486C" w14:textId="77777777" w:rsidR="001C708A" w:rsidRDefault="001C708A" w:rsidP="001C708A">
      <w:pPr>
        <w:rPr>
          <w:rFonts w:ascii="Arial" w:hAnsi="Arial" w:cs="Arial"/>
          <w:sz w:val="24"/>
          <w:szCs w:val="24"/>
        </w:rPr>
      </w:pPr>
      <w:r>
        <w:rPr>
          <w:rFonts w:ascii="Arial" w:hAnsi="Arial" w:cs="Arial"/>
          <w:sz w:val="24"/>
          <w:szCs w:val="24"/>
        </w:rPr>
        <w:t>The project targets the Murray-Darling river basin, where most of the Australian cotton is grown, and a combination of cotton yield records, climate and soil data, and vegetation indices is used to create predictive models, and all the statistics are aggregated to the level of the cotton yield records, i.e., regional and annual. For each of the regions, a separate preprocessing pipeline is created, and a machine learning model is trained. The web dashboard provides access to the forecasts for each region, as well as aggregated statistics based on the data used to make these forecasts.</w:t>
      </w:r>
    </w:p>
    <w:p w14:paraId="6EC72C20" w14:textId="77777777" w:rsidR="001C708A" w:rsidRDefault="001C708A" w:rsidP="001C708A">
      <w:pPr>
        <w:rPr>
          <w:rFonts w:ascii="Arial" w:hAnsi="Arial" w:cs="Arial"/>
          <w:sz w:val="24"/>
          <w:szCs w:val="24"/>
        </w:rPr>
      </w:pPr>
      <w:r>
        <w:rPr>
          <w:rFonts w:ascii="Arial" w:hAnsi="Arial" w:cs="Arial"/>
          <w:sz w:val="24"/>
          <w:szCs w:val="24"/>
        </w:rPr>
        <w:t>The cotton yield records are available for 12 regions of the Murray-Darling basin, covering the years from 2006 to 2019, for 11 of those regions, and from 2011 to 2019 for 1 of them. The records for 2020, while available, were dropped since the cotton production was heavily impacted by bushfires during that season. These regions were also georeferenced to create a geodata file containing their coordinates. Additionally, the total area of each region was calculated. For the climate data, a list of meteorological stations was created based on the regional coordinates and daily records of temperature extremes, daily and nightly humidity, solar radiation, and evapotranspiration were acquired and aggregated into different statistics for each region. After that, the dates were allocated to one of the major seasons of the cotton growing process: planting, growing, flowering, maturation and harvesting, and off-season, and records that fell into the last period were dropped, while the rest were aggregated to the seasonal level. For the soil attributes, phosphorus, nitrogen and pH levels, as well as soil types were used. For the soil types, the percentage of the area that each type accounts for in each region was calculated. In the case of the other soil features, the range of values each of them takes was split into uniform bins, and the percentage that values for each bin occupy out of the total area of the region was calculated. The last feature was Normalised Difference Vegetation Index (NDVI), for which the index values were grouped into 6 distinct bins:  “</w:t>
      </w:r>
      <w:r w:rsidRPr="00006492">
        <w:rPr>
          <w:rFonts w:ascii="Arial" w:hAnsi="Arial" w:cs="Arial"/>
          <w:sz w:val="24"/>
          <w:szCs w:val="24"/>
        </w:rPr>
        <w:t>Water/Snow/Clouds", "Bare Soil", "Sparse Veg</w:t>
      </w:r>
      <w:r>
        <w:rPr>
          <w:rFonts w:ascii="Arial" w:hAnsi="Arial" w:cs="Arial"/>
          <w:sz w:val="24"/>
          <w:szCs w:val="24"/>
        </w:rPr>
        <w:t>etation</w:t>
      </w:r>
      <w:r w:rsidRPr="00006492">
        <w:rPr>
          <w:rFonts w:ascii="Arial" w:hAnsi="Arial" w:cs="Arial"/>
          <w:sz w:val="24"/>
          <w:szCs w:val="24"/>
        </w:rPr>
        <w:t>", "Moderate Veg</w:t>
      </w:r>
      <w:r>
        <w:rPr>
          <w:rFonts w:ascii="Arial" w:hAnsi="Arial" w:cs="Arial"/>
          <w:sz w:val="24"/>
          <w:szCs w:val="24"/>
        </w:rPr>
        <w:t>etation</w:t>
      </w:r>
      <w:r w:rsidRPr="00006492">
        <w:rPr>
          <w:rFonts w:ascii="Arial" w:hAnsi="Arial" w:cs="Arial"/>
          <w:sz w:val="24"/>
          <w:szCs w:val="24"/>
        </w:rPr>
        <w:t>", "Dense Veg</w:t>
      </w:r>
      <w:r>
        <w:rPr>
          <w:rFonts w:ascii="Arial" w:hAnsi="Arial" w:cs="Arial"/>
          <w:sz w:val="24"/>
          <w:szCs w:val="24"/>
        </w:rPr>
        <w:t>etation</w:t>
      </w:r>
      <w:r w:rsidRPr="00006492">
        <w:rPr>
          <w:rFonts w:ascii="Arial" w:hAnsi="Arial" w:cs="Arial"/>
          <w:sz w:val="24"/>
          <w:szCs w:val="24"/>
        </w:rPr>
        <w:t xml:space="preserve">", </w:t>
      </w:r>
      <w:r>
        <w:rPr>
          <w:rFonts w:ascii="Arial" w:hAnsi="Arial" w:cs="Arial"/>
          <w:sz w:val="24"/>
          <w:szCs w:val="24"/>
        </w:rPr>
        <w:t xml:space="preserve">and </w:t>
      </w:r>
      <w:r w:rsidRPr="00006492">
        <w:rPr>
          <w:rFonts w:ascii="Arial" w:hAnsi="Arial" w:cs="Arial"/>
          <w:sz w:val="24"/>
          <w:szCs w:val="24"/>
        </w:rPr>
        <w:t>"Very Dense Veg</w:t>
      </w:r>
      <w:r>
        <w:rPr>
          <w:rFonts w:ascii="Arial" w:hAnsi="Arial" w:cs="Arial"/>
          <w:sz w:val="24"/>
          <w:szCs w:val="24"/>
        </w:rPr>
        <w:t>etation</w:t>
      </w:r>
      <w:r w:rsidRPr="00006492">
        <w:rPr>
          <w:rFonts w:ascii="Arial" w:hAnsi="Arial" w:cs="Arial"/>
          <w:sz w:val="24"/>
          <w:szCs w:val="24"/>
        </w:rPr>
        <w:t>"</w:t>
      </w:r>
      <w:r>
        <w:rPr>
          <w:rFonts w:ascii="Arial" w:hAnsi="Arial" w:cs="Arial"/>
          <w:sz w:val="24"/>
          <w:szCs w:val="24"/>
        </w:rPr>
        <w:t xml:space="preserve">, but the water bin was dropped since it accounted for negligible percentage of the area. Then, the values were aggregated to cotton growing seasons in the same way as the climate statistics. The statistics from the harvesting seasons for each year were dropped so that the models could train to forecast. The dataset of these features was then split into 12 </w:t>
      </w:r>
      <w:r>
        <w:rPr>
          <w:rFonts w:ascii="Arial" w:hAnsi="Arial" w:cs="Arial"/>
          <w:sz w:val="24"/>
          <w:szCs w:val="24"/>
        </w:rPr>
        <w:lastRenderedPageBreak/>
        <w:t>regional datasets, primarily because the yields vary greatly from region to region. In total, there are 11 regions that contain 14 years of data, and one that has 9 years.</w:t>
      </w:r>
    </w:p>
    <w:p w14:paraId="4EC4CB2B" w14:textId="77777777" w:rsidR="002658E5" w:rsidRDefault="001C708A">
      <w:pPr>
        <w:rPr>
          <w:rFonts w:ascii="Arial" w:hAnsi="Arial" w:cs="Arial"/>
          <w:sz w:val="24"/>
          <w:szCs w:val="24"/>
        </w:rPr>
      </w:pPr>
      <w:r>
        <w:rPr>
          <w:rFonts w:ascii="Arial" w:hAnsi="Arial" w:cs="Arial"/>
          <w:sz w:val="24"/>
          <w:szCs w:val="24"/>
        </w:rPr>
        <w:t xml:space="preserve">For each of the 12 regions a separate machine learning model was trained. Among the models that were tested in this project, there are Ridge Regression (RR), Elastic Net Regression (ENR) and </w:t>
      </w:r>
      <w:r w:rsidRPr="00240F13">
        <w:rPr>
          <w:rFonts w:ascii="Arial" w:hAnsi="Arial" w:cs="Arial"/>
          <w:sz w:val="24"/>
          <w:szCs w:val="24"/>
        </w:rPr>
        <w:t>Partial Least Squares</w:t>
      </w:r>
      <w:r>
        <w:rPr>
          <w:rFonts w:ascii="Arial" w:hAnsi="Arial" w:cs="Arial"/>
          <w:sz w:val="24"/>
          <w:szCs w:val="24"/>
        </w:rPr>
        <w:t xml:space="preserve"> Regression (PLSR), Decision Tree (DT), Random Forest (RF), Extreme Gradient Boosting (XGB), Support Vector Regressor (SVR), Bayesian Ridge (BR) and Gaussian Process (GP) with </w:t>
      </w:r>
      <w:r w:rsidRPr="006369EB">
        <w:rPr>
          <w:rFonts w:ascii="Arial" w:hAnsi="Arial" w:cs="Arial"/>
          <w:sz w:val="24"/>
          <w:szCs w:val="24"/>
        </w:rPr>
        <w:t xml:space="preserve">Radial </w:t>
      </w:r>
      <w:r>
        <w:rPr>
          <w:rFonts w:ascii="Arial" w:hAnsi="Arial" w:cs="Arial"/>
          <w:sz w:val="24"/>
          <w:szCs w:val="24"/>
        </w:rPr>
        <w:t>B</w:t>
      </w:r>
      <w:r w:rsidRPr="006369EB">
        <w:rPr>
          <w:rFonts w:ascii="Arial" w:hAnsi="Arial" w:cs="Arial"/>
          <w:sz w:val="24"/>
          <w:szCs w:val="24"/>
        </w:rPr>
        <w:t xml:space="preserve">asis </w:t>
      </w:r>
      <w:r>
        <w:rPr>
          <w:rFonts w:ascii="Arial" w:hAnsi="Arial" w:cs="Arial"/>
          <w:sz w:val="24"/>
          <w:szCs w:val="24"/>
        </w:rPr>
        <w:t>F</w:t>
      </w:r>
      <w:r w:rsidRPr="006369EB">
        <w:rPr>
          <w:rFonts w:ascii="Arial" w:hAnsi="Arial" w:cs="Arial"/>
          <w:sz w:val="24"/>
          <w:szCs w:val="24"/>
        </w:rPr>
        <w:t>unction</w:t>
      </w:r>
      <w:r w:rsidRPr="00BD5DBA">
        <w:rPr>
          <w:rFonts w:ascii="Arial" w:hAnsi="Arial" w:cs="Arial"/>
          <w:sz w:val="24"/>
          <w:szCs w:val="24"/>
        </w:rPr>
        <w:t xml:space="preserve">, White and Quadratic </w:t>
      </w:r>
      <w:r>
        <w:rPr>
          <w:rFonts w:ascii="Arial" w:hAnsi="Arial" w:cs="Arial"/>
          <w:sz w:val="24"/>
          <w:szCs w:val="24"/>
        </w:rPr>
        <w:t>k</w:t>
      </w:r>
      <w:r w:rsidRPr="00BD5DBA">
        <w:rPr>
          <w:rFonts w:ascii="Arial" w:hAnsi="Arial" w:cs="Arial"/>
          <w:sz w:val="24"/>
          <w:szCs w:val="24"/>
        </w:rPr>
        <w:t>ernels</w:t>
      </w:r>
      <w:r>
        <w:rPr>
          <w:rFonts w:ascii="Arial" w:hAnsi="Arial" w:cs="Arial"/>
          <w:sz w:val="24"/>
          <w:szCs w:val="24"/>
        </w:rPr>
        <w:t xml:space="preserve">. In addition, 3 preprocessing methods were tried: no preprocessing (None), Standard Scaler with Principal Component Analysis (PCA), and Standard Scaler with Partial Least Squares Regression (PLSR). The models were tuned and tested using the walk-forward method with 7 years as a minimum number of training years, and the tuning was done using exhaustive grid search. In order to assess models’ performance, Mean Absolute Scaled Error (MASE) and Root Mean Squared Error (RMSE) were used, where the former was used as the main metric for tuning because it is normalised. The DT performed the best in 6 regions, for 3 regions XGB was the best fit, and BR, ENR and RF showed the best MASE scores in one of the regions each. In most cases, preprocessing improved the performance of the models, and PCA provided the better improvement for most of the regions. The range of MASE scores between all the regions is from 0.35 to 0.94, and for half of the regions, the MASE is lower than or equal to 0.50. </w:t>
      </w:r>
    </w:p>
    <w:p w14:paraId="11F82705" w14:textId="0090D194" w:rsidR="00AB7C41" w:rsidRPr="002658E5" w:rsidRDefault="00613EDA">
      <w:pPr>
        <w:rPr>
          <w:rFonts w:ascii="Arial" w:hAnsi="Arial" w:cs="Arial"/>
          <w:sz w:val="24"/>
          <w:szCs w:val="24"/>
        </w:rPr>
      </w:pPr>
      <w:r>
        <w:rPr>
          <w:rFonts w:ascii="Arial" w:hAnsi="Arial" w:cs="Arial"/>
          <w:sz w:val="24"/>
          <w:szCs w:val="24"/>
        </w:rPr>
        <w:t>In conclusion, this project provides a tool that can enhance decision-making, risk assessment and transparency for cotton farmers, industry groups and policymakers.</w:t>
      </w:r>
    </w:p>
    <w:sectPr w:rsidR="00AB7C41" w:rsidRPr="002658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826"/>
    <w:rsid w:val="001104C2"/>
    <w:rsid w:val="001C708A"/>
    <w:rsid w:val="001F7541"/>
    <w:rsid w:val="002658E5"/>
    <w:rsid w:val="005077CB"/>
    <w:rsid w:val="005A7E5C"/>
    <w:rsid w:val="006021B7"/>
    <w:rsid w:val="00613EDA"/>
    <w:rsid w:val="00723E80"/>
    <w:rsid w:val="008A72A4"/>
    <w:rsid w:val="00AB7C41"/>
    <w:rsid w:val="00AE4B86"/>
    <w:rsid w:val="00C11053"/>
    <w:rsid w:val="00C138B6"/>
    <w:rsid w:val="00D1164D"/>
    <w:rsid w:val="00DC370C"/>
    <w:rsid w:val="00FC58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99F2"/>
  <w15:chartTrackingRefBased/>
  <w15:docId w15:val="{2D7EEA41-65FA-48D3-B0C2-E86C5F04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541"/>
  </w:style>
  <w:style w:type="paragraph" w:styleId="Heading1">
    <w:name w:val="heading 1"/>
    <w:basedOn w:val="Normal"/>
    <w:next w:val="Normal"/>
    <w:link w:val="Heading1Char"/>
    <w:uiPriority w:val="9"/>
    <w:qFormat/>
    <w:rsid w:val="00FC5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826"/>
    <w:rPr>
      <w:rFonts w:eastAsiaTheme="majorEastAsia" w:cstheme="majorBidi"/>
      <w:color w:val="272727" w:themeColor="text1" w:themeTint="D8"/>
    </w:rPr>
  </w:style>
  <w:style w:type="paragraph" w:styleId="Title">
    <w:name w:val="Title"/>
    <w:basedOn w:val="Normal"/>
    <w:next w:val="Normal"/>
    <w:link w:val="TitleChar"/>
    <w:uiPriority w:val="10"/>
    <w:qFormat/>
    <w:rsid w:val="00FC5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826"/>
    <w:pPr>
      <w:spacing w:before="160"/>
      <w:jc w:val="center"/>
    </w:pPr>
    <w:rPr>
      <w:i/>
      <w:iCs/>
      <w:color w:val="404040" w:themeColor="text1" w:themeTint="BF"/>
    </w:rPr>
  </w:style>
  <w:style w:type="character" w:customStyle="1" w:styleId="QuoteChar">
    <w:name w:val="Quote Char"/>
    <w:basedOn w:val="DefaultParagraphFont"/>
    <w:link w:val="Quote"/>
    <w:uiPriority w:val="29"/>
    <w:rsid w:val="00FC5826"/>
    <w:rPr>
      <w:i/>
      <w:iCs/>
      <w:color w:val="404040" w:themeColor="text1" w:themeTint="BF"/>
    </w:rPr>
  </w:style>
  <w:style w:type="paragraph" w:styleId="ListParagraph">
    <w:name w:val="List Paragraph"/>
    <w:basedOn w:val="Normal"/>
    <w:uiPriority w:val="34"/>
    <w:qFormat/>
    <w:rsid w:val="00FC5826"/>
    <w:pPr>
      <w:ind w:left="720"/>
      <w:contextualSpacing/>
    </w:pPr>
  </w:style>
  <w:style w:type="character" w:styleId="IntenseEmphasis">
    <w:name w:val="Intense Emphasis"/>
    <w:basedOn w:val="DefaultParagraphFont"/>
    <w:uiPriority w:val="21"/>
    <w:qFormat/>
    <w:rsid w:val="00FC5826"/>
    <w:rPr>
      <w:i/>
      <w:iCs/>
      <w:color w:val="0F4761" w:themeColor="accent1" w:themeShade="BF"/>
    </w:rPr>
  </w:style>
  <w:style w:type="paragraph" w:styleId="IntenseQuote">
    <w:name w:val="Intense Quote"/>
    <w:basedOn w:val="Normal"/>
    <w:next w:val="Normal"/>
    <w:link w:val="IntenseQuoteChar"/>
    <w:uiPriority w:val="30"/>
    <w:qFormat/>
    <w:rsid w:val="00FC5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826"/>
    <w:rPr>
      <w:i/>
      <w:iCs/>
      <w:color w:val="0F4761" w:themeColor="accent1" w:themeShade="BF"/>
    </w:rPr>
  </w:style>
  <w:style w:type="character" w:styleId="IntenseReference">
    <w:name w:val="Intense Reference"/>
    <w:basedOn w:val="DefaultParagraphFont"/>
    <w:uiPriority w:val="32"/>
    <w:qFormat/>
    <w:rsid w:val="00FC5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824</Words>
  <Characters>4338</Characters>
  <Application>Microsoft Office Word</Application>
  <DocSecurity>0</DocSecurity>
  <Lines>66</Lines>
  <Paragraphs>8</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Sharavara</dc:creator>
  <cp:keywords/>
  <dc:description/>
  <cp:lastModifiedBy>Dmytro Sharavara</cp:lastModifiedBy>
  <cp:revision>14</cp:revision>
  <dcterms:created xsi:type="dcterms:W3CDTF">2025-12-08T05:31:00Z</dcterms:created>
  <dcterms:modified xsi:type="dcterms:W3CDTF">2025-12-09T00:26:00Z</dcterms:modified>
</cp:coreProperties>
</file>