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44"/>
          <w:szCs w:val="44"/>
        </w:rPr>
        <w:t xml:space="preserve">ТЕХНІЧНЕ ЗАВДАННЯ</w:t>
      </w:r>
    </w:p>
    <w:p>
      <w:pPr>
        <w:spacing w:after="400"/>
        <w:jc w:val="center"/>
      </w:pPr>
      <w:r>
        <w:rPr>
          <w:b/>
          <w:bCs/>
          <w:color w:val="2E5395"/>
          <w:sz w:val="30"/>
          <w:szCs w:val="30"/>
        </w:rPr>
        <w:t xml:space="preserve">на розробку веб-модуля «Лабораторна інформаційна система» (ЛІС)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у складі медичної інформаційної системи (МІС) та як окремий продукт</w:t>
      </w:r>
    </w:p>
    <w:p>
      <w:pPr>
        <w:spacing w:after="700"/>
        <w:jc w:val="center"/>
      </w:pPr>
      <w:r>
        <w:rPr>
          <w:color w:val="595959"/>
          <w:sz w:val="20"/>
          <w:szCs w:val="20"/>
        </w:rPr>
        <w:t xml:space="preserve">Переосмислена та структурована версія 2.0 · Липень 2026</w:t>
      </w:r>
    </w:p>
    <w:p>
      <w:pPr>
        <w:spacing w:after="80"/>
        <w:jc w:val="center"/>
      </w:pPr>
      <w:r>
        <w:rPr>
          <w:color w:val="595959"/>
          <w:sz w:val="19"/>
          <w:szCs w:val="19"/>
        </w:rPr>
        <w:t xml:space="preserve">Консолідовано на основі: базового ТЗ вікна «Дослідження» / «Довідник послуг»,</w:t>
      </w:r>
    </w:p>
    <w:p>
      <w:pPr>
        <w:spacing w:after="80"/>
        <w:jc w:val="center"/>
      </w:pPr>
      <w:r>
        <w:rPr>
          <w:color w:val="595959"/>
          <w:sz w:val="19"/>
          <w:szCs w:val="19"/>
        </w:rPr>
        <w:t xml:space="preserve">порівняльного аналізу з рішеннями STARLIS та LISmart, огляду демо-версії базової ЛІС</w:t>
      </w:r>
    </w:p>
    <w:p>
      <w:pPr>
        <w:spacing w:after="800"/>
        <w:jc w:val="center"/>
      </w:pPr>
      <w:r>
        <w:rPr>
          <w:i/>
          <w:iCs/>
          <w:color w:val="595959"/>
          <w:sz w:val="19"/>
          <w:szCs w:val="19"/>
        </w:rPr>
        <w:t xml:space="preserve">Документ призначено для прийняття рішення власником продукту щодо складу та черговості модулів розробки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Мета та контекст документа</w:t>
      </w:r>
    </w:p>
    <w:p>
      <w:pPr>
        <w:spacing w:after="140" w:line="300"/>
      </w:pPr>
      <w:r>
        <w:rPr>
          <w:sz w:val="21"/>
          <w:szCs w:val="21"/>
        </w:rPr>
        <w:t xml:space="preserve">Цей документ є переосмисленою та структурованою версією технічного завдання на модуль «Лабораторна інформаційна система» (ЛІС), що консолідує три джерела, накопичені в процесі аналізу ринку: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початкове функціональне ТЗ вікна лаборанта «Дослідження» та картки «Довідник послуг» веб-МІС;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порівняльний gap-аналіз функціоналу з промисловими LIS-рішеннями STARLIS (фокус: контроль якості, автоверифікація, delta-check, reflex-тестування) та LISmart компанії NeoTechLab (фокус: мікробіологія, апаратні інтеграції, фінансовий та складський облік, HL7);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огляд демонстраційних матеріалів (відео та скріншоти) ЛІС початкового рівня, що ілюструє мінімально необхідний набір сценаріїв роботи лабораторії (майстер запуску, довідники, введення результатів, базовий QC, друк, розсилка).</w:t>
      </w:r>
    </w:p>
    <w:p>
      <w:pPr>
        <w:spacing w:after="140" w:line="300"/>
      </w:pPr>
      <w:r>
        <w:rPr>
          <w:sz w:val="21"/>
          <w:szCs w:val="21"/>
        </w:rPr>
        <w:t xml:space="preserve">На відміну від початкового ТЗ, яке було побудоване як послідовність доповнень («доопрацьоване», з розділами-нашаруваннями по кожному джерелу), цей документ переорганізує весь накопичений матеріал у єдину, несуперечливу структуру: від продуктового бачення — до реєстру модулів з пріоритетами — до детальних вимог. Мета — дати власнику продукту компактний, повний і однозначний інструмент для ухвалення рішень щодо обсягу MVP та черговості релізів.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1.1. Ключові принципи переосмислення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Пріоритет — малі та середні лабораторії. </w:t>
      </w:r>
      <w:r>
        <w:rPr>
          <w:sz w:val="21"/>
          <w:szCs w:val="21"/>
        </w:rPr>
        <w:t xml:space="preserve">Функціонал структуровано так, щоб базовий продукт (MVP) закривав 100% потреб лабораторії з 1–5 робочими місцями без надлишкової складності корпоративних LIS-рішень; розширені можливості (мікробіологія, генетика, повноцінний складський облік, фіскалізація) винесені у пізніші релізи або позначені як опційні.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Веб-first, без десктопної версії. </w:t>
      </w:r>
      <w:r>
        <w:rPr>
          <w:sz w:val="21"/>
          <w:szCs w:val="21"/>
        </w:rPr>
        <w:t xml:space="preserve">На відміну від початкового ТЗ ЛІС, яке розглядало паралельну desktop-версію, ця редакція фіксує розробку виключно як веб-застосунок (SaaS/cloud), що відповідає стратегії МІС-платформи та знижує вартість підтримки.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Кабінет пацієнта як точка диференціації. </w:t>
      </w:r>
      <w:r>
        <w:rPr>
          <w:sz w:val="21"/>
          <w:szCs w:val="21"/>
        </w:rPr>
        <w:t xml:space="preserve">Жодне з проаналізованих джерел (базове ТЗ, STARLIS, LISmart, демо-ЛІС) не описує кабінет пацієнта — цей розділ розроблено «з нуля» за практиками провідних лабораторних мереж (Synevo, Діла, Сінево, Invitro) та адаптовано під потреби МІС.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Максимальне охоплення модулів для рішення власника продукту. </w:t>
      </w:r>
      <w:r>
        <w:rPr>
          <w:sz w:val="21"/>
          <w:szCs w:val="21"/>
        </w:rPr>
        <w:t xml:space="preserve">Розділ 5 містить зведений реєстр із 44 модулів/під-модулів із пріоритетом за шкалою MoSCoW та орієнтовним релізом — свідомо ширше за мінімальний MVP, щоб власник продукту бачив повну карту можливостей і міг усвідомлено відсікати зайве.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Українська специфіка ринку. </w:t>
      </w:r>
      <w:r>
        <w:rPr>
          <w:sz w:val="21"/>
          <w:szCs w:val="21"/>
        </w:rPr>
        <w:t xml:space="preserve">Враховано інтеграцію з eHealth/ЕСОЗ (Service Request → DiagnosticReport, підпис КЕП), протоколи аналізаторів, поширені в українських лабораторіях (ASTM, HL7 v2.x), вимоги до фіскалізації платних послуг (РРО) та мовну/форматну локалізацію.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1.2. Шкала пріоритетів (MoSCoW)</w:t>
      </w:r>
    </w:p>
    <w:tbl>
      <w:tblPr>
        <w:tblW w:type="dxa" w:w="9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200"/>
        <w:gridCol w:w="2400"/>
        <w:gridCol w:w="52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Позначення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5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Трактування для релізного планування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Обов'язково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Без цього MVP не має клінічної та комерційної цінності — блокує запуск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Бажано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Суттєво підвищує конкурентоспроможність; переноситься в реліз 2, якщо тисне дедлайн MVP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Можливо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Диференціююча або нішева функція; розглядається після валідації MVP на пілотних лабораторіях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808080"/>
              </w:rPr>
              <w:t xml:space="preserve">Won't (MVP)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зараз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Свідомо виключено з горизонту 12 міс.; фіксується як відкрите питання на майбутнє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Продуктове бачення та ринкове позиціонування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2.1. Бізнес-контекст</w:t>
      </w:r>
    </w:p>
    <w:p>
      <w:pPr>
        <w:spacing w:after="140" w:line="300"/>
      </w:pPr>
      <w:r>
        <w:rPr>
          <w:sz w:val="21"/>
          <w:szCs w:val="21"/>
        </w:rPr>
        <w:t xml:space="preserve">Продукт розробляється діючою МІС-компанією як додатковий модуль екосистеми — з подвійною моделлю виходу на ринок: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Вбудований модуль </w:t>
      </w:r>
      <w:r>
        <w:rPr>
          <w:sz w:val="21"/>
          <w:szCs w:val="21"/>
        </w:rPr>
        <w:t xml:space="preserve">— для існуючих клієнтів МІС, які вже ведуть амбулаторний/стаціонарний прийом та потребують закриття лабораторного циклу без інтеграції зі сторонньою ЛІС (єдиний обліковий запис, спільна картка пацієнта, наскрізна робота з ЕСОЗ).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Самостійний продукт (standalone LIS) </w:t>
      </w:r>
      <w:r>
        <w:rPr>
          <w:sz w:val="21"/>
          <w:szCs w:val="21"/>
        </w:rPr>
        <w:t xml:space="preserve">— для лабораторій, що не є клієнтами МІС (приватні лабораторні кабінети, невеликі мережі, лабораторії при клініках на інших МІС), із власною реєстрацією, білінгом та інтеграцією через API/HL7 з довільною зовнішньою МІС.</w:t>
      </w:r>
    </w:p>
    <w:p>
      <w:pPr>
        <w:spacing w:after="140" w:line="300"/>
      </w:pPr>
      <w:r>
        <w:rPr>
          <w:sz w:val="21"/>
          <w:szCs w:val="21"/>
        </w:rPr>
        <w:t xml:space="preserve">Така модель дозволяє одночасно підвищити utility (і, відповідно, утримання) для поточної бази МІС та відкрити новий канал доходу від лабораторій, які раніше не були охоплені жодним продуктом компанії.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2.2. Ніша на ринку ЛІС в Україні</w:t>
      </w:r>
    </w:p>
    <w:p>
      <w:pPr>
        <w:spacing w:after="140" w:line="300"/>
      </w:pPr>
      <w:r>
        <w:rPr>
          <w:sz w:val="21"/>
          <w:szCs w:val="21"/>
        </w:rPr>
        <w:t xml:space="preserve">Аналіз наявних рішень (STARLIS, LISmart/NeoTechLab, продукти класу «light LIS» на кшталт розглянутої демо-версії) показує поляризацію ринку: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Продукти рівня STARLIS/LISmart орієнтовані на великі лабораторні мережі та лабораторії з акредитацією — глибокий QC, мікробіологія, фінансовий/складський облік, але висока вартість впровадження, складне навчання персоналу та, як правило, desktop-орієнтована архітектура або гібридна модель з обмеженим web-функціоналом.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Продукти рівня «light LIS» (демо-версія, розд. 12 аналізу) закривають базові потреби (довідники, введення результатів, найпростіший QC), але не мають сучасного веб-інтерфейсу, кабінету пацієнта, eHealth-інтеграції та автоверифікації — тобто не відповідають очікуванням лабораторії 2026 року.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Помітно порожня ніша: сучасна, повністю веб-орієнтована ЛІС середнього рівня складності — з клінічно довірчими механізмами (автоверифікація, delta-check, критичні сповіщення) та зручним кабінетом пацієнта «з коробки», але без надлишкової складності enterprise-рішень.</w:t>
      </w:r>
    </w:p>
    <w:p>
      <w:pPr>
        <w:spacing w:after="140" w:line="300"/>
      </w:pPr>
      <w:r>
        <w:rPr>
          <w:sz w:val="21"/>
          <w:szCs w:val="21"/>
        </w:rPr>
        <w:t xml:space="preserve">Саме в цю нішу — «light-to-mid LIS» з web-first підходом, вбудованою якістю результатів і пацієнтським досвідом — і позиціонується цей продукт.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2.3. Конкурентні переваги, закладені в ТЗ</w:t>
      </w:r>
    </w:p>
    <w:tbl>
      <w:tblPr>
        <w:tblW w:type="dxa" w:w="8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200"/>
        <w:gridCol w:w="4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Перевага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Джерело порівняння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Чому важливо для малих/середніх лабораторій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Автоверифікація та delta-check «з коробки»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STARLIS (gap-аналіз)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Скорочує навантаження лікаря-лаборанта там, де немає ресурсу на 100% ручну перевірку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Готовий кабінет пацієнта з графіками трендів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Відсутнє у всіх 3 джерелах — нова розробка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Знижує дзвінки/звернення в реєстратуру, конкурентна перевага проти LIS без пацієнтського порталу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Наскрізна інтеграція з ЕСОЗ у складі МІС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Базове ТЗ (розд. 6.3)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Знімає потребу в окремій інтеграції для клієнтів МІС — ключова причина обрати вбудований модуль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Веб-first, мультиплатформність без desktop-версії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Переосмислення (відхід від початкового ТЗ ЛІС)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Нижча вартість впровадження й підтримки, доступ з будь-якого пристрою, швидші оновлення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Прозорий модульний реєстр з пріоритетами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Цей документ, розд. 5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Дозволяє малій лабораторії підключати лише потрібні модулі й платити за фактичне використання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Цільова аудиторія та ролі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3.1. Профіль цільової лабораторії</w:t>
      </w:r>
    </w:p>
    <w:p>
      <w:pPr>
        <w:spacing w:after="140" w:line="300"/>
      </w:pPr>
      <w:r>
        <w:rPr>
          <w:sz w:val="21"/>
          <w:szCs w:val="21"/>
        </w:rPr>
        <w:t xml:space="preserve">Основний сегмент — клініко-діагностичні лабораторії малого та середнього розміру: від одного робочого місця лікаря-лаборанта до лабораторії з кількома підрозділами й точками забору матеріалу, без власного IT-відділу, з обмеженим бюджетом на впровадження та навчання. Система повинна залишатися корисною і для великих лабораторних мереж, але глибока функціональність для них (розд. 5, категорії «Розширена клінічна» та «Комерція та облік») є опційною надбудовою, а не обов'язковою умовою запуску.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3.2. Ролі користувачів</w:t>
      </w:r>
    </w:p>
    <w:tbl>
      <w:tblPr>
        <w:tblW w:type="dxa" w:w="92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440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Типовий сценарій використання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Ключові модулі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Лаборант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Прийом матеріалу, введення результатів, друк направлень і бланків, штрихкодування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Реєстрація направлень, Маркування, Введення результатів, Друк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Лікар-лаборант / завідувач лабораторії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Верифікація результатів, контроль критичних значень, керування QC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Верифікація, QC, Дашборд статистики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Адміністратор системи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Керування довідниками, ролями, обладнанням, налаштуваннями лабораторії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Адміністрування, Довідники, Налаштування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Реєстратор / старша медсестра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Перегляд черги, підтвердження прийому матеріалу, попередній запис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Черга направлень, Онлайн-запис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Пацієнт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Перегляд власних результатів, динаміки показників, запис на аналізи, оплата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Лікар-замовник (у складі МІС)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Направлення на дослідження, перегляд результату в ЕМК пацієнта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Інтеграція з МІС/ЕМК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Архітектурні принципи рішення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4.1. Модель розгортання</w:t>
      </w:r>
    </w:p>
    <w:p>
      <w:pPr>
        <w:spacing w:after="140" w:line="300"/>
      </w:pPr>
      <w:r>
        <w:rPr>
          <w:sz w:val="21"/>
          <w:szCs w:val="21"/>
        </w:rPr>
        <w:t xml:space="preserve">Система розробляється як веб-застосунок (cloud/SaaS) без десктопного клієнта. Доступ — через браузер з будь-якого пристрою (десктоп, планшет, смартфон), з адаптивною версткою. Дані зберігаються централізовано, з автоматичним резервним копіюванням на стороні провайдера.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4.2. Контекст інтеграцій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eHealth / ЕСОЗ — відправка статусу дослідження та фінальних результатів (Service Request → DiagnosticReport), підпис КЕП для зовнішніх направлень;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Лабораторні аналізатори — двостороння синхронізація за протоколами ASTM (пріоритетно для MVP) та HL7 v2.x (для другого релізу), а також обмін QC-даними;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МІС / ЕМК лікаря — читання направлень, запис результату назад у карту пацієнта, спільна автентифікація для вбудованого сценарію;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Кабінет пацієнта — окремий фронтенд/API поверх тієї ж бази результатів, з розмежованими правами доступу;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Друк та розсилка — генерація PDF (бланки, направлення, штрихкоди), відправка на e-mail/SMS/Viber;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Платіжні системи та фіскалізація — опційна інтеграція для платних послуг (розд. 5, категорія «Комерція та облік»).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4.3. Наскрізні нефункціональні принципи</w:t>
      </w:r>
    </w:p>
    <w:p>
      <w:pPr>
        <w:spacing w:after="140" w:line="300"/>
      </w:pPr>
      <w:r>
        <w:rPr>
          <w:sz w:val="21"/>
          <w:szCs w:val="21"/>
        </w:rPr>
        <w:t xml:space="preserve">Детальні нефункціональні вимоги наведено в розд. 8; тут — принципи, що впливають на архітектурні рішення: продуктивність при списках 500–1000+ рядків (віртуальний скрол), WCAG 2.1 AA, RBAC на сервері, повний аудит критичних дій, повна українська локалізація інтерфейсу з підтримкою мультимовності бланків.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Зведений реєстр модулів ЛІС</w:t>
      </w:r>
    </w:p>
    <w:p>
      <w:pPr>
        <w:spacing w:after="140" w:line="300"/>
      </w:pPr>
      <w:r>
        <w:rPr>
          <w:sz w:val="21"/>
          <w:szCs w:val="21"/>
        </w:rPr>
        <w:t xml:space="preserve">Цей розділ — головний інструмент прийняття рішення власником продукту. Він охоплює максимально широкий перелік модулів і під-модулів, виявлених на основі аналізу трьох джерел (базове ТЗ, STARLIS, LISmart) та доповнених новим блоком «Кабінет пацієнта». Пріоритет і орієнтовний реліз — робоча гіпотеза команди аналізу; фінальне рішення щодо обсягу MVP залишається за власником продукту.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⚑ Пріоритет «Must*» означає умовну обов'язковість — залежить від відкритого питання, чи система працює як автономна ЛІС, чи як модуль МІС, підключений до ЕСОЗ (див. розд. 9).</w:t>
      </w:r>
    </w:p>
    <w:tbl>
      <w:tblPr>
        <w:tblW w:type="dxa" w:w="111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00"/>
        <w:gridCol w:w="2600"/>
        <w:gridCol w:w="1800"/>
        <w:gridCol w:w="4200"/>
        <w:gridCol w:w="1300"/>
        <w:gridCol w:w="80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Ключові можливості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Реліз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Автентифікація та керування обліковими записами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Самореєстрація лабораторії, активація через e-mail, відновлення пароля, захист від перебору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Адміністрування, ролі та RBAC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Довільні групи користувачів, права на підрозділи/таблиці/функції/звіти, журнал аудиту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Довідники та лабораторна номенклатура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Показники, групи показників, одиниці виміру, набори/профілі тестів, типи біоматеріалу, підрозділи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Довідник послуг (карта послуги)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Вкладки Головна/Показники/Норми/Лабораторія, демографічні референтні норми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Реєстрація направлень (замовлень)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Прив'язка до пацієнта/лікаря, пакетна реєстрація, автонумерація, статуси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Штрихкодове маркування біоматеріалу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Друк етикеток, підтримка Code128/EAN-13/Code39, прив'язка до направлення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Постановки / робочі листи (батчі)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Формування робочих списків за обладнанням/виконавцем, масові дії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R1–R2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Інтеграція з аналізаторами — ASTM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Двосторонній обмін результатами та QC-даними, моніторинг з'єднання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Інтеграція з аналізаторами — HL7 v2.x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Альтернативний протокол поряд з ASTM, вибір на рівні приладу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Must*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Введення та обробка результатів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Вікно «Дослідження»: черга, inline-редагування, автоматична критичність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Верифікація результатів (роль лікар-лаборант)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Обов'язкове підтвердження перед видачею, коментар при критичному значенні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Друк бланків результатів / направлень / штрихкодів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PDF-генерація, QR-верифікація, дизайнер бланків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Розсилка результатів (e-mail)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Відправка бланку на e-mail, журнал доставки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R1–R2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Базова звітність і статистика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Кількість направлень/тестів за період, підрозділом, виконавцем; експорт Excel/PDF/CSV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Відомості про лабораторію та загальні налаштування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Реквізити, нумератори, значення за замовчуванням, кольорові маркери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Автоверифікація результатів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Rule-engine: автозатвердження в межах норми без прапорців і критичних відхилень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R1–R2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Delta-check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Порівняння з попереднім результатом пацієнта, налаштовуваний поріг і вікно (72 год)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R1–R2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Reflex-правила (автопризначення)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Автододавання показника/послуги за умовою без повторного направлення лікаря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Автоматична маршрутизація критичних результатів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Окреме сповіщення лікаря (push/SMS) незалежно від друку бланку, з підтвердженням отримання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Внутрішній контроль якості QC (Levey-Jennings, Westgard)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Контрольні картки, правила 1-2s/1-3s/2-2s/R4s/4-1s/10x, блокування видачі при порушенні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Зовнішня оцінка якості (ФСВЯ/EQA)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Облік раундів міжлабораторного порівняння, звітність для акредитації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R2–R3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QC-статистика (TEA, повторюваність, коректність)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CVn/Δ%/Δ%N, контроль дублікату, звіти з матеріалу/TEA/тренду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Демографічні референтні норми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Фільтри стать/вік/вагітність/методика на рівні кожної норми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 — результати та статуси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Перегляд/завантаження результатів, статус виконання, PDF-бланк, історія досліджень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 — графіки трендів показників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Візуалізація динаміки значення в часі з межами норми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 — онлайн-запис та оплата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Попередній запис на забір матеріалу, онлайн-оплата платних послуг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 — сімейний профіль та QR-верифікація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Керування результатами дітей/родичів, QR для верифікації третьою стороною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Інтеграція з eHealth / ЕСОЗ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 Request → DiagnosticReport, підпис КЕП, черга повторних відправок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Must*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Інтеграція з МІС (ЕМК, картка пацієнта)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Інтеграції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Наскрізна робота для вбудованого сценарію, спільна автентифікація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Пакетний імпорт результатів файлом (CSV/XML)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Завантаження результатів кількох досліджень з попереднім переглядом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Offline-буфер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Інтеграції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Локальне збереження введених даних при втраті з'єднання, авто-синхронізація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Мікробіологічний блок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клінічна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Реєстрація посіву, ідентифікація збудника, антибіотикограма S/I/R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R2–R3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Пряма інтеграція з мікроскопами/сканерами зображень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клінічна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Автоматичне прикріплення зображень до результату без ручного завантаження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Генетичний блок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клінічна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Специфічна структура даних: варіанти, алелі, інтерпретація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R3+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Референс-лабораторії (send-out тести)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клінічна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Направлення зразка до сторонньої лабораторії, імпорт результату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Деталізований трекінг стадій зразка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клінічна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Реєстрація → забір → транспортування → прийом → аналіз → верифікація → видача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R2–R3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Тарифікація та розрахунок вартості послуг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Комерція та облік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Правила ціноутворення, собівартість, знижки, прайс-листи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Фіскалізація платних послуг (РРО)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Комерція та облік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Фіскальні чеки, інтеграція з фіскальним принтером, статус у картці замовлення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 (опційно)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R2–R3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Складський облік витратних матеріалів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Комерція та облік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Залишки, списання при виконанні, переміщення, сповіщення про мінімум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Архів фізичного зберігання зразків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Комерція та облік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Штативи-архіви, ідентифікація місця зберігання, пошук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Дашборд статистики лабораторії (TAT)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Аналітика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Час виконання від забору до видачі, навантаження на лаборанта/прилад, причини відмов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Конструктор довільних звітів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Аналітика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Налаштування власних звітів з розмежуванням прав доступу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Конструктор баз даних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Аналітика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Розширення структури даних адміністратором без участі розробника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R3+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Дизайнер друкованих бланків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Аналітика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Візуальне редагування шаблонів PDF (логотип, поля, колонтитул)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5.1. Розподіл за категоріями</w:t>
      </w:r>
    </w:p>
    <w:tbl>
      <w:tblPr>
        <w:tblW w:type="dxa" w:w="109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1400"/>
        <w:gridCol w:w="1800"/>
        <w:gridCol w:w="45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К-сть модулів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Домінуючий пріоритет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Коментар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Обов'язковий каркас MVP — без нього продукт не функціонує як ЛІС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Якість результатів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 / Should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Ключова диференціація проти «light LIS»-конкурентів; частково MVP, частково R2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Кабінет пацієнта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 / Should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Нова точка диференціації; базовий рівень — у MVP, розширення — R2–R3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Інтеграції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 / Could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eHealth та МІС — критичні; файловий імпорт та offline — опційні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Розширена клінічна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 / Could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Нішева функціональність для лабораторій з мікробіологією/генетикою — не для MVP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Комерція та облік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 / Could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Опційно, за потреби конкретного замовника; не є ядром ЛІС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Аналітика та адміністрування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 / Could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Підвищує зручність управління, не блокує запуск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Детальний опис модулів</w:t>
      </w:r>
    </w:p>
    <w:p>
      <w:pPr>
        <w:spacing w:after="140" w:line="300"/>
      </w:pPr>
      <w:r>
        <w:rPr>
          <w:sz w:val="21"/>
          <w:szCs w:val="21"/>
        </w:rPr>
        <w:t xml:space="preserve">Розділ розкриває зміст кожної категорії реєстру (розд. 5) на рівні, достатньому для оцінки складності та формування бек-логу спринтів. Функціональні вимоги позначені ідентифікаторами формату КАТЕГОРІЯ-№ (напр. CORE-01, QC-05, PT-03) для наскрізного трасування у подальшій розробці.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6.1. Ядро ЛІС (Core)</w:t>
      </w:r>
    </w:p>
    <w:p>
      <w:pPr>
        <w:spacing w:after="140" w:line="300"/>
      </w:pPr>
      <w:r>
        <w:rPr>
          <w:sz w:val="21"/>
          <w:szCs w:val="21"/>
        </w:rPr>
        <w:t xml:space="preserve">Ядро реалізує головне робоче місце лаборанта — вікно «Дослідження» — та підтримуючі довідники й адміністративні функції. Це єдиний блок, повна відсутність якого унеможливлює запуск продукту.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6.1.1. Вікно «Дослідження»: структура робочого місця</w:t>
      </w:r>
    </w:p>
    <w:p>
      <w:pPr>
        <w:spacing w:after="140" w:line="300"/>
      </w:pPr>
      <w:r>
        <w:rPr>
          <w:sz w:val="21"/>
          <w:szCs w:val="21"/>
        </w:rPr>
        <w:t xml:space="preserve">Основний екран лаборанта складається з трьох зон, що відображаються одночасно на екранах ≥1280px і перемикаються на менших пристроях: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500"/>
        <w:gridCol w:w="5600"/>
        <w:gridCol w:w="15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Зона</w:t>
            </w:r>
          </w:p>
        </w:tc>
        <w:tc>
          <w:tcPr>
            <w:tcW w:type="dxa" w:w="5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Вміст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Розмір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— Тулбар фільтрів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Фільтр статусу, діапазон дат, підрозділ, лічильник результатів, індикатор зв'язку з аналізатором/ЕСОЗ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Фіксований верх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 — Черга досліджень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Таблиця-черга з групуванням за типом послуги, кольоровим кодуванням статусу, сортуванням і drag-and-drop колонок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~55% висоти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 — Деталі / картка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Ліва панель — метадані пацієнта й дослідження; права — вкладки «Показники» та «Медичні документи»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~45% висоти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>На мобільних пристроях (&lt; 768px) зони B і C перемикаються окремими екранами; тулбар залишається фіксованим.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6.1.2. Кольорове кодування статусів і критичності</w:t>
      </w:r>
    </w:p>
    <w:p>
      <w:pPr>
        <w:spacing w:after="140" w:line="300"/>
      </w:pPr>
      <w:r>
        <w:rPr>
          <w:sz w:val="21"/>
          <w:szCs w:val="21"/>
        </w:rPr>
        <w:t xml:space="preserve">Статус рядка черги: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200"/>
        <w:gridCol w:w="2000"/>
        <w:gridCol w:w="5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Колір рядка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Умова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 виконання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Білий / синій бейдж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Замовлення отримано, результатів немає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Закрито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Сірий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Результати введені та верифіковані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Відмова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Блідо-жовтий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Матеріал відхилено або аналіз скасовано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Скасовано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Блідо-рожевий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Замовлення скасовано лікарем/системою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Прострочено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Жовтогарячий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Планова дата &lt; сьогодні, статус не «Закрито»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>Критичність значення показника (шестирівнева шкала):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200"/>
        <w:gridCol w:w="4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Позначення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Умова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Норма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Зелений маркер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межах референтного діапазону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Нижче / Вище норми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Жовтий трикутник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 межами норми, але не критично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Критично низько / високо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Червоний хрестик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 межами критичної межі — блокує автоверифікацію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введено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Сірий кружок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Значення очікується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6.1.3. Довідники та лабораторна номенклатура (CORE-01…04)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Показник: код, назва, група, тип (число/текст), одиниця виміру, можливі значення, ознака «розрахований» + формула;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Група показників — ієрархічна структура з parent_id;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Набори/профілі — об'єднання кількох показників в одне замовлення, з підтримкою імпорту готових шаблонів номенклатури з файлу;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Довідник підрозділів, точок забору матеріалу, лікарів-замовників, типів біоматеріалу.</w:t>
      </w:r>
    </w:p>
    <w:p>
      <w:pPr>
        <w:spacing w:after="140" w:line="300"/>
      </w:pPr>
      <w:r>
        <w:rPr>
          <w:sz w:val="21"/>
          <w:szCs w:val="21"/>
        </w:rPr>
        <w:t xml:space="preserve">Бізнес-правила: валідація коду (regex + унікальність в межах послуги), захист від видалення показника за наявності залежностей (норми, результати), попередження при зміні типу вже використовуваного показника.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6.1.4. Довідник послуг («Карта послуги»)</w:t>
      </w:r>
    </w:p>
    <w:p>
      <w:pPr>
        <w:spacing w:after="140" w:line="300"/>
      </w:pPr>
      <w:r>
        <w:rPr>
          <w:sz w:val="21"/>
          <w:szCs w:val="21"/>
        </w:rPr>
        <w:t xml:space="preserve">Форма з вкладковою моделлю: Головна (тип, група, назва, NCSP, вартість), Показники (перелік тестів послуги), Норми (дворівнева структура «методика → референтне значення» з фільтрами стать/вік/вагітність/діагноз), Лабораторія (прив'язка до обладнання й протоколу обміну). Вкладки Матеріали/Виконавці/Витрати/Розрахунок закладаються в структурі даних, але UI для них — поза MVP (див. розд. 6.6).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6.1.5. Реєстрація направлень та штрихкодування (CORE-05, CORE-06)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Реєстрація направлення з прив'язкою до пацієнта, замовника та переліку тестів/наборів; пошук раніше зареєстрованого пацієнта;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Пакетна (групова) реєстрація кількох направлень одночасно;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Автоматична нумерація (наскрізна / за підрозділом / за датою) з налаштовуваною маскою;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Друк етикеток зі штрихкодом (Code128, EAN-13) для маркування пробірок з прив'язкою до направлення для подальшої автоматичної ідентифікації аналізатором.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6.1.6. Постановки та інтеграція з аналізаторами (CORE-07…09)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Формування постановок (робочих листів) — груп досліджень за обладнанням/методом/виконавцем, з масовим призначенням і масовою зміною статусу;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Автоматична двостороння передача завдань та прийом результатів з аналізатора (протокол ASTM у пріоритеті для MVP, HL7 v2.x — для наступного релізу поряд із прямими драйверами);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Обмін даними внутрішнього контролю якості з аналізатором;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Моніторинг статусу з'єднання (online/offline), автоматичне відновлення після короткочасного розриву без втрати даних.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6.1.7. Введення, верифікація та обробка результатів (CORE-10, CORE-11)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Ручне введення inline (подвійний клік → поле вводу, Enter — зберегти, Esc — скасувати) або в окремій формі; dropdown для якісних результатів (позитивний/негативний/сумнівний);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Автоматичне заповнення від аналізатора з тост-повідомленням про надходження нових результатів;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Автоматичний розрахунок критичності після введення значення (порівняння з референтним діапазоном лабораторії);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Обов'язкова верифікація лікарем-лаборантом окремою роллю перед видачею; при критичному значенні — обов'язковий текстовий коментар перед переходом у статус «Закрито»;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Дозволені переходи статусів (На виконання → Закрито/Відмова/Скасовано, і назад — лише для лікаря-лаборанта/адміністратора) з обов'язковим audit trail при повторному відкритті.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6.1.8. Друк, розсилка та звітність (CORE-12…14)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Генерація PDF-бланку результатів (логотип, реквізити, таблиця показників, підпис лаборанта, QR-код верифікації) та PDF-направлення зі штрихкодом і QR-кодом до ЕМЗ;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Друк аркуша штрихкодів пробірок (Zebra або A4 з сіткою);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Вбудований дизайнер бланків для налаштування довільних форм (розд. 6.7);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Відправка бланку результатів на e-mail пацієнта/замовника з журналом статусу доставки;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Базова лабораторна статистика (кількість направлень/тестів за період/підрозділом/виконавцем) та експорт у Excel/PDF/CSV.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6.1.9. Адміністрування та налаштування лабораторії (CORE-02, CORE-15)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Ведення бази користувачів, довільна кількість ролей, розмежування доступу за підрозділами/таблицями/функціями/звітами;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Журнал аудиту дій користувачів, включно з historію змін критичних даних (результатів);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Реквізити лабораторії (назва, адреса, контакти, ліцензії, логотип) для друкованих форм;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Налаштування нумераторів документів, значень за замовчуванням довідників і форм, кольорових маркерів відхилень і статусів.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6.2. Якість результатів</w:t>
      </w:r>
    </w:p>
    <w:p>
      <w:pPr>
        <w:spacing w:after="140" w:line="300"/>
      </w:pPr>
      <w:r>
        <w:rPr>
          <w:sz w:val="21"/>
          <w:szCs w:val="21"/>
        </w:rPr>
        <w:t xml:space="preserve">Ця категорія — головний чинник клінічної довіри до продукту та ключова відмінність від конкурентів початкового рівня. Джерело вимог — порівняльний аналіз зі STARLIS (автоверифікація, delta-check, reflex, розширений QC) та власний досвід роботи з ЕСОЗ.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6.2.1. Автоверифікація результатів (QC-01, Must)</w:t>
      </w:r>
    </w:p>
    <w:p>
      <w:pPr>
        <w:spacing w:after="140" w:line="300"/>
      </w:pPr>
      <w:r>
        <w:rPr>
          <w:sz w:val="21"/>
          <w:szCs w:val="21"/>
        </w:rPr>
        <w:t xml:space="preserve">Система автоматично переводить результат у статус «Верифіковано» без участі лікаря-лаборанта, якщо одночасно виконано: значення в межах норми, відсутні прапорці приладу (flags), відсутнє значне відхилення за delta-check, показник не позначений у довіднику як «потребує ручної верифікації». Автоверифіковані результати позначаються окремою іконкою «авто» на відміну від верифікованих людиною — для розмежування відповідальності в аудиті.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⚑ Критичне значення завжди блокує автоверифікацію, незалежно від інших налаштованих правил — обов'язкова ручна верифікація.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6.2.2. Delta-check (QC-02, Must)</w:t>
      </w:r>
    </w:p>
    <w:p>
      <w:pPr>
        <w:spacing w:after="140" w:line="300"/>
      </w:pPr>
      <w:r>
        <w:rPr>
          <w:sz w:val="21"/>
          <w:szCs w:val="21"/>
        </w:rPr>
        <w:t xml:space="preserve">При збереженні нового значення показника система порівнює його з останнім результатом того ж показника того ж пацієнта за налаштовуваний період (за замовчуванням 72 год). Якщо відхилення перевищує поріг (у % або в абсолютному значенні, налаштовується на рівні показника) — значення підсвічується, а автоверифікація для нього блокується.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6.2.3. Reflex-правила (QC-03, Should)</w:t>
      </w:r>
    </w:p>
    <w:p>
      <w:pPr>
        <w:spacing w:after="140" w:line="300"/>
      </w:pPr>
      <w:r>
        <w:rPr>
          <w:sz w:val="21"/>
          <w:szCs w:val="21"/>
        </w:rPr>
        <w:t xml:space="preserve">Адміністратор налаштовує правило виду «якщо показник X = значення Y → автоматично додати показник/послугу Z до поточного дослідження» без повторного направлення лікаря; причина додавання фіксується в журналі. Reflex-правило не може призначати послугу, що потребує відбору матеріалу іншого типу, без явного підтвердження лаборанта.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6.2.4. Автоматична маршрутизація критичних результатів (QC-04, Must)</w:t>
      </w:r>
    </w:p>
    <w:p>
      <w:pPr>
        <w:spacing w:after="140" w:line="300"/>
      </w:pPr>
      <w:r>
        <w:rPr>
          <w:sz w:val="21"/>
          <w:szCs w:val="21"/>
        </w:rPr>
        <w:t xml:space="preserve">При виявленні критичного значення система, окрім вимоги коментаря лаборанта, надсилає окреме сповіщення лікарю-направляючому (push-сповіщення в МІС і/або SMS) незалежно від друку бланку, з можливістю позначення «Прийнято до відома» та фіксацією часу підтвердження отримання.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6.2.5. Внутрішній контроль якості — QC (QC-05…07, Must для базового рівня)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Довідник контрольних матеріалів (символ, назва, рівень, тип, виробник) і серій матеріалу (номер, дата придатності, статус, спосіб визначення номінальних значень);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Реєстрація контрольного замовлення аналогічно замовленню пацієнта; ознака «Підлягає контролю якості» на картці показника з полями TEA, плановий CV, допустима похибка;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Автоматична побудова контрольних карт (Levey-Jennings) і розрахунок статистики серії: N, середнє, SD, CV, зміщення (B, B%);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Rule-engine Westgard (правила 1-2s, 1-3s, 2-2s, R4s, 4-1s, 10x) з можливістю обрати активні правила для кожної картки;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Порушення активного правила блокує видачу пацієнтських результатів цього приладу/методики до підтвердження лаборантом причини порушення.</w:t>
      </w:r>
    </w:p>
    <w:p>
      <w:pPr>
        <w:spacing w:after="140" w:line="300"/>
      </w:pPr>
      <w:r>
        <w:rPr>
          <w:sz w:val="21"/>
          <w:szCs w:val="21"/>
        </w:rPr>
        <w:t xml:space="preserve">Розширений рівень (Should/Could, реліз 3): оцінка якості методики за TEA (CVn, Δ%, Δ%N), контроль повторюваності методом невизначеного дублікату, контроль коректності (5–10 вимірювань), порівняння кількох контрольних карток, автоматична планова перевірка за розкладом, три види звітів QC (з матеріалу, TEA, тренду).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6.2.6. Зовнішня оцінка якості — ФСВЯ/EQA (QC-08, Should)</w:t>
      </w:r>
    </w:p>
    <w:p>
      <w:pPr>
        <w:spacing w:after="140" w:line="300"/>
      </w:pPr>
      <w:r>
        <w:rPr>
          <w:sz w:val="21"/>
          <w:szCs w:val="21"/>
        </w:rPr>
        <w:t xml:space="preserve">Облік результатів міжлабораторних порівнянь (раундів ФСВЯ): завантаження зразка-невідомого, введення результату лабораторії, автоматичне порівняння з референтним/консенсусним значенням, формування звіту для органу з акредитації.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6.2.7. Демографічні референтні норми (QC-09, Must)</w:t>
      </w:r>
    </w:p>
    <w:p>
      <w:pPr>
        <w:spacing w:after="140" w:line="300"/>
      </w:pPr>
      <w:r>
        <w:rPr>
          <w:sz w:val="21"/>
          <w:szCs w:val="21"/>
        </w:rPr>
        <w:t xml:space="preserve">Референтні значення показника задаються дворівневою структурою «методика → норма» з фільтрами за статтю, віком, вагітністю та можуть відрізнятися за методикою/приладом — критично важливо для медичної достовірності результату.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6.3. Кабінет пацієнта</w:t>
      </w:r>
    </w:p>
    <w:p>
      <w:pPr>
        <w:spacing w:after="140" w:line="300"/>
      </w:pPr>
      <w:r>
        <w:rPr>
          <w:sz w:val="21"/>
          <w:szCs w:val="21"/>
        </w:rPr>
        <w:t xml:space="preserve">Цей модуль — свідома новація цього документа: </w:t>
      </w:r>
      <w:r>
        <w:rPr>
          <w:b/>
          <w:bCs/>
          <w:sz w:val="21"/>
          <w:szCs w:val="21"/>
        </w:rPr>
        <w:t xml:space="preserve">жодне з проаналізованих джерел (базове ТЗ, STARLIS, LISmart, демо-версія початкової ЛІС) не описує пацієнтський портал. </w:t>
      </w:r>
      <w:r>
        <w:rPr>
          <w:sz w:val="21"/>
          <w:szCs w:val="21"/>
        </w:rPr>
        <w:t xml:space="preserve">Водночас саме кабінет пацієнта є стандартом де-факто для сучасних лабораторних мереж (Synevo, Діла, DILA, Invitro, Eurolab) і прямо запитаний замовником як обов'язкова частина продукту. Розділ побудовано за принципом «результати й діаграми — в основі, решта — за пріоритетом».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6.3.1. Призначення та позиціонування</w:t>
      </w:r>
    </w:p>
    <w:p>
      <w:pPr>
        <w:spacing w:after="140" w:line="300"/>
      </w:pPr>
      <w:r>
        <w:rPr>
          <w:sz w:val="21"/>
          <w:szCs w:val="21"/>
        </w:rPr>
        <w:t xml:space="preserve">Кабінет пацієнта — окремий веб-фронтенд (responsive / PWA), що працює поверх тієї ж бази результатів, що й ЛІС, але з ізольованими правами доступу лише до власних даних пацієнта. Для клієнтів МІС кабінет інтегрується з єдиним обліковим записом пацієнта в ЕМК; для standalone-лабораторій — працює як самостійний портал з власною реєстрацією/авторизацією.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6.3.2. Автентифікація пацієнта (PT-01, Must)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Вхід за номером телефону з одноразовим кодом (SMS OTP) — основний спосіб для українського ринку;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Альтернативно — e-mail + пароль, з підтвердженням через лист активації;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Для клієнтів МІС — прив'язка до вже наявного профілю пацієнта в ЕМК без повторної реєстрації;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Розгляд інтеграції з Дія.Підпис / BankID для верифікованої ідентифікації (розд. 9, відкрите питання).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6.3.3. Реєстр функцій кабінету пацієнта за пріоритетом</w:t>
      </w:r>
    </w:p>
    <w:tbl>
      <w:tblPr>
        <w:tblW w:type="dxa" w:w="95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50"/>
        <w:gridCol w:w="2500"/>
        <w:gridCol w:w="4300"/>
        <w:gridCol w:w="1150"/>
        <w:gridCol w:w="800"/>
      </w:tblGrid>
      <w:tr>
        <w:trPr>
          <w:tblHeader/>
        </w:trPr>
        <w:tc>
          <w:tcPr>
            <w:tcW w:type="dxa" w:w="7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Функція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Реліз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PT-02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Список досліджень і статуси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Перелік направлень пацієнта зі статусом (зареєстровано / в роботі / готово / видано), датою, назвою послуги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PT-03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Перегляд результату дослідження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Деталізований перегляд: показник, значення, референтна норма, критичність, коментар лаборанта/лікаря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PT-04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Завантаження / друк PDF-бланку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Той самий підписаний бланк, що видає лабораторія, з QR-кодом верифікації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PT-05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Історія та архів результатів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Повний архів усіх минулих досліджень пацієнта з пошуком за датою/назвою тесту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PT-06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Сповіщення про готовність результату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Push / SMS / e-mail одразу після верифікації результату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</w:rPr>
              <w:t xml:space="preserve">Must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R1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PT-07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Графіки динаміки показника (тренд)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Лінійний графік значення показника в часі з візуалізацією меж норми — для показників з історією ≥ 2 результатів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PT-08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Порівняння з попереднім результатом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Стрілки/дельта-індикатори зростання чи зниження показника відносно попереднього визначення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PT-09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Онлайн-запис на забір матеріалу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Вибір дати/часу та точки забору (лабораторія/дім), попередній вибір переліку тестів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PT-10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Онлайн-оплата платних послуг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Оплата карткою при онлайн-записі або по факту виставленого рахунку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PT-11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Нагадування про контроль / повторний аналіз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Автоматичне нагадування за розкладом, заданим лікарем (напр. контроль глюкози через 3 міс.)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R2–R3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PT-12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Мобільна адаптивність / PWA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Повноцінна робота з мобільного браузера, встановлення як PWA на головний екран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PT-13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Сімейний профіль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Керування результатами дітей/родичів під опікою з одного облікового запису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PT-14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QR-верифікація результату третьою стороною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Сканування QR-коду роботодавцем/іншим закладом для підтвердження автентичності без розкриття повного результату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PT-15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Персональні референтні діапазони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Відображення норми з урахуванням статі/віку/вагітності пацієнта (використовує дані QC-09)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</w:rPr>
              <w:t xml:space="preserve">Should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PT-16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Чат / звернення до лабораторії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Текстове звернення щодо результату або запису без дзвінка в реєстратуру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PT-17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Експорт у Дія.Здоров'я / власний профіль здоров'я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Передача результатів у державний або сторонній сервіс здоров'я пацієнта за згодою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</w:rPr>
              <w:t xml:space="preserve">Could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R3+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6.3.4. Наочна карта пріоритетів кабінету пацієнта</w:t>
      </w:r>
    </w:p>
    <w:p>
      <w:pPr>
        <w:spacing w:after="140" w:line="300"/>
      </w:pPr>
      <w:r>
        <w:rPr>
          <w:sz w:val="21"/>
          <w:szCs w:val="21"/>
        </w:rPr>
        <w:t xml:space="preserve">Для зручності власника продукту — той самий перелік, згрупований за релізами: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MVP (Release 1) — «мінімально корисний кабінет»: </w:t>
      </w:r>
      <w:r>
        <w:rPr>
          <w:sz w:val="21"/>
          <w:szCs w:val="21"/>
        </w:rPr>
        <w:t xml:space="preserve">результати, статуси, PDF-бланк, історія, сповіщення про готовність. Цього достатньо, щоб повністю замінити телефонний дзвінок «чи готовий мій аналіз».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Release 2 — «залучення та утримання»: </w:t>
      </w:r>
      <w:r>
        <w:rPr>
          <w:sz w:val="21"/>
          <w:szCs w:val="21"/>
        </w:rPr>
        <w:t xml:space="preserve">графіки трендів, дельта-порівняння, онлайн-запис і оплата, мобільна версія. Це перетворює кабінет з довідкового інструменту на канал повторних візитів.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Release 3 — «екосистемні можливості»: </w:t>
      </w:r>
      <w:r>
        <w:rPr>
          <w:sz w:val="21"/>
          <w:szCs w:val="21"/>
        </w:rPr>
        <w:t xml:space="preserve">сімейний профіль, QR-верифікація для роботодавців, чат, інтеграція з державними сервісами здоров'я.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6.3.5. Дизайн-принципи графіків і візуалізацій (best practice)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Графік тренду — лінійна діаграма з горизонтальною смугою референтного діапазону (зелена зона) та точками результатів, кольорованими за критичністю (зелений/жовтий/червоний);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При наведенні на точку — тултіп з датою, значенням, одиницею виміру та назвою лабораторії/підрозділу, де виконано аналіз;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Для показників з малою кількістю історичних точок (&lt; 3) графік не показується — натомість просте текстове порівняння «↑ вище попереднього результату»;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Кольорове кодування графіків має повторювати кольорову схему, використану у ЛІС для лаборанта (розд. 6.1.2), щоб зберігати єдину візуальну мову продукту.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6.4. Розширена клінічна функціональність</w:t>
      </w:r>
    </w:p>
    <w:p>
      <w:pPr>
        <w:spacing w:after="140" w:line="300"/>
      </w:pPr>
      <w:r>
        <w:rPr>
          <w:sz w:val="21"/>
          <w:szCs w:val="21"/>
        </w:rPr>
        <w:t xml:space="preserve">Категорія походить переважно з аналізу LISmart і охоплює нішеву функціональність, потрібну не всім лабораторіям. Рекомендується не включати в MVP, а активувати за запитом конкретного сегмента клієнтів (напр. лабораторії з власною мікробіологією).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6.4.1. Мікробіологічний блок (EXT-01, Should)</w:t>
      </w:r>
    </w:p>
    <w:p>
      <w:pPr>
        <w:spacing w:after="140" w:line="300"/>
      </w:pPr>
      <w:r>
        <w:rPr>
          <w:sz w:val="21"/>
          <w:szCs w:val="21"/>
        </w:rPr>
        <w:t xml:space="preserve">Спеціалізований workflow: реєстрація посіву, введення результатів ідентифікації збудника, побудова антибіотикограми (перелік антибіотиків з відміткою чутливості S/I/R), окремий бланк результату мікробіологічного дослідження — відмінний від стандартного бланку показників.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6.4.2. Пряма інтеграція з мікроскопами та сканерами зображень (EXT-02, Should)</w:t>
      </w:r>
    </w:p>
    <w:p>
      <w:pPr>
        <w:spacing w:after="140" w:line="300"/>
      </w:pPr>
      <w:r>
        <w:rPr>
          <w:sz w:val="21"/>
          <w:szCs w:val="21"/>
        </w:rPr>
        <w:t xml:space="preserve">Підключення мікроскопа/сканера як пристрою; отримані зображення автоматично прикріплюються до результату дослідження без ручного завантаження файлу лаборантом (на противагу базовому сценарію ручного прикріплення у файловий архів, розд. 6.1).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6.4.3. Генетичний блок (EXT-03, Could)</w:t>
      </w:r>
    </w:p>
    <w:p>
      <w:pPr>
        <w:spacing w:after="140" w:line="300"/>
      </w:pPr>
      <w:r>
        <w:rPr>
          <w:sz w:val="21"/>
          <w:szCs w:val="21"/>
        </w:rPr>
        <w:t xml:space="preserve">Окрема структура даних для генетичних досліджень: варіанти, алелі, клінічна інтерпретація. Розглядається як окремий проєкт розробки за появи відповідного попиту — не пріоритет для MVP чи навіть R2.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6.4.4. Референс-лабораторії / send-out тести (EXT-04, Could)</w:t>
      </w:r>
    </w:p>
    <w:p>
      <w:pPr>
        <w:spacing w:after="140" w:line="300"/>
      </w:pPr>
      <w:r>
        <w:rPr>
          <w:sz w:val="21"/>
          <w:szCs w:val="21"/>
        </w:rPr>
        <w:t xml:space="preserve">Дія «Направити в іншу лабораторію»: формування супровідного документа, статус «Відправлено на аутсорс», можливість імпорту результату вручну або через файл при поверненні.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6.4.5. Деталізований трекінг стадій зразка (EXT-05, Could)</w:t>
      </w:r>
    </w:p>
    <w:p>
      <w:pPr>
        <w:spacing w:after="140" w:line="300"/>
      </w:pPr>
      <w:r>
        <w:rPr>
          <w:sz w:val="21"/>
          <w:szCs w:val="21"/>
        </w:rPr>
        <w:t xml:space="preserve">Розширення спрощеної моделі статусів (На виконання/Закрито/Відмова/Скасовано) до покрокового трекінгу: Зареєстровано → Матеріал забрано → В транспортуванні → Прийнято лабораторією → На виконання → Закрито, з фіксацією часу кожного переходу для розрахунку TAT по етапах.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6.5. Інтеграції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6.5.1. eHealth / ЕСОЗ (INT-01, Must*)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Відправка статусу дослідження при кожній зміні (Service Request / DiagnosticReport); при помилці — детальне повідомлення та кнопка «Повторити»;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Статус останньої відповіді eHealth (ok/error/pending) відображається в колонці черги, оновлюється асинхронно;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Дія «Погасити ЕН» — відправка скасування електронного направлення з обов'язковим підтвердженням і причиною;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Черга повторних відправок при недоступності ЕСОЗ з автоматичною відправкою при відновленні з'єднання;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Підпис КЕП для фінального DiagnosticReport зовнішніх направлень (для внутрішніх направлень на лабораторні аналізатори підпис не обов'язковий).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⚑ Пріоритет умовний: якщо система працює виключно як вбудований модуль МІС з ЕСОЗ, інтеграція — Must у MVP. Якщо передбачається автономний standalone-режим без ЕСОЗ (напр. приватна лабораторія без е-направлень) — переноситься в Should.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6.5.2. Інтеграція з МІС (ЕМК, картка пацієнта) (INT-02, Must)</w:t>
      </w:r>
    </w:p>
    <w:p>
      <w:pPr>
        <w:spacing w:after="140" w:line="300"/>
      </w:pPr>
      <w:r>
        <w:rPr>
          <w:sz w:val="21"/>
          <w:szCs w:val="21"/>
        </w:rPr>
        <w:t xml:space="preserve">Читання направлень, запис результату назад у карту пацієнта, спільна автентифікація для сценарію вбудованого модуля. Для standalone-режиму — відкритий REST API для інтеграції із зовнішньою МІС замовника.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6.5.3. Пакетний імпорт результатів файлом (INT-03, Could)</w:t>
      </w:r>
    </w:p>
    <w:p>
      <w:pPr>
        <w:spacing w:after="140" w:line="300"/>
      </w:pPr>
      <w:r>
        <w:rPr>
          <w:sz w:val="21"/>
          <w:szCs w:val="21"/>
        </w:rPr>
        <w:t xml:space="preserve">Лаборант завантажує CSV/XML-файл із результатами кількох досліджень одночасно; система валідує формат і показує попередній перегляд перед застосуванням.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6.5.4. Offline-буфер (INT-04, Could)</w:t>
      </w:r>
    </w:p>
    <w:p>
      <w:pPr>
        <w:spacing w:after="140" w:line="300"/>
      </w:pPr>
      <w:r>
        <w:rPr>
          <w:sz w:val="21"/>
          <w:szCs w:val="21"/>
        </w:rPr>
        <w:t xml:space="preserve">При втраті з'єднання — банер попередження; введені значення зберігаються локально (буфер у браузері) і автоматично синхронізуються при відновленні з'єднання.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6.6. Комерція та облік</w:t>
      </w:r>
    </w:p>
    <w:p>
      <w:pPr>
        <w:spacing w:after="140" w:line="300"/>
      </w:pPr>
      <w:r>
        <w:rPr>
          <w:sz w:val="21"/>
          <w:szCs w:val="21"/>
        </w:rPr>
        <w:t xml:space="preserve">Категорія опційна: активується лише для лабораторій, яким комерційний/складський облік дійсно потрібен в межах самої ЛІС (а не в суміжному модулі бухгалтерії/аптеки МІС). Відповідне відкрите питання зафіксовано в розд. 9.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6.6.1. Тарифікація та розрахунок вартості (COM-01, Should)</w:t>
      </w:r>
    </w:p>
    <w:p>
      <w:pPr>
        <w:spacing w:after="140" w:line="300"/>
      </w:pPr>
      <w:r>
        <w:rPr>
          <w:sz w:val="21"/>
          <w:szCs w:val="21"/>
        </w:rPr>
        <w:t xml:space="preserve">Правила ціноутворення послуг, собівартість, знижки, формування прайс-листів — основа для вкладок «Витрати»/«Розрахунок» картки послуги, відкладених у базовому ТЗ на наступний спринт.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6.6.2. Фіскалізація платних послуг (COM-02, Should — опційно)</w:t>
      </w:r>
    </w:p>
    <w:p>
      <w:pPr>
        <w:spacing w:after="140" w:line="300"/>
      </w:pPr>
      <w:r>
        <w:rPr>
          <w:sz w:val="21"/>
          <w:szCs w:val="21"/>
        </w:rPr>
        <w:t xml:space="preserve">Формування фіскального чека при оплаті платного дослідження, інтеграція з фіскальним принтером (РРО), статус фіскалізації в картці замовлення. Важливо для приватних лабораторій з готівковими/картковими розрахунками; не актуально для лабораторій у складі держзакладу, де оплата проходить через окремий фінансовий модуль.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6.6.3. Складський облік витратних матеріалів (COM-03, Could)</w:t>
      </w:r>
    </w:p>
    <w:p>
      <w:pPr>
        <w:spacing w:after="140" w:line="300"/>
      </w:pPr>
      <w:r>
        <w:rPr>
          <w:sz w:val="21"/>
          <w:szCs w:val="21"/>
        </w:rPr>
        <w:t xml:space="preserve">Залишки реагентів по складах, списання при виконанні дослідження, переміщення між підрозділами, сповіщення про мінімальні залишки — повноцінний складський модуль за аналогією з LISmart.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6.6.4. Архів фізичного зберігання зразків (COM-04, Could)</w:t>
      </w:r>
    </w:p>
    <w:p>
      <w:pPr>
        <w:spacing w:after="140" w:line="300"/>
      </w:pPr>
      <w:r>
        <w:rPr>
          <w:sz w:val="21"/>
          <w:szCs w:val="21"/>
        </w:rPr>
        <w:t xml:space="preserve">Реєстрація місця фізичного зберігання зразка (штатив-архів, комірка, морозильна камера) з пошуком за ідентифікатором — актуально для лабораторій з довгостроковим зберіганням біоматеріалу.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6.7. Аналітика та адміністрування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6.7.1. Дашборд статистики лабораторії — TAT (AN-01, Should)</w:t>
      </w:r>
    </w:p>
    <w:p>
      <w:pPr>
        <w:spacing w:after="140" w:line="300"/>
      </w:pPr>
      <w:r>
        <w:rPr>
          <w:sz w:val="21"/>
          <w:szCs w:val="21"/>
        </w:rPr>
        <w:t xml:space="preserve">Окремий екран/віджет: середній час виконання (Turn-Around Time) від забору до видачі результату, розподіл за типами послуг, навантаження на лаборанта/прилад, кількість повторних аналізів і відмов за причинами.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6.7.2. Конструктор довільних звітів (AN-02, Could)</w:t>
      </w:r>
    </w:p>
    <w:p>
      <w:pPr>
        <w:spacing w:after="140" w:line="300"/>
      </w:pPr>
      <w:r>
        <w:rPr>
          <w:sz w:val="21"/>
          <w:szCs w:val="21"/>
        </w:rPr>
        <w:t xml:space="preserve">Формування власних звітів на основі даних системи з розмежуванням прав доступу до кожного звіту — для лабораторій з нетиповими вимогами до управлінської звітності.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6.7.3. Конструктор баз даних (AN-03, Could)</w:t>
      </w:r>
    </w:p>
    <w:p>
      <w:pPr>
        <w:spacing w:after="140" w:line="300"/>
      </w:pPr>
      <w:r>
        <w:rPr>
          <w:sz w:val="21"/>
          <w:szCs w:val="21"/>
        </w:rPr>
        <w:t xml:space="preserve">Можливість адміністратора самостійно розширювати структуру даних системи (додаткові поля, довідники) без участі розробника — функція для лабораторій з унікальними процесами, за аналогією з LISmart.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color w:val="2E5395"/>
          <w:sz w:val="23"/>
          <w:szCs w:val="23"/>
        </w:rPr>
        <w:t xml:space="preserve">6.7.4. Дизайнер друкованих бланків (AN-04, Could)</w:t>
      </w:r>
    </w:p>
    <w:p>
      <w:pPr>
        <w:spacing w:after="140" w:line="300"/>
      </w:pPr>
      <w:r>
        <w:rPr>
          <w:sz w:val="21"/>
          <w:szCs w:val="21"/>
        </w:rPr>
        <w:t xml:space="preserve">Візуальний редактор шаблонів PDF-бланків (логотип, поля, нижній колонтитул) для самостійного налаштування адміністратором лабораторії без звернення до розробника.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Нефункціональні вимоги</w:t>
      </w:r>
    </w:p>
    <w:tbl>
      <w:tblPr>
        <w:tblW w:type="dxa" w:w="97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2600"/>
        <w:gridCol w:w="52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5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Вимога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Продуктивність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Завантаження списку (LCP)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≤ 2 сек при 500 рядках черги (Chrome, кабельний інтернет)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Продуктивність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Скрол таблиці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Плавний скрол на 1000+ рядках (віртуальний скрол — TanStack Virtual або аналог)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Продуктивність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Inline-збереження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Збереження одного значення показника ≤ 300 мс (optimistic update)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Доступність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WCAG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Рівень AA: навігація клавіатурою, aria-labels, контрастність ≥ 4.5:1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Доступність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Скрін-рідер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Критичні дії доступні через VoiceOver/NVDA; критичні значення — role="alert"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RBAC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Права перевіряються на сервері; клієнт лише приховує недоступні елементи UI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Аудит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Кожна зміна значення показника, статусу або відправка в eHealth логується (user_id, час, до/після)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Шифрування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HTTPS/TLS для всіх з'єднань; хешування паролів; автоматичне резервне копіювання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Надійність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Offline-стійкість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Банер при втраті з'єднання; введені значення не губляться; авто-sync при відновленні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Надійність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Доступність сервісу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Безперервна робота 24/7 з плановими технічними вікнами, погодженими із замовником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Локалізація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Мова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Інтерфейс українською; дати dd.MM.yyyy; десятковий роздільник «,»; мова бланків обирається окремо від мови інтерфейсу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Браузери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Підтримка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Chrome ≥ 110, Edge ≥ 110, Firefox ≥ 115, Safari ≥ 16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Масштабованість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Одночасні користувачі/дослідження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Явно узгоджені ліміти (або їх відсутність) фіксуються окремо для кожного тарифного плану — див. відкрите питання OQ-08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UX/UI принципи для малих і середніх лабораторій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Майстер першого запуску. </w:t>
      </w:r>
      <w:r>
        <w:rPr>
          <w:sz w:val="21"/>
          <w:szCs w:val="21"/>
        </w:rPr>
        <w:t xml:space="preserve">За аналогією з практикою light-LIS рішень — покроковий wizard: 1) реквізити лабораторії, 2) довідник показників (ручне введення або імпорт готового набору), 3) перше направлення. Ціль — робочий результат за перші 15 хвилин без звернення до підтримки.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Мінімум обов'язкових полів. </w:t>
      </w:r>
      <w:r>
        <w:rPr>
          <w:sz w:val="21"/>
          <w:szCs w:val="21"/>
        </w:rPr>
        <w:t xml:space="preserve">Форми проєктуються так, щоб базовий сценарій (реєстрація направлення → введення результату → друк) вимагав мінімум кліків; розширені поля — за замовчуванням згорнуті.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Персоналізація робочого простору. </w:t>
      </w:r>
      <w:r>
        <w:rPr>
          <w:sz w:val="21"/>
          <w:szCs w:val="21"/>
        </w:rPr>
        <w:t xml:space="preserve">Зміна порядку і ширини колонок таблиць, вибір теми інтерфейсу — зберігаються в профілі користувача.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Контекстна довідка. </w:t>
      </w:r>
      <w:r>
        <w:rPr>
          <w:sz w:val="21"/>
          <w:szCs w:val="21"/>
        </w:rPr>
        <w:t xml:space="preserve">Кнопка «Допомога» відкриває бічну панель з підказками для поточного екрана — заміна необхідності повноцінного навчання персоналу.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Єдина візуальна мова кольорів. </w:t>
      </w:r>
      <w:r>
        <w:rPr>
          <w:sz w:val="21"/>
          <w:szCs w:val="21"/>
        </w:rPr>
        <w:t xml:space="preserve">Кольорова схема статусів і критичності (розд. 6.1.2) використовується наскрізно — у черзі лаборанта, бланках друку та кабінеті пацієнта.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Дорожня карта релізів</w:t>
      </w:r>
    </w:p>
    <w:p>
      <w:pPr>
        <w:spacing w:after="140" w:line="300"/>
      </w:pPr>
      <w:r>
        <w:rPr>
          <w:sz w:val="21"/>
          <w:szCs w:val="21"/>
        </w:rPr>
        <w:t xml:space="preserve">Розбивка на релізи — орієнтовна, побудована на основі пріоритетів реєстру (розд. 5) і призначена для полегшення планування спринтів; фінальне рішення — за власником продукту та результатами пілотного впровадження.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9.1. Release 1 (MVP) — «Робоче місце лаборанта і базова довіра до результату»</w:t>
      </w:r>
    </w:p>
    <w:p>
      <w:pPr>
        <w:spacing w:after="140" w:line="300"/>
      </w:pPr>
      <w:r>
        <w:rPr>
          <w:sz w:val="21"/>
          <w:szCs w:val="21"/>
        </w:rPr>
        <w:t xml:space="preserve">Мета: повний цикл роботи малої/середньої лабораторії — від направлення до видачі результату та роботи пацієнта з кабінетом, без надлишкової складності.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Усі 15 модулів категорії «Ядро» (реєстрація, довідники, направлення, штрихкодування, ASTM-інтеграція, введення/верифікація результатів, друк, базова звітність, налаштування);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Базовий рівень «Якості результатів»: автоверифікація, delta-check, критичні сповіщення, демографічні норми, базовий QC (Levey-Jennings + Westgard);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Кабінет пацієнта MVP: результати, статуси, PDF-бланк, історія, сповіщення про готовність (PT-02…06);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Інтеграція з eHealth/ЕСОЗ та з МІС (за умовним пріоритетом Must*).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9.2. Release 2 — «Залучення пацієнта та операційна ефективність»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HL7 v2.x як альтернативний протокол аналізаторів;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Reflex-правила, розширення QC (EQA/ФСВЯ);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Кабінет пацієнта: графіки трендів, дельта-порівняння, онлайн-запис і оплата, мобільна адаптивність (PT-07…10, PT-12, PT-15);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Дашборд статистики лабораторії (TAT), пакетний імпорт результатів файлом, тарифікація, дизайнер бланків;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Мікробіологічний блок і деталізований трекінг стадій зразка (за наявності попиту сегмента).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5"/>
          <w:szCs w:val="25"/>
        </w:rPr>
        <w:t xml:space="preserve">9.3. Release 3+ — «Нішева глибина та екосистема»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Розширена QC-статистика (TEA, повторюваність, коректність), звіти QC;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Пряма інтеграція з мікроскопами/сканерами, референс-лабораторії, генетичний блок;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Складський облік, архів фізичних зразків, фіскалізація (за запитом сегмента);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Кабінет пацієнта: сімейний профіль, QR-верифікація, чат, інтеграція з Дія.Здоров'я;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Конструктор звітів і конструктор баз даних, offline-буфер.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Відкриті питання, що потребують рішення власника продукту</w:t>
      </w:r>
    </w:p>
    <w:p>
      <w:pPr>
        <w:spacing w:after="140" w:line="300"/>
      </w:pPr>
      <w:r>
        <w:rPr>
          <w:sz w:val="21"/>
          <w:szCs w:val="21"/>
        </w:rPr>
        <w:t xml:space="preserve">Перелічені питання виникли на перетині трьох джерел аналізу і не мають однозначної відповіді без участі власника продукту та профільних спеціалістів (лікар-лаборант, методист). Рекомендується розглянути їх до фіксації фінального обсягу MVP.</w:t>
      </w:r>
    </w:p>
    <w:tbl>
      <w:tblPr>
        <w:tblW w:type="dxa" w:w="92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5800"/>
        <w:gridCol w:w="27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Питання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Вплив на розробку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OQ-01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Основний протокол інтеграції з аналізаторами — ASTM, HL7 чи обидва одночасно для MVP?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Визначає архітектуру адаптера інтеграції (модуль 8–9)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OQ-02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 обов'язковий підпис КЕП при закритті кожного дослідження, чи лише для зовнішніх (ЕСОЗ) направлень?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UX-потік верифікації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OQ-03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Джерело референтних норм за замовчуванням — уніфіковані НСЗУ чи специфічні для кожного ЗОЗ/аналізатора?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архітектуру довідника норм (QC-09)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OQ-04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 система працює як автономна ЛІС, чи виключно як модуль МІС, підключений до ЕСОЗ?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Визначає остаточний пріоритет eHealth-інтеграції (INT-01)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OQ-05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Формат штрихкодів пробірок (Code128, QR, Data Matrix) — сумісність з наявним у клієнтів обладнанням?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реалізацію маркування (CORE-06)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OQ-06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 потрібен повноцінний модуль QC (Levey-Jennings, Westgard) вже в MVP, чи можна винести розширену частину в R2?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обсяг MVP і терміни запуску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OQ-07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Складський облік і фіскалізація — зона відповідальності ЛІС, чи суміжних модулів МІС (аптека/бухгалтерія) з інтеграцією?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Визначає, чи розробляти модулі 37–40 взагалі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OQ-08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Ліміти на кількість одночасних користувачів/досліджень по тарифних планах — чи заявляти «необмежену кількість» як конкурентну перевагу?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нефункціональні вимоги (розд. 7) та маркетингове позиціонування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OQ-09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Автентифікація пацієнта в кабінеті — SMS OTP, e-mail, чи повна ID-верифікація через Дія/BankID?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архітектуру кабінету пацієнта (PT-01) і терміни впровадження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OQ-10</w:t>
            </w:r>
          </w:p>
        </w:tc>
        <w:tc>
          <w:tcPr>
            <w:tcW w:type="dxa" w:w="5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 потрібен окремий мікробіологічний блок вже на першому етапі з огляду на інший цикл виконання (дні, а не години)?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Впливає на пріоритет модуля EXT-01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Примітка щодо джерел</w:t>
      </w:r>
    </w:p>
    <w:p>
      <w:pPr>
        <w:spacing w:after="140" w:line="300"/>
      </w:pPr>
      <w:r>
        <w:rPr>
          <w:sz w:val="21"/>
          <w:szCs w:val="21"/>
        </w:rPr>
        <w:t xml:space="preserve">Цей документ складено на основі узагальненого аналізу: (1) початкового функціонального ТЗ вікна «Дослідження» та картки «Довідник послуг» веб-МІС; (2) порівняльного gap-аналізу функціоналу LIS-рішень STARLIS та LISmart (NeoTechLab), виконаного за загальнодоступними матеріалами (презентаційні брошури, опис функціоналу); (3) огляду відеозапису та скріншотів роботи демонстраційної версії ЛІС початкового рівня. Розділ «Кабінет пацієнта» (розд. 6.3) розроблено окремо на основі практик провідних лабораторних мереж і не має прямого прототипу в жодному з проаналізованих джерел.</w:t>
      </w:r>
    </w:p>
    <w:p>
      <w:pPr>
        <w:spacing w:after="140" w:line="300"/>
      </w:pPr>
      <w:r>
        <w:rPr>
          <w:sz w:val="21"/>
          <w:szCs w:val="21"/>
        </w:rPr>
        <w:t xml:space="preserve">Конкретні назви продуктів, торговельні марки та інтерфейсні рішення сторонніх постачальників, згадані в процесі аналізу, наведені виключно для довідки щодо орієнтовного обсягу функціоналу і не є предметом копіювання. Фінальна архітектура, дизайн екранних форм і назви компонентів розробленої системи мають бути оригінальними.</w:t>
      </w:r>
    </w:p>
    <w:sectPr>
      <w:headerReference w:type="default" r:id="rId7"/>
      <w:footerReference w:type="default" r:id="rId8"/>
      <w:pgSz w:w="11908" w:h="16833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стор.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ТЗ ЛІС · веб-модуль МІС 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2026-07-15T10:13:48.125Z</dcterms:created>
  <dcterms:modified xsi:type="dcterms:W3CDTF">2026-07-15T10:13:48.125Z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