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Senior Scientist II,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Cambridge, MA</w:t>
      </w:r>
    </w:p>
    <w:p>
      <w:pPr>
        <w:pStyle w:val="ListBullet"/>
      </w:pPr>
      <w:r>
        <w:rPr>
          <w:b/>
        </w:rPr>
        <w:t xml:space="preserve">Salary: </w:t>
      </w:r>
      <w:r>
        <w:t>$98,700 – $183,300/year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https://www.novartis.com/careers/career-search/job/details/req-10048535-senior-scientist-ii-oligonucleotide-chemistry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