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Medicinal Chemistry</w:t>
      </w:r>
    </w:p>
    <w:p>
      <w:pPr>
        <w:pStyle w:val="ListBullet"/>
      </w:pPr>
      <w:r>
        <w:rPr>
          <w:b/>
        </w:rPr>
        <w:t xml:space="preserve">Institution: </w:t>
      </w:r>
      <w:r>
        <w:t>University of Texas Medical Branch (UTMB)</w:t>
      </w:r>
    </w:p>
    <w:p>
      <w:pPr>
        <w:pStyle w:val="ListBullet"/>
      </w:pPr>
      <w:r>
        <w:rPr>
          <w:b/>
        </w:rPr>
        <w:t xml:space="preserve">Department: </w:t>
      </w:r>
      <w:r>
        <w:t>Department of Pharmacology &amp; Toxicology</w:t>
      </w:r>
    </w:p>
    <w:p>
      <w:pPr>
        <w:pStyle w:val="ListBullet"/>
      </w:pPr>
      <w:r>
        <w:rPr>
          <w:b/>
        </w:rPr>
        <w:t xml:space="preserve">Location: </w:t>
      </w:r>
      <w:r>
        <w:t>Galveston,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https://chemistryjobs.acs.org/job/assistant-professor-medicinal-chemistry/80278898/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