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Structural Chemistry</w:t>
      </w:r>
    </w:p>
    <w:p>
      <w:pPr>
        <w:pStyle w:val="ListBullet"/>
      </w:pPr>
      <w:r>
        <w:rPr>
          <w:b/>
        </w:rPr>
        <w:t xml:space="preserve">Institution: </w:t>
      </w:r>
      <w:r>
        <w:t>University of Texas Rio Grande Valley</w:t>
      </w:r>
    </w:p>
    <w:p>
      <w:pPr>
        <w:pStyle w:val="ListBullet"/>
      </w:pPr>
      <w:r>
        <w:rPr>
          <w:b/>
        </w:rPr>
        <w:t xml:space="preserve">Department: </w:t>
      </w:r>
      <w:r>
        <w:t>College of Sciences</w:t>
      </w:r>
    </w:p>
    <w:p>
      <w:pPr>
        <w:pStyle w:val="ListBullet"/>
      </w:pPr>
      <w:r>
        <w:rPr>
          <w:b/>
        </w:rPr>
        <w:t xml:space="preserve">Location: </w:t>
      </w:r>
      <w:r>
        <w:t>Brownsville,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https://www.higheredjobs.com/faculty/details.cfm?JobCode=179025854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