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2A4A"/>
          <w:sz w:val="52"/>
          <w:szCs w:val="52"/>
        </w:rPr>
        <w:t xml:space="preserve">THE ACTIVIST ACADEMY</w:t>
      </w:r>
    </w:p>
    <w:p>
      <w:pPr>
        <w:spacing w:after="40"/>
        <w:jc w:val="center"/>
      </w:pPr>
      <w:r>
        <w:rPr>
          <w:rFonts w:ascii="Arial" w:cs="Arial" w:eastAsia="Arial" w:hAnsi="Arial"/>
          <w:color w:val="2A7F8E"/>
          <w:sz w:val="28"/>
          <w:szCs w:val="28"/>
        </w:rPr>
        <w:t xml:space="preserve">Building the Next Generation of Change-Makers</w:t>
      </w:r>
    </w:p>
    <w:p>
      <w:pPr>
        <w:pBdr>
          <w:bottom w:val="single" w:color="D4A843" w:sz="4" w:space="1"/>
        </w:pBdr>
        <w:spacing w:after="400"/>
        <w:jc w:val="center"/>
      </w:pPr>
    </w:p>
    <w:p>
      <w:pPr>
        <w:spacing w:after="200"/>
      </w:pPr>
    </w:p>
    <w:p>
      <w:pPr>
        <w:spacing w:after="80"/>
        <w:jc w:val="center"/>
      </w:pPr>
      <w:r>
        <w:rPr>
          <w:rFonts w:ascii="Arial" w:cs="Arial" w:eastAsia="Arial" w:hAnsi="Arial"/>
          <w:b/>
          <w:bCs/>
          <w:color w:val="1B2A4A"/>
          <w:sz w:val="24"/>
          <w:szCs w:val="24"/>
        </w:rPr>
        <w:t xml:space="preserve">PROJECT WORK PLAN &amp; STRATEGIC FRAMEWORK</w:t>
      </w:r>
    </w:p>
    <w:p>
      <w:pPr>
        <w:spacing w:after="200"/>
      </w:pPr>
    </w:p>
    <w:p>
      <w:pPr>
        <w:spacing w:after="60"/>
        <w:jc w:val="center"/>
      </w:pPr>
      <w:r>
        <w:rPr>
          <w:rFonts w:ascii="Arial" w:cs="Arial" w:eastAsia="Arial" w:hAnsi="Arial"/>
          <w:color w:val="666666"/>
          <w:sz w:val="22"/>
          <w:szCs w:val="22"/>
        </w:rPr>
        <w:t xml:space="preserve">Developed by Danni Askini</w:t>
      </w:r>
    </w:p>
    <w:p>
      <w:pPr>
        <w:spacing w:after="60"/>
        <w:jc w:val="center"/>
      </w:pPr>
      <w:r>
        <w:rPr>
          <w:rFonts w:ascii="Arial" w:cs="Arial" w:eastAsia="Arial" w:hAnsi="Arial"/>
          <w:color w:val="666666"/>
          <w:sz w:val="22"/>
          <w:szCs w:val="22"/>
        </w:rPr>
        <w:t xml:space="preserve">Gender Justice League</w:t>
      </w:r>
    </w:p>
    <w:p>
      <w:pPr>
        <w:spacing w:after="60"/>
        <w:jc w:val="center"/>
      </w:pPr>
      <w:r>
        <w:rPr>
          <w:rFonts w:ascii="Arial" w:cs="Arial" w:eastAsia="Arial" w:hAnsi="Arial"/>
          <w:color w:val="666666"/>
          <w:sz w:val="22"/>
          <w:szCs w:val="22"/>
        </w:rPr>
        <w:t xml:space="preserve">March 2026 — Working Document</w:t>
      </w:r>
    </w:p>
    <w:p>
      <w:pPr>
        <w:spacing w:after="600"/>
      </w:pPr>
    </w:p>
    <w:p>
      <w:pPr>
        <w:spacing w:after="40"/>
        <w:jc w:val="center"/>
      </w:pPr>
      <w:r>
        <w:rPr>
          <w:rFonts w:ascii="Arial" w:cs="Arial" w:eastAsia="Arial" w:hAnsi="Arial"/>
          <w:b/>
          <w:bCs/>
          <w:color w:val="D4A843"/>
          <w:sz w:val="18"/>
          <w:szCs w:val="18"/>
        </w:rPr>
        <w:t xml:space="preserve">CONFIDENTIAL — FOR INTERNAL PLANNING</w:t>
      </w:r>
    </w:p>
    <w:p>
      <w:r>
        <w:br w:type="page"/>
      </w:r>
    </w:p>
    <w:p>
      <w:pPr>
        <w:pStyle w:val="Heading1"/>
        <w:spacing w:after="200" w:before="360"/>
      </w:pPr>
      <w:r>
        <w:rPr>
          <w:rFonts w:ascii="Arial" w:cs="Arial" w:eastAsia="Arial" w:hAnsi="Arial"/>
          <w:b/>
          <w:bCs/>
          <w:color w:val="1B2A4A"/>
          <w:sz w:val="32"/>
          <w:szCs w:val="32"/>
        </w:rPr>
        <w:t xml:space="preserve">1. Vision &amp; Strategic Purpose</w:t>
      </w:r>
    </w:p>
    <w:p>
      <w:pPr>
        <w:spacing w:after="160" w:line="276"/>
      </w:pPr>
      <w:r>
        <w:rPr>
          <w:rFonts w:ascii="Arial" w:cs="Arial" w:eastAsia="Arial" w:hAnsi="Arial"/>
          <w:color w:val="2D2D2D"/>
          <w:sz w:val="21"/>
          <w:szCs w:val="21"/>
        </w:rPr>
        <w:t xml:space="preserve">The Activist Academy is a hybrid learning institution designed to transfer three decades of movement-building wisdom, tactical expertise, and strategic frameworks to the next generation of social justice leaders. It addresses a critical gap in the progressive ecosystem: the absence of a structured, replicable pipeline for developing skilled, strategic, and resilient activists.</w:t>
      </w:r>
    </w:p>
    <w:p>
      <w:pPr>
        <w:spacing w:after="160" w:line="276"/>
      </w:pPr>
      <w:r>
        <w:rPr>
          <w:rFonts w:ascii="Arial" w:cs="Arial" w:eastAsia="Arial" w:hAnsi="Arial"/>
          <w:color w:val="2D2D2D"/>
          <w:sz w:val="21"/>
          <w:szCs w:val="21"/>
        </w:rPr>
        <w:t xml:space="preserve">This is not a lecture series. It is an integrated system combining self-discovery, substantive skills training, and applied practice—designed to produce organizers, advocates, strategists, and movement leaders who are both competent and confident.</w:t>
      </w:r>
    </w:p>
    <w:p>
      <w:pPr>
        <w:pStyle w:val="Heading2"/>
        <w:spacing w:after="160" w:before="280"/>
      </w:pPr>
      <w:r>
        <w:rPr>
          <w:rFonts w:ascii="Arial" w:cs="Arial" w:eastAsia="Arial" w:hAnsi="Arial"/>
          <w:b/>
          <w:bCs/>
          <w:color w:val="2A7F8E"/>
          <w:sz w:val="26"/>
          <w:szCs w:val="26"/>
        </w:rPr>
        <w:t xml:space="preserve">1.1 The Problem We Are Solving</w:t>
      </w:r>
    </w:p>
    <w:p>
      <w:pPr>
        <w:spacing w:after="160" w:line="276"/>
      </w:pPr>
      <w:r>
        <w:rPr>
          <w:rFonts w:ascii="Arial" w:cs="Arial" w:eastAsia="Arial" w:hAnsi="Arial"/>
          <w:color w:val="2D2D2D"/>
          <w:sz w:val="21"/>
          <w:szCs w:val="21"/>
        </w:rPr>
        <w:t xml:space="preserve">Progressive movements face a compounding capacity crisis. Experienced leaders burn out or age out without passing on institutional knowledge. New activists enter the space with passion but without frameworks for strategic thinking, coalition management, legislative navigation, or sustained organizing. Mid-career professionals who want to pivot into advocacy lack accessible on-ramps. The result is a movement ecosystem that is perpetually reinventing the wheel, losing hard-won tactical knowledge, and failing to build durable power.</w:t>
      </w:r>
    </w:p>
    <w:p>
      <w:pPr>
        <w:pStyle w:val="Heading2"/>
        <w:spacing w:after="160" w:before="280"/>
      </w:pPr>
      <w:r>
        <w:rPr>
          <w:rFonts w:ascii="Arial" w:cs="Arial" w:eastAsia="Arial" w:hAnsi="Arial"/>
          <w:b/>
          <w:bCs/>
          <w:color w:val="2A7F8E"/>
          <w:sz w:val="26"/>
          <w:szCs w:val="26"/>
        </w:rPr>
        <w:t xml:space="preserve">1.2 The Academy’s Theory of Change</w:t>
      </w:r>
    </w:p>
    <w:p>
      <w:pPr>
        <w:spacing w:after="160" w:line="276"/>
      </w:pPr>
      <w:r>
        <w:rPr>
          <w:rFonts w:ascii="Arial" w:cs="Arial" w:eastAsia="Arial" w:hAnsi="Arial"/>
          <w:color w:val="2D2D2D"/>
          <w:sz w:val="21"/>
          <w:szCs w:val="21"/>
        </w:rPr>
        <w:t xml:space="preserve">If we equip emerging activists with structured self-knowledge (who they are as change-makers), substantive competence (what they need to know), and applied confidence (the practice of doing it), we can build a movement infrastructure that is more strategic, more resilient, and more capable of sustained collective action.</w:t>
      </w:r>
    </w:p>
    <w:p>
      <w:pPr>
        <w:pStyle w:val="Heading2"/>
        <w:spacing w:after="160" w:before="280"/>
      </w:pPr>
      <w:r>
        <w:rPr>
          <w:rFonts w:ascii="Arial" w:cs="Arial" w:eastAsia="Arial" w:hAnsi="Arial"/>
          <w:b/>
          <w:bCs/>
          <w:color w:val="2A7F8E"/>
          <w:sz w:val="26"/>
          <w:szCs w:val="26"/>
        </w:rPr>
        <w:t xml:space="preserve">1.3 Core Design Principles</w:t>
      </w:r>
    </w:p>
    <w:p>
      <w:pPr>
        <w:pStyle w:val="ListParagraph"/>
        <w:numPr>
          <w:ilvl w:val="0"/>
          <w:numId w:val="2"/>
        </w:numPr>
        <w:spacing w:after="80" w:line="276"/>
      </w:pPr>
      <w:r>
        <w:rPr>
          <w:rFonts w:ascii="Arial" w:cs="Arial" w:eastAsia="Arial" w:hAnsi="Arial"/>
          <w:b/>
          <w:bCs/>
          <w:color w:val="2D2D2D"/>
          <w:sz w:val="21"/>
          <w:szCs w:val="21"/>
        </w:rPr>
        <w:t xml:space="preserve">Gamified Entry, Rigorous Core: </w:t>
      </w:r>
      <w:r>
        <w:rPr>
          <w:rFonts w:ascii="Arial" w:cs="Arial" w:eastAsia="Arial" w:hAnsi="Arial"/>
          <w:color w:val="2D2D2D"/>
          <w:sz w:val="21"/>
          <w:szCs w:val="21"/>
        </w:rPr>
        <w:t xml:space="preserve">The Discovery Engine (character sheet system) provides an inviting, low-barrier entry point that leads into substantive, demanding curriculum.</w:t>
      </w:r>
    </w:p>
    <w:p>
      <w:pPr>
        <w:pStyle w:val="ListParagraph"/>
        <w:numPr>
          <w:ilvl w:val="0"/>
          <w:numId w:val="2"/>
        </w:numPr>
        <w:spacing w:after="80" w:line="276"/>
      </w:pPr>
      <w:r>
        <w:rPr>
          <w:rFonts w:ascii="Arial" w:cs="Arial" w:eastAsia="Arial" w:hAnsi="Arial"/>
          <w:b/>
          <w:bCs/>
          <w:color w:val="2D2D2D"/>
          <w:sz w:val="21"/>
          <w:szCs w:val="21"/>
        </w:rPr>
        <w:t xml:space="preserve">Competence Before Confidence: </w:t>
      </w:r>
      <w:r>
        <w:rPr>
          <w:rFonts w:ascii="Arial" w:cs="Arial" w:eastAsia="Arial" w:hAnsi="Arial"/>
          <w:color w:val="2D2D2D"/>
          <w:sz w:val="21"/>
          <w:szCs w:val="21"/>
        </w:rPr>
        <w:t xml:space="preserve">Participants build foundational knowledge before being asked to apply it—reducing the “thrown into the deep end” experience that burns out new activists.</w:t>
      </w:r>
    </w:p>
    <w:p>
      <w:pPr>
        <w:pStyle w:val="ListParagraph"/>
        <w:numPr>
          <w:ilvl w:val="0"/>
          <w:numId w:val="2"/>
        </w:numPr>
        <w:spacing w:after="80" w:line="276"/>
      </w:pPr>
      <w:r>
        <w:rPr>
          <w:rFonts w:ascii="Arial" w:cs="Arial" w:eastAsia="Arial" w:hAnsi="Arial"/>
          <w:b/>
          <w:bCs/>
          <w:color w:val="2D2D2D"/>
          <w:sz w:val="21"/>
          <w:szCs w:val="21"/>
        </w:rPr>
        <w:t xml:space="preserve">Dual-Audience Architecture: </w:t>
      </w:r>
      <w:r>
        <w:rPr>
          <w:rFonts w:ascii="Arial" w:cs="Arial" w:eastAsia="Arial" w:hAnsi="Arial"/>
          <w:color w:val="2D2D2D"/>
          <w:sz w:val="21"/>
          <w:szCs w:val="21"/>
        </w:rPr>
        <w:t xml:space="preserve">Every module is designed to engage both young adults (18–25) entering activism and mid-career professionals pivoting to advocacy, using tiered depth and differentiated application exercises.</w:t>
      </w:r>
    </w:p>
    <w:p>
      <w:pPr>
        <w:pStyle w:val="ListParagraph"/>
        <w:numPr>
          <w:ilvl w:val="0"/>
          <w:numId w:val="2"/>
        </w:numPr>
        <w:spacing w:after="80" w:line="276"/>
      </w:pPr>
      <w:r>
        <w:rPr>
          <w:rFonts w:ascii="Arial" w:cs="Arial" w:eastAsia="Arial" w:hAnsi="Arial"/>
          <w:b/>
          <w:bCs/>
          <w:color w:val="2D2D2D"/>
          <w:sz w:val="21"/>
          <w:szCs w:val="21"/>
        </w:rPr>
        <w:t xml:space="preserve">Hybrid Delivery: </w:t>
      </w:r>
      <w:r>
        <w:rPr>
          <w:rFonts w:ascii="Arial" w:cs="Arial" w:eastAsia="Arial" w:hAnsi="Arial"/>
          <w:color w:val="2D2D2D"/>
          <w:sz w:val="21"/>
          <w:szCs w:val="21"/>
        </w:rPr>
        <w:t xml:space="preserve">In-person intensives for relationship-building and applied practice; online modules for knowledge acquisition and self-paced learning.</w:t>
      </w:r>
    </w:p>
    <w:p>
      <w:pPr>
        <w:pStyle w:val="ListParagraph"/>
        <w:numPr>
          <w:ilvl w:val="0"/>
          <w:numId w:val="2"/>
        </w:numPr>
        <w:spacing w:after="80" w:line="276"/>
      </w:pPr>
      <w:r>
        <w:rPr>
          <w:rFonts w:ascii="Arial" w:cs="Arial" w:eastAsia="Arial" w:hAnsi="Arial"/>
          <w:b/>
          <w:bCs/>
          <w:color w:val="2D2D2D"/>
          <w:sz w:val="21"/>
          <w:szCs w:val="21"/>
        </w:rPr>
        <w:t xml:space="preserve">Movement-Transferable: </w:t>
      </w:r>
      <w:r>
        <w:rPr>
          <w:rFonts w:ascii="Arial" w:cs="Arial" w:eastAsia="Arial" w:hAnsi="Arial"/>
          <w:color w:val="2D2D2D"/>
          <w:sz w:val="21"/>
          <w:szCs w:val="21"/>
        </w:rPr>
        <w:t xml:space="preserve">The curriculum is designed for eventual licensing and adoption by other organizations, coalitions, and educational institutions.</w:t>
      </w:r>
    </w:p>
    <w:p>
      <w:r>
        <w:br w:type="page"/>
      </w:r>
    </w:p>
    <w:p>
      <w:pPr>
        <w:pStyle w:val="Heading1"/>
        <w:spacing w:after="200" w:before="360"/>
      </w:pPr>
      <w:r>
        <w:rPr>
          <w:rFonts w:ascii="Arial" w:cs="Arial" w:eastAsia="Arial" w:hAnsi="Arial"/>
          <w:b/>
          <w:bCs/>
          <w:color w:val="1B2A4A"/>
          <w:sz w:val="32"/>
          <w:szCs w:val="32"/>
        </w:rPr>
        <w:t xml:space="preserve">2. Academy Architecture: Three Interlocking Systems</w:t>
      </w:r>
    </w:p>
    <w:p>
      <w:pPr>
        <w:spacing w:after="160" w:line="276"/>
      </w:pPr>
      <w:r>
        <w:rPr>
          <w:rFonts w:ascii="Arial" w:cs="Arial" w:eastAsia="Arial" w:hAnsi="Arial"/>
          <w:color w:val="2D2D2D"/>
          <w:sz w:val="21"/>
          <w:szCs w:val="21"/>
        </w:rPr>
        <w:t xml:space="preserve">The Academy is built on three interdependent systems, each serving a distinct pedagogical function. Participants move through them sequentially but return to earlier systems as their skills deepen.</w:t>
      </w:r>
    </w:p>
    <w:p>
      <w:pPr>
        <w:pStyle w:val="Heading2"/>
        <w:spacing w:after="160" w:before="280"/>
      </w:pPr>
      <w:r>
        <w:rPr>
          <w:rFonts w:ascii="Arial" w:cs="Arial" w:eastAsia="Arial" w:hAnsi="Arial"/>
          <w:b/>
          <w:bCs/>
          <w:color w:val="2A7F8E"/>
          <w:sz w:val="26"/>
          <w:szCs w:val="26"/>
        </w:rPr>
        <w:t xml:space="preserve">2.1 System One: The Discovery Engine</w:t>
      </w:r>
    </w:p>
    <w:p>
      <w:pPr>
        <w:spacing w:after="160" w:line="276"/>
      </w:pPr>
      <w:r>
        <w:rPr>
          <w:rFonts w:ascii="Arial" w:cs="Arial" w:eastAsia="Arial" w:hAnsi="Arial"/>
          <w:b/>
          <w:bCs/>
          <w:color w:val="2D2D2D"/>
          <w:sz w:val="21"/>
          <w:szCs w:val="21"/>
        </w:rPr>
        <w:t xml:space="preserve">Purpose: </w:t>
      </w:r>
      <w:r>
        <w:rPr>
          <w:rFonts w:ascii="Arial" w:cs="Arial" w:eastAsia="Arial" w:hAnsi="Arial"/>
          <w:color w:val="2D2D2D"/>
          <w:sz w:val="21"/>
          <w:szCs w:val="21"/>
        </w:rPr>
        <w:t xml:space="preserve">Help participants understand who they are as potential change-makers—their motivations, strengths, growth edges, and natural roles within movements.</w:t>
      </w:r>
    </w:p>
    <w:p>
      <w:pPr>
        <w:spacing w:after="120" w:before="200"/>
      </w:pPr>
      <w:r>
        <w:rPr>
          <w:rFonts w:ascii="Arial" w:cs="Arial" w:eastAsia="Arial" w:hAnsi="Arial"/>
          <w:b/>
          <w:bCs/>
          <w:color w:val="1B2A4A"/>
          <w:sz w:val="22"/>
          <w:szCs w:val="22"/>
        </w:rPr>
        <w:t xml:space="preserve">The Activist Character Sheet</w:t>
      </w:r>
    </w:p>
    <w:p>
      <w:pPr>
        <w:spacing w:after="160" w:line="276"/>
      </w:pPr>
      <w:r>
        <w:rPr>
          <w:rFonts w:ascii="Arial" w:cs="Arial" w:eastAsia="Arial" w:hAnsi="Arial"/>
          <w:color w:val="2D2D2D"/>
          <w:sz w:val="21"/>
          <w:szCs w:val="21"/>
        </w:rPr>
        <w:t xml:space="preserve">Modeled on the D&amp;D character sheet and inspired by personality diagnostics like the 16 Personalities framework, the character sheet is both a recruitment tool and a diagnostic instrument. Participants complete a series of interactive quizzes that generate a personalized profile. The character sheet builds sequentially—each layer informs the next, culminating in a personalized archetype and learning path that feels earned rather than assigned:</w:t>
      </w:r>
    </w:p>
    <w:p>
      <w:pPr>
        <w:pStyle w:val="ListParagraph"/>
        <w:numPr>
          <w:ilvl w:val="0"/>
          <w:numId w:val="2"/>
        </w:numPr>
        <w:spacing w:after="80" w:line="276"/>
      </w:pPr>
      <w:r>
        <w:rPr>
          <w:rFonts w:ascii="Arial" w:cs="Arial" w:eastAsia="Arial" w:hAnsi="Arial"/>
          <w:b/>
          <w:bCs/>
          <w:color w:val="2D2D2D"/>
          <w:sz w:val="21"/>
          <w:szCs w:val="21"/>
        </w:rPr>
        <w:t xml:space="preserve">1. Motivation Profile: </w:t>
      </w:r>
      <w:r>
        <w:rPr>
          <w:rFonts w:ascii="Arial" w:cs="Arial" w:eastAsia="Arial" w:hAnsi="Arial"/>
          <w:color w:val="2D2D2D"/>
          <w:sz w:val="21"/>
          <w:szCs w:val="21"/>
        </w:rPr>
        <w:t xml:space="preserve">The foundation. What drives this person—justice orientation, community connection, policy change, direct service, systemic disruption, or narrative transformation. Understanding motivation first ensures that everything downstream is anchored in purpose.</w:t>
      </w:r>
    </w:p>
    <w:p>
      <w:pPr>
        <w:pStyle w:val="ListParagraph"/>
        <w:numPr>
          <w:ilvl w:val="0"/>
          <w:numId w:val="2"/>
        </w:numPr>
        <w:spacing w:after="80" w:line="276"/>
      </w:pPr>
      <w:r>
        <w:rPr>
          <w:rFonts w:ascii="Arial" w:cs="Arial" w:eastAsia="Arial" w:hAnsi="Arial"/>
          <w:b/>
          <w:bCs/>
          <w:color w:val="2D2D2D"/>
          <w:sz w:val="21"/>
          <w:szCs w:val="21"/>
        </w:rPr>
        <w:t xml:space="preserve">2. Starting Core Stats: </w:t>
      </w:r>
      <w:r>
        <w:rPr>
          <w:rFonts w:ascii="Arial" w:cs="Arial" w:eastAsia="Arial" w:hAnsi="Arial"/>
          <w:color w:val="2D2D2D"/>
          <w:sz w:val="21"/>
          <w:szCs w:val="21"/>
        </w:rPr>
        <w:t xml:space="preserve">Ten measurable attributes—Conflict, Empathy &amp; Listening, Strategic Thinking, Adaptability, Creative Problem Solving, Group Intelligence, Numbers &amp; Operations, Leadership, Communication, and Inspire—each scored on a scale that can be “leveled up” through the curriculum. These represent the participant’s honest starting point, not a judgment.</w:t>
      </w:r>
    </w:p>
    <w:p>
      <w:pPr>
        <w:pStyle w:val="ListParagraph"/>
        <w:numPr>
          <w:ilvl w:val="0"/>
          <w:numId w:val="2"/>
        </w:numPr>
        <w:spacing w:after="80" w:line="276"/>
      </w:pPr>
      <w:r>
        <w:rPr>
          <w:rFonts w:ascii="Arial" w:cs="Arial" w:eastAsia="Arial" w:hAnsi="Arial"/>
          <w:b/>
          <w:bCs/>
          <w:color w:val="2D2D2D"/>
          <w:sz w:val="21"/>
          <w:szCs w:val="21"/>
        </w:rPr>
        <w:t xml:space="preserve">3. Skills Inventory: </w:t>
      </w:r>
      <w:r>
        <w:rPr>
          <w:rFonts w:ascii="Arial" w:cs="Arial" w:eastAsia="Arial" w:hAnsi="Arial"/>
          <w:color w:val="2D2D2D"/>
          <w:sz w:val="21"/>
          <w:szCs w:val="21"/>
        </w:rPr>
        <w:t xml:space="preserve">Existing competencies mapped against the Academy’s curriculum, identifying both strengths and development areas. This layer distinguishes between what participants know and what they can do.</w:t>
      </w:r>
    </w:p>
    <w:p>
      <w:pPr>
        <w:pStyle w:val="ListParagraph"/>
        <w:numPr>
          <w:ilvl w:val="0"/>
          <w:numId w:val="2"/>
        </w:numPr>
        <w:spacing w:after="80" w:line="276"/>
      </w:pPr>
      <w:r>
        <w:rPr>
          <w:rFonts w:ascii="Arial" w:cs="Arial" w:eastAsia="Arial" w:hAnsi="Arial"/>
          <w:b/>
          <w:bCs/>
          <w:color w:val="2D2D2D"/>
          <w:sz w:val="21"/>
          <w:szCs w:val="21"/>
        </w:rPr>
        <w:t xml:space="preserve">4. Strategic Orientation Spectrums: </w:t>
      </w:r>
      <w:r>
        <w:rPr>
          <w:rFonts w:ascii="Arial" w:cs="Arial" w:eastAsia="Arial" w:hAnsi="Arial"/>
          <w:color w:val="2D2D2D"/>
          <w:sz w:val="21"/>
          <w:szCs w:val="21"/>
        </w:rPr>
        <w:t xml:space="preserve">Two diagnostic spectrums that reveal the participant’s natural orientation toward change-making. These are not skills to develop or scores to optimize—they are orientations to understand. The Academy is agnostic about where participants fall; movements need people at every point on these spectrums. The two dimensions are the Inside/Outside Strategy Orientation and the Righteousness/Relationship Spectrum (see below).</w:t>
      </w:r>
    </w:p>
    <w:p>
      <w:pPr>
        <w:pStyle w:val="ListParagraph"/>
        <w:numPr>
          <w:ilvl w:val="0"/>
          <w:numId w:val="2"/>
        </w:numPr>
        <w:spacing w:after="80" w:line="276"/>
      </w:pPr>
      <w:r>
        <w:rPr>
          <w:rFonts w:ascii="Arial" w:cs="Arial" w:eastAsia="Arial" w:hAnsi="Arial"/>
          <w:b/>
          <w:bCs/>
          <w:color w:val="2D2D2D"/>
          <w:sz w:val="21"/>
          <w:szCs w:val="21"/>
        </w:rPr>
        <w:t xml:space="preserve">5. Suggested Activist Archetype: </w:t>
      </w:r>
      <w:r>
        <w:rPr>
          <w:rFonts w:ascii="Arial" w:cs="Arial" w:eastAsia="Arial" w:hAnsi="Arial"/>
          <w:color w:val="2D2D2D"/>
          <w:sz w:val="21"/>
          <w:szCs w:val="21"/>
        </w:rPr>
        <w:t xml:space="preserve">Derived from the preceding layers, a primary archetype from the participant’s dominant house (Vision, Connection, Action, or Infrastructure) and a secondary archetype from a complementary house. The twelve archetypes—The Visionary, The Strategist, The Analyst, The Bridge-Builder, The Healer, The Diplomat, The Organizer, The Agitator, The Storyteller, The Architect, The Operator, and The Guardian—each come with historical exemplars and a narrative description. Because the archetype emerges from self-reported data, participants experience it as a mirror rather than a label.</w:t>
      </w:r>
    </w:p>
    <w:p>
      <w:pPr>
        <w:pStyle w:val="ListParagraph"/>
        <w:numPr>
          <w:ilvl w:val="0"/>
          <w:numId w:val="2"/>
        </w:numPr>
        <w:spacing w:after="80" w:line="276"/>
      </w:pPr>
      <w:r>
        <w:rPr>
          <w:rFonts w:ascii="Arial" w:cs="Arial" w:eastAsia="Arial" w:hAnsi="Arial"/>
          <w:b/>
          <w:bCs/>
          <w:color w:val="2D2D2D"/>
          <w:sz w:val="21"/>
          <w:szCs w:val="21"/>
        </w:rPr>
        <w:t xml:space="preserve">6. Recommended Learning Path: </w:t>
      </w:r>
      <w:r>
        <w:rPr>
          <w:rFonts w:ascii="Arial" w:cs="Arial" w:eastAsia="Arial" w:hAnsi="Arial"/>
          <w:color w:val="2D2D2D"/>
          <w:sz w:val="21"/>
          <w:szCs w:val="21"/>
        </w:rPr>
        <w:t xml:space="preserve">A customized track through the Academy that takes a strengths-based approach: the path begins in areas where the participant already feels most confident and competent, then progressively cultivates areas of discomfort or new knowledge. This sequencing builds momentum—participants enter the curriculum feeling capable, not deficient.</w:t>
      </w:r>
    </w:p>
    <w:p>
      <w:pPr>
        <w:spacing w:after="120" w:before="200"/>
      </w:pPr>
      <w:r>
        <w:rPr>
          <w:rFonts w:ascii="Arial" w:cs="Arial" w:eastAsia="Arial" w:hAnsi="Arial"/>
          <w:b/>
          <w:bCs/>
          <w:color w:val="1B2A4A"/>
          <w:sz w:val="22"/>
          <w:szCs w:val="22"/>
        </w:rPr>
        <w:t xml:space="preserve">Strategic Orientation Spectrums</w:t>
      </w:r>
    </w:p>
    <w:p>
      <w:pPr>
        <w:spacing w:after="160" w:line="276"/>
      </w:pPr>
      <w:r>
        <w:rPr>
          <w:rFonts w:ascii="Arial" w:cs="Arial" w:eastAsia="Arial" w:hAnsi="Arial"/>
          <w:color w:val="2D2D2D"/>
          <w:sz w:val="21"/>
          <w:szCs w:val="21"/>
        </w:rPr>
        <w:t xml:space="preserve">In addition to the ten core stats, the character sheet includes two diagnostic spectrums that capture fundamental orientations toward change-making. Unlike the stats, these are not scored or “leveled up”—they are self-knowledge dimensions that help participants understand their natural approach and how they fit within a broader movement ecosystem. Both spectrums are presented as continuums, not binaries, and the Academy takes no position on which end is “better.” Movements need people everywhere on both spectrums.</w:t>
      </w:r>
    </w:p>
    <w:p>
      <w:pPr>
        <w:spacing w:after="160" w:line="276"/>
      </w:pPr>
      <w:r>
        <w:rPr>
          <w:rFonts w:ascii="Arial" w:cs="Arial" w:eastAsia="Arial" w:hAnsi="Arial"/>
          <w:b/>
          <w:bCs/>
          <w:color w:val="2D2D2D"/>
          <w:sz w:val="21"/>
          <w:szCs w:val="21"/>
        </w:rPr>
        <w:t xml:space="preserve">Inside/Outside Strategy Orientation. </w:t>
      </w:r>
      <w:r>
        <w:rPr>
          <w:rFonts w:ascii="Arial" w:cs="Arial" w:eastAsia="Arial" w:hAnsi="Arial"/>
          <w:color w:val="2D2D2D"/>
          <w:sz w:val="21"/>
          <w:szCs w:val="21"/>
        </w:rPr>
        <w:t xml:space="preserve">This spectrum captures a participant’s comfort with and orientation toward two fundamental categories of movement strategy. </w:t>
      </w:r>
      <w:r>
        <w:rPr>
          <w:rFonts w:ascii="Arial" w:cs="Arial" w:eastAsia="Arial" w:hAnsi="Arial"/>
          <w:b/>
          <w:bCs/>
          <w:i/>
          <w:iCs/>
          <w:color w:val="2D2D2D"/>
          <w:sz w:val="21"/>
          <w:szCs w:val="21"/>
        </w:rPr>
        <w:t xml:space="preserve">Outside strategies </w:t>
      </w:r>
      <w:r>
        <w:rPr>
          <w:rFonts w:ascii="Arial" w:cs="Arial" w:eastAsia="Arial" w:hAnsi="Arial"/>
          <w:color w:val="2D2D2D"/>
          <w:sz w:val="21"/>
          <w:szCs w:val="21"/>
        </w:rPr>
        <w:t xml:space="preserve">directly confront targets of power: protests, pickets, mass action marches, sit-ins, opposition media campaigns, and other forms of direct pressure. </w:t>
      </w:r>
      <w:r>
        <w:rPr>
          <w:rFonts w:ascii="Arial" w:cs="Arial" w:eastAsia="Arial" w:hAnsi="Arial"/>
          <w:b/>
          <w:bCs/>
          <w:i/>
          <w:iCs/>
          <w:color w:val="2D2D2D"/>
          <w:sz w:val="21"/>
          <w:szCs w:val="21"/>
        </w:rPr>
        <w:t xml:space="preserve">Inside strategies </w:t>
      </w:r>
      <w:r>
        <w:rPr>
          <w:rFonts w:ascii="Arial" w:cs="Arial" w:eastAsia="Arial" w:hAnsi="Arial"/>
          <w:color w:val="2D2D2D"/>
          <w:sz w:val="21"/>
          <w:szCs w:val="21"/>
        </w:rPr>
        <w:t xml:space="preserve">work within existing systems of power: legal challenges, legislative campaigns, policy reform, electoral organizing, and administrative advocacy. Inside strategies are not liberatory in the transformative social justice sense—they focus on incremental change. But they achieve tangible, material gains for people living under unjust systems right now. Participants may lean strongly toward one end, sit comfortably in the middle, or shift depending on context. What matters is that they understand their orientation and can make strategic choices accordingly.</w:t>
      </w:r>
    </w:p>
    <w:p>
      <w:pPr>
        <w:spacing w:after="160" w:line="276"/>
      </w:pPr>
      <w:r>
        <w:rPr>
          <w:rFonts w:ascii="Arial" w:cs="Arial" w:eastAsia="Arial" w:hAnsi="Arial"/>
          <w:color w:val="2D2D2D"/>
          <w:sz w:val="21"/>
          <w:szCs w:val="21"/>
        </w:rPr>
        <w:t xml:space="preserve">The Academy holds that movements have places for all people—those who are radicals fighting for or envisioning utopian transformation, as well as those who pursue incremental gains that deliver concrete if limited improvements. Both orientations are vital, and neither is sufficient alone.</w:t>
      </w:r>
    </w:p>
    <w:p>
      <w:pPr>
        <w:spacing w:after="160" w:line="276"/>
      </w:pPr>
      <w:r>
        <w:rPr>
          <w:rFonts w:ascii="Arial" w:cs="Arial" w:eastAsia="Arial" w:hAnsi="Arial"/>
          <w:b/>
          <w:bCs/>
          <w:color w:val="2D2D2D"/>
          <w:sz w:val="21"/>
          <w:szCs w:val="21"/>
        </w:rPr>
        <w:t xml:space="preserve">Righteousness/Relationship Spectrum. </w:t>
      </w:r>
      <w:r>
        <w:rPr>
          <w:rFonts w:ascii="Arial" w:cs="Arial" w:eastAsia="Arial" w:hAnsi="Arial"/>
          <w:color w:val="2D2D2D"/>
          <w:sz w:val="21"/>
          <w:szCs w:val="21"/>
        </w:rPr>
        <w:t xml:space="preserve">This spectrum addresses one of the most consequential tensions in social justice work. </w:t>
      </w:r>
      <w:r>
        <w:rPr>
          <w:rFonts w:ascii="Arial" w:cs="Arial" w:eastAsia="Arial" w:hAnsi="Arial"/>
          <w:b/>
          <w:bCs/>
          <w:i/>
          <w:iCs/>
          <w:color w:val="2D2D2D"/>
          <w:sz w:val="21"/>
          <w:szCs w:val="21"/>
        </w:rPr>
        <w:t xml:space="preserve">Relationship </w:t>
      </w:r>
      <w:r>
        <w:rPr>
          <w:rFonts w:ascii="Arial" w:cs="Arial" w:eastAsia="Arial" w:hAnsi="Arial"/>
          <w:color w:val="2D2D2D"/>
          <w:sz w:val="21"/>
          <w:szCs w:val="21"/>
        </w:rPr>
        <w:t xml:space="preserve">describes the strategic posture of maintaining connections to systems of power or populations who oppose you. Change often comes through relationship—but relationship requires concession. To stay at the table, you may have to compromise on positions, moderate language, or accept partial victories. </w:t>
      </w:r>
      <w:r>
        <w:rPr>
          <w:rFonts w:ascii="Arial" w:cs="Arial" w:eastAsia="Arial" w:hAnsi="Arial"/>
          <w:b/>
          <w:bCs/>
          <w:i/>
          <w:iCs/>
          <w:color w:val="2D2D2D"/>
          <w:sz w:val="21"/>
          <w:szCs w:val="21"/>
        </w:rPr>
        <w:t xml:space="preserve">Righteousness </w:t>
      </w:r>
      <w:r>
        <w:rPr>
          <w:rFonts w:ascii="Arial" w:cs="Arial" w:eastAsia="Arial" w:hAnsi="Arial"/>
          <w:color w:val="2D2D2D"/>
          <w:sz w:val="21"/>
          <w:szCs w:val="21"/>
        </w:rPr>
        <w:t xml:space="preserve">describes the stance of holding moral high ground. It is the position we take when there is a fundamental moral difference that cannot be compromised—when the other side’s position is not merely disagreeable but unconscionable. We are not in relationship with white supremacists or those advocating genocide. Righteousness is essential to moral clarity; relationship is essential to operational power. The tension between them is not a problem to solve but a reality to navigate.</w:t>
      </w:r>
    </w:p>
    <w:p>
      <w:pPr>
        <w:spacing w:after="160" w:line="276"/>
      </w:pPr>
      <w:r>
        <w:rPr>
          <w:rFonts w:ascii="Arial" w:cs="Arial" w:eastAsia="Arial" w:hAnsi="Arial"/>
          <w:color w:val="2D2D2D"/>
          <w:sz w:val="21"/>
          <w:szCs w:val="21"/>
        </w:rPr>
        <w:t xml:space="preserve">Both spectrums are assessed through scenario-based quiz questions and appear as visual continuums on the character sheet. They inform the participant’s archetype and recommended learning path—a participant who leans strongly toward outside strategy and righteousness, for example, may be especially well-suited to Communications &amp; Narrative Strategy and Tactical Innovation &amp; Earned Media, while a participant oriented toward inside strategy and relationship may thrive in Legislative &amp; Policy Strategy and Electoral &amp; Campaign Strategy. But the Academy also intentionally exposes participants to the opposite orientation, building the analytical capacity to understand when each approach is strategically called for.</w:t>
      </w:r>
    </w:p>
    <w:p>
      <w:pPr>
        <w:spacing w:after="120" w:before="200"/>
      </w:pPr>
      <w:r>
        <w:rPr>
          <w:rFonts w:ascii="Arial" w:cs="Arial" w:eastAsia="Arial" w:hAnsi="Arial"/>
          <w:b/>
          <w:bCs/>
          <w:color w:val="1B2A4A"/>
          <w:sz w:val="22"/>
          <w:szCs w:val="22"/>
        </w:rPr>
        <w:t xml:space="preserve">Strengths-Based Learning Philosophy</w:t>
      </w:r>
    </w:p>
    <w:p>
      <w:pPr>
        <w:spacing w:after="160" w:line="276"/>
      </w:pPr>
      <w:r>
        <w:rPr>
          <w:rFonts w:ascii="Arial" w:cs="Arial" w:eastAsia="Arial" w:hAnsi="Arial"/>
          <w:color w:val="2D2D2D"/>
          <w:sz w:val="21"/>
          <w:szCs w:val="21"/>
        </w:rPr>
        <w:t xml:space="preserve">The Academy rejects a deficit-based model of activist training. Rather than leading with “what you don’t know,” the character sheet and curriculum pathway are designed to affirm what participants bring and then build outward from that foundation. A participant with high Group Intelligence and Empathy &amp; Listening scores, for example, would begin in schools where those strengths are most directly applicable—Organizing &amp; Base-Building, Healing &amp; Sustainability—before being guided into areas like Legislative Strategy or Numbers &amp; Operations where they may have less experience. This approach mirrors effective adult learning theory: competence breeds confidence, and confidence sustains engagement through the more challenging material.</w:t>
      </w:r>
    </w:p>
    <w:p>
      <w:pPr>
        <w:spacing w:after="120" w:before="200"/>
      </w:pPr>
      <w:r>
        <w:rPr>
          <w:rFonts w:ascii="Arial" w:cs="Arial" w:eastAsia="Arial" w:hAnsi="Arial"/>
          <w:b/>
          <w:bCs/>
          <w:color w:val="1B2A4A"/>
          <w:sz w:val="22"/>
          <w:szCs w:val="22"/>
        </w:rPr>
        <w:t xml:space="preserve">Quiz Design Philosophy</w:t>
      </w:r>
    </w:p>
    <w:p>
      <w:pPr>
        <w:spacing w:after="160" w:line="276"/>
      </w:pPr>
      <w:r>
        <w:rPr>
          <w:rFonts w:ascii="Arial" w:cs="Arial" w:eastAsia="Arial" w:hAnsi="Arial"/>
          <w:color w:val="2D2D2D"/>
          <w:sz w:val="21"/>
          <w:szCs w:val="21"/>
        </w:rPr>
        <w:t xml:space="preserve">The quizzes must be genuinely fun, shareable, and psychologically grounded. They should feel more like a compelling BuzzFeed-meets-Myers-Briggs experience than an intake assessment. The shareability factor is critical—every completed character sheet is a recruitment tool as participants share their profiles on social media. At the same time, the underlying framework must be methodologically sound enough to produce genuinely useful self-knowledge and to map participants accurately to curriculum pathways.</w:t>
      </w:r>
    </w:p>
    <w:p>
      <w:pPr>
        <w:pStyle w:val="Heading2"/>
        <w:spacing w:after="160" w:before="280"/>
      </w:pPr>
      <w:r>
        <w:rPr>
          <w:rFonts w:ascii="Arial" w:cs="Arial" w:eastAsia="Arial" w:hAnsi="Arial"/>
          <w:b/>
          <w:bCs/>
          <w:color w:val="2A7F8E"/>
          <w:sz w:val="26"/>
          <w:szCs w:val="26"/>
        </w:rPr>
        <w:t xml:space="preserve">2.2 System Two: The Competence Curriculum</w:t>
      </w:r>
    </w:p>
    <w:p>
      <w:pPr>
        <w:spacing w:after="160" w:line="276"/>
      </w:pPr>
      <w:r>
        <w:rPr>
          <w:rFonts w:ascii="Arial" w:cs="Arial" w:eastAsia="Arial" w:hAnsi="Arial"/>
          <w:b/>
          <w:bCs/>
          <w:color w:val="2D2D2D"/>
          <w:sz w:val="21"/>
          <w:szCs w:val="21"/>
        </w:rPr>
        <w:t xml:space="preserve">Purpose: </w:t>
      </w:r>
      <w:r>
        <w:rPr>
          <w:rFonts w:ascii="Arial" w:cs="Arial" w:eastAsia="Arial" w:hAnsi="Arial"/>
          <w:color w:val="2D2D2D"/>
          <w:sz w:val="21"/>
          <w:szCs w:val="21"/>
        </w:rPr>
        <w:t xml:space="preserve">Deliver the substantive knowledge base required for effective, sustained social justice work across multiple disciplines.</w:t>
      </w:r>
    </w:p>
    <w:p>
      <w:pPr>
        <w:spacing w:after="120" w:before="200"/>
      </w:pPr>
      <w:r>
        <w:rPr>
          <w:rFonts w:ascii="Arial" w:cs="Arial" w:eastAsia="Arial" w:hAnsi="Arial"/>
          <w:b/>
          <w:bCs/>
          <w:color w:val="1B2A4A"/>
          <w:sz w:val="22"/>
          <w:szCs w:val="22"/>
        </w:rPr>
        <w:t xml:space="preserve">Curriculum Schools</w:t>
      </w:r>
    </w:p>
    <w:p>
      <w:pPr>
        <w:spacing w:after="160" w:line="276"/>
      </w:pPr>
      <w:r>
        <w:rPr>
          <w:rFonts w:ascii="Arial" w:cs="Arial" w:eastAsia="Arial" w:hAnsi="Arial"/>
          <w:color w:val="2D2D2D"/>
          <w:sz w:val="21"/>
          <w:szCs w:val="21"/>
        </w:rPr>
        <w:t xml:space="preserve">The curriculum is organized into thirteen schools grouped across three sections that mirror the arc of movement-building itself. Section I (Forming) lays the analytical and organizational foundation. Section II (Tactics) delivers the strategic and operational skill sets for pursuing change. Section III (Sustaining Momentum) addresses the ongoing work of keeping movements healthy, educated, connected, and culturally alive. Schools may be taken in sequence within a section or selectively based on the participant’s 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School</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Content Areas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Archetypes</w:t>
            </w:r>
          </w:p>
        </w:tc>
      </w:tr>
      <w:tr>
        <w:tc>
          <w:tcPr>
            <w:tcW w:type="dxa" w:w="9360"/>
            <w:gridSpan w:val="3"/>
            <w:tcBorders>
              <w:top w:val="single" w:color="CCCCCC" w:sz="1"/>
              <w:left w:val="single" w:color="CCCCCC" w:sz="1"/>
              <w:bottom w:val="single" w:color="CCCCCC" w:sz="1"/>
              <w:right w:val="single" w:color="CCCCCC" w:sz="1"/>
            </w:tcBorders>
            <w:shd w:fill="2A7F8E" w:val="clear"/>
            <w:tcMar>
              <w:top w:type="dxa" w:w="100"/>
              <w:left w:type="dxa" w:w="120"/>
              <w:bottom w:type="dxa" w:w="100"/>
              <w:right w:type="dxa" w:w="120"/>
            </w:tcMar>
          </w:tcPr>
          <w:p>
            <w:r>
              <w:rPr>
                <w:rFonts w:ascii="Arial" w:cs="Arial" w:eastAsia="Arial" w:hAnsi="Arial"/>
                <w:b/>
                <w:bCs/>
                <w:color w:val="FFFFFF"/>
                <w:sz w:val="22"/>
                <w:szCs w:val="22"/>
              </w:rPr>
              <w:t xml:space="preserve">SECTION I: FORMING</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Foundations of Power</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How systems of power operate; intersectionality as analytical framework; historical movement analysis with case studies of successful and unsuccessful social movements; theories of change; understanding structural vs. cultural power; introduction to the inside/outside strategy framework and the righteousness/relationship spectrum as foundational lenses for all subsequent schools</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All participants — required gateway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Organizing &amp; Base-Building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Group psychology and dynamics including Tuckman’s stages (Forming, Storming, Norming, Performing, Adjourning); clarifying Mission (Why), Vision (What), Values (How) to identify Who should join; assessing When and Where—timeliness, relevance to the population served, and connection to current problems; relational organizing; community organizing models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 The Bridge-Builder, The Guardian</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Power &amp; Resource Mapping</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Identifying key issues, problems, and challenges; selecting strategy level—Micro (supporting individuals), Mezzo (intergroup/inter-community solidarity, coalition creation, group change), or Macro (legal, policy, or culture change); applying the inside/outside framework to determine whether to confront or work within systems of power; navigating the righteousness/relationship spectrum in strategy selection; mapping coalition partners, skills, and community resources needed; power analysis and leverage point identification</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Strategist, The Analyst, The Bridge-Builder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Resource &amp; Capacity Development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Individual donations and donor cultivation; corporate and organizational sponsorships; grant writing and foundation relations; government contracts; for-profit revenue generation; program revenue models; in-kind support strategies; budgeting and financial sustainability planning; building the systems and securing the resources needed for a successful campaign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Operator, The Architect, The Strategist</w:t>
            </w:r>
          </w:p>
        </w:tc>
      </w:tr>
      <w:tr>
        <w:tc>
          <w:tcPr>
            <w:tcW w:type="dxa" w:w="9360"/>
            <w:gridSpan w:val="3"/>
            <w:tcBorders>
              <w:top w:val="single" w:color="CCCCCC" w:sz="1"/>
              <w:left w:val="single" w:color="CCCCCC" w:sz="1"/>
              <w:bottom w:val="single" w:color="CCCCCC" w:sz="1"/>
              <w:right w:val="single" w:color="CCCCCC" w:sz="1"/>
            </w:tcBorders>
            <w:shd w:fill="2A7F8E" w:val="clear"/>
            <w:tcMar>
              <w:top w:type="dxa" w:w="100"/>
              <w:left w:type="dxa" w:w="120"/>
              <w:bottom w:type="dxa" w:w="100"/>
              <w:right w:type="dxa" w:w="120"/>
            </w:tcMar>
          </w:tcPr>
          <w:p>
            <w:r>
              <w:rPr>
                <w:rFonts w:ascii="Arial" w:cs="Arial" w:eastAsia="Arial" w:hAnsi="Arial"/>
                <w:b/>
                <w:bCs/>
                <w:color w:val="FFFFFF"/>
                <w:sz w:val="22"/>
                <w:szCs w:val="22"/>
              </w:rPr>
              <w:t xml:space="preserve">SECTION II: TACTICS</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Legislative &amp; Policy Strategy</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Legislative processes; administrative rulemaking; ballot measures; testimony and lobbying; regulatory navigation; translating power maps into legislative strategy</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Diplomat, The Strategist, The Architect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Communications &amp; Narrative Strategy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Media strategy; storytelling for impact; framing and messaging; digital content; crisis communications; narrative infrastructure for movements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 The Visionary, The Agitator</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Legal &amp; Constitutional Frameworks</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Civil rights law; constitutional analysis; international human rights frameworks; legal strategy for movements; litigation as organizing tool</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Architect, The Analyst, The Diplomat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Electoral &amp; Campaign Strategy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Candidate campaigns; ballot measures; voter contact; field operations; campaign finance; electoral coalition-building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Strategist, The Organizer, The Operator</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Tactical Innovation &amp; Earned Media</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Pros and cons of direct action in an era of increasing criminalization of dissent; social media campaigns; earned media strategies to generate press and public attention; direct action when mass action is already underway; tactical creativity and adaptation</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Agitator, The Storyteller, The Visionary</w:t>
            </w:r>
          </w:p>
        </w:tc>
      </w:tr>
      <w:tr>
        <w:tc>
          <w:tcPr>
            <w:tcW w:type="dxa" w:w="9360"/>
            <w:gridSpan w:val="3"/>
            <w:tcBorders>
              <w:top w:val="single" w:color="CCCCCC" w:sz="1"/>
              <w:left w:val="single" w:color="CCCCCC" w:sz="1"/>
              <w:bottom w:val="single" w:color="CCCCCC" w:sz="1"/>
              <w:right w:val="single" w:color="CCCCCC" w:sz="1"/>
            </w:tcBorders>
            <w:shd w:fill="2A7F8E" w:val="clear"/>
            <w:tcMar>
              <w:top w:type="dxa" w:w="100"/>
              <w:left w:type="dxa" w:w="120"/>
              <w:bottom w:type="dxa" w:w="100"/>
              <w:right w:type="dxa" w:w="120"/>
            </w:tcMar>
          </w:tcPr>
          <w:p>
            <w:r>
              <w:rPr>
                <w:rFonts w:ascii="Arial" w:cs="Arial" w:eastAsia="Arial" w:hAnsi="Arial"/>
                <w:b/>
                <w:bCs/>
                <w:color w:val="FFFFFF"/>
                <w:sz w:val="22"/>
                <w:szCs w:val="22"/>
              </w:rPr>
              <w:t xml:space="preserve">SECTION III: SUSTAINING MOMENTUM</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Healing &amp; Sustainability</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Activist burnout prevention; trauma-informed organizing; restorative justice; community care models; sustainable leadership; boundaries and longevity in movement work</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Healer, The Guardian, The Bridge-Builder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Direct Service Supports &amp; Mutual Aid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Peer-to-peer and non-hierarchical approaches to supporting community members in crisis; mutual aid program design and operations; community security programs; building community capacity for legal, legislative, policy, and cultural change through direct support—a solidarity-based model, not a medicalized 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Guardian, The Healer, The Organizer</w:t>
            </w:r>
          </w:p>
        </w:tc>
      </w:tr>
      <w:tr>
        <w:tc>
          <w:tcPr>
            <w:tcW w:type="dxa" w:w="22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Political Education &amp; Group Learning</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Ongoing political education circles and study groups; addressing evolving group dynamics beyond initial formation; continuous collective analysis and shared learning frameworks; developing internal capacity for critical thinking, debate, and ideological clarity; revisiting the inside/outside and righteousness/relationship spectrums as conditions change; fostering a culture of continual improvement within organizations</w:t>
            </w:r>
          </w:p>
        </w:tc>
        <w:tc>
          <w:tcPr>
            <w:tcW w:type="dxa" w:w="358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Analyst, The Bridge-Builder, The Visionary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Arts &amp; Cultural Events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Community-building through arts, performance, and cultural programming; using creative expression as a tool for political education and solidarity; parties and gatherings for community cohesion and fundraising; cultural events as movement identity and narrative infrastructure; art as resistance, healing, and celebration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 The Healer, The Visionary</w:t>
            </w:r>
          </w:p>
        </w:tc>
      </w:tr>
    </w:tbl>
    <w:p>
      <w:pPr>
        <w:spacing w:after="160"/>
      </w:pPr>
    </w:p>
    <w:p>
      <w:pPr>
        <w:spacing w:after="160"/>
      </w:pPr>
    </w:p>
    <w:p>
      <w:pPr>
        <w:spacing w:after="120" w:before="200"/>
      </w:pPr>
      <w:r>
        <w:rPr>
          <w:rFonts w:ascii="Arial" w:cs="Arial" w:eastAsia="Arial" w:hAnsi="Arial"/>
          <w:b/>
          <w:bCs/>
          <w:color w:val="1B2A4A"/>
          <w:sz w:val="22"/>
          <w:szCs w:val="22"/>
        </w:rPr>
        <w:t xml:space="preserve">Module Structure</w:t>
      </w:r>
    </w:p>
    <w:p>
      <w:pPr>
        <w:spacing w:after="160" w:line="276"/>
      </w:pPr>
      <w:r>
        <w:rPr>
          <w:rFonts w:ascii="Arial" w:cs="Arial" w:eastAsia="Arial" w:hAnsi="Arial"/>
          <w:color w:val="2D2D2D"/>
          <w:sz w:val="21"/>
          <w:szCs w:val="21"/>
        </w:rPr>
        <w:t xml:space="preserve">Each module within a school follows a consistent pedagogical structure:</w:t>
      </w:r>
    </w:p>
    <w:p>
      <w:pPr>
        <w:pStyle w:val="ListParagraph"/>
        <w:numPr>
          <w:ilvl w:val="0"/>
          <w:numId w:val="2"/>
        </w:numPr>
        <w:spacing w:after="80" w:line="276"/>
      </w:pPr>
      <w:r>
        <w:rPr>
          <w:rFonts w:ascii="Arial" w:cs="Arial" w:eastAsia="Arial" w:hAnsi="Arial"/>
          <w:b/>
          <w:bCs/>
          <w:color w:val="2D2D2D"/>
          <w:sz w:val="21"/>
          <w:szCs w:val="21"/>
        </w:rPr>
        <w:t xml:space="preserve">Anchor: </w:t>
      </w:r>
      <w:r>
        <w:rPr>
          <w:rFonts w:ascii="Arial" w:cs="Arial" w:eastAsia="Arial" w:hAnsi="Arial"/>
          <w:color w:val="2D2D2D"/>
          <w:sz w:val="21"/>
          <w:szCs w:val="21"/>
        </w:rPr>
        <w:t xml:space="preserve">A compelling story, case study, or historical example that grounds the topic in real-world stakes.</w:t>
      </w:r>
    </w:p>
    <w:p>
      <w:pPr>
        <w:pStyle w:val="ListParagraph"/>
        <w:numPr>
          <w:ilvl w:val="0"/>
          <w:numId w:val="2"/>
        </w:numPr>
        <w:spacing w:after="80" w:line="276"/>
      </w:pPr>
      <w:r>
        <w:rPr>
          <w:rFonts w:ascii="Arial" w:cs="Arial" w:eastAsia="Arial" w:hAnsi="Arial"/>
          <w:b/>
          <w:bCs/>
          <w:color w:val="2D2D2D"/>
          <w:sz w:val="21"/>
          <w:szCs w:val="21"/>
        </w:rPr>
        <w:t xml:space="preserve">Framework: </w:t>
      </w:r>
      <w:r>
        <w:rPr>
          <w:rFonts w:ascii="Arial" w:cs="Arial" w:eastAsia="Arial" w:hAnsi="Arial"/>
          <w:color w:val="2D2D2D"/>
          <w:sz w:val="21"/>
          <w:szCs w:val="21"/>
        </w:rPr>
        <w:t xml:space="preserve">The conceptual model or analytical tool being taught.</w:t>
      </w:r>
    </w:p>
    <w:p>
      <w:pPr>
        <w:pStyle w:val="ListParagraph"/>
        <w:numPr>
          <w:ilvl w:val="0"/>
          <w:numId w:val="2"/>
        </w:numPr>
        <w:spacing w:after="80" w:line="276"/>
      </w:pPr>
      <w:r>
        <w:rPr>
          <w:rFonts w:ascii="Arial" w:cs="Arial" w:eastAsia="Arial" w:hAnsi="Arial"/>
          <w:b/>
          <w:bCs/>
          <w:color w:val="2D2D2D"/>
          <w:sz w:val="21"/>
          <w:szCs w:val="21"/>
        </w:rPr>
        <w:t xml:space="preserve">Application: </w:t>
      </w:r>
      <w:r>
        <w:rPr>
          <w:rFonts w:ascii="Arial" w:cs="Arial" w:eastAsia="Arial" w:hAnsi="Arial"/>
          <w:color w:val="2D2D2D"/>
          <w:sz w:val="21"/>
          <w:szCs w:val="21"/>
        </w:rPr>
        <w:t xml:space="preserve">A guided exercise where participants apply the framework.</w:t>
      </w:r>
    </w:p>
    <w:p>
      <w:pPr>
        <w:pStyle w:val="ListParagraph"/>
        <w:numPr>
          <w:ilvl w:val="0"/>
          <w:numId w:val="2"/>
        </w:numPr>
        <w:spacing w:after="80" w:line="276"/>
      </w:pPr>
      <w:r>
        <w:rPr>
          <w:rFonts w:ascii="Arial" w:cs="Arial" w:eastAsia="Arial" w:hAnsi="Arial"/>
          <w:b/>
          <w:bCs/>
          <w:color w:val="2D2D2D"/>
          <w:sz w:val="21"/>
          <w:szCs w:val="21"/>
        </w:rPr>
        <w:t xml:space="preserve">Reflection: </w:t>
      </w:r>
      <w:r>
        <w:rPr>
          <w:rFonts w:ascii="Arial" w:cs="Arial" w:eastAsia="Arial" w:hAnsi="Arial"/>
          <w:color w:val="2D2D2D"/>
          <w:sz w:val="21"/>
          <w:szCs w:val="21"/>
        </w:rPr>
        <w:t xml:space="preserve">Connection back to the participant’s character sheet—how does this skill map to their archetype, and how does it move their stats?</w:t>
      </w:r>
    </w:p>
    <w:p>
      <w:pPr>
        <w:pStyle w:val="Heading2"/>
        <w:spacing w:after="160" w:before="280"/>
      </w:pPr>
      <w:r>
        <w:rPr>
          <w:rFonts w:ascii="Arial" w:cs="Arial" w:eastAsia="Arial" w:hAnsi="Arial"/>
          <w:b/>
          <w:bCs/>
          <w:color w:val="2A7F8E"/>
          <w:sz w:val="26"/>
          <w:szCs w:val="26"/>
        </w:rPr>
        <w:t xml:space="preserve">2.3 System Three: The Confidence Lab</w:t>
      </w:r>
    </w:p>
    <w:p>
      <w:pPr>
        <w:spacing w:after="160" w:line="276"/>
      </w:pPr>
      <w:r>
        <w:rPr>
          <w:rFonts w:ascii="Arial" w:cs="Arial" w:eastAsia="Arial" w:hAnsi="Arial"/>
          <w:b/>
          <w:bCs/>
          <w:color w:val="2D2D2D"/>
          <w:sz w:val="21"/>
          <w:szCs w:val="21"/>
        </w:rPr>
        <w:t xml:space="preserve">Purpose: </w:t>
      </w:r>
      <w:r>
        <w:rPr>
          <w:rFonts w:ascii="Arial" w:cs="Arial" w:eastAsia="Arial" w:hAnsi="Arial"/>
          <w:color w:val="2D2D2D"/>
          <w:sz w:val="21"/>
          <w:szCs w:val="21"/>
        </w:rPr>
        <w:t xml:space="preserve">Provide structured, progressive opportunities to apply skills in real-world and simulated environments, building the confidence that turns knowledge into action.</w:t>
      </w:r>
    </w:p>
    <w:p>
      <w:pPr>
        <w:spacing w:after="160" w:line="276"/>
      </w:pPr>
      <w:r>
        <w:rPr>
          <w:rFonts w:ascii="Arial" w:cs="Arial" w:eastAsia="Arial" w:hAnsi="Arial"/>
          <w:color w:val="2D2D2D"/>
          <w:sz w:val="21"/>
          <w:szCs w:val="21"/>
        </w:rPr>
        <w:t xml:space="preserve">The Confidence Lab is where the Academy transitions from education to activation. Activities escalate in stakes and complexity:</w:t>
      </w:r>
    </w:p>
    <w:p>
      <w:pPr>
        <w:pStyle w:val="ListParagraph"/>
        <w:numPr>
          <w:ilvl w:val="0"/>
          <w:numId w:val="2"/>
        </w:numPr>
        <w:spacing w:after="80" w:line="276"/>
      </w:pPr>
      <w:r>
        <w:rPr>
          <w:rFonts w:ascii="Arial" w:cs="Arial" w:eastAsia="Arial" w:hAnsi="Arial"/>
          <w:b/>
          <w:bCs/>
          <w:color w:val="2D2D2D"/>
          <w:sz w:val="21"/>
          <w:szCs w:val="21"/>
        </w:rPr>
        <w:t xml:space="preserve">Tier 1 — Simulations: </w:t>
      </w:r>
      <w:r>
        <w:rPr>
          <w:rFonts w:ascii="Arial" w:cs="Arial" w:eastAsia="Arial" w:hAnsi="Arial"/>
          <w:color w:val="2D2D2D"/>
          <w:sz w:val="21"/>
          <w:szCs w:val="21"/>
        </w:rPr>
        <w:t xml:space="preserve">Role-plays, mock hearings, practice lobby visits, simulated media interviews, tabletop organizing scenarios.</w:t>
      </w:r>
    </w:p>
    <w:p>
      <w:pPr>
        <w:pStyle w:val="ListParagraph"/>
        <w:numPr>
          <w:ilvl w:val="0"/>
          <w:numId w:val="2"/>
        </w:numPr>
        <w:spacing w:after="80" w:line="276"/>
      </w:pPr>
      <w:r>
        <w:rPr>
          <w:rFonts w:ascii="Arial" w:cs="Arial" w:eastAsia="Arial" w:hAnsi="Arial"/>
          <w:b/>
          <w:bCs/>
          <w:color w:val="2D2D2D"/>
          <w:sz w:val="21"/>
          <w:szCs w:val="21"/>
        </w:rPr>
        <w:t xml:space="preserve">Tier 2 — Supervised Practice: </w:t>
      </w:r>
      <w:r>
        <w:rPr>
          <w:rFonts w:ascii="Arial" w:cs="Arial" w:eastAsia="Arial" w:hAnsi="Arial"/>
          <w:color w:val="2D2D2D"/>
          <w:sz w:val="21"/>
          <w:szCs w:val="21"/>
        </w:rPr>
        <w:t xml:space="preserve">Participants take on real tasks within Gender Justice League or partner organization campaigns under mentorship—writing real testimony, staffing real events, contributing to real communications.</w:t>
      </w:r>
    </w:p>
    <w:p>
      <w:pPr>
        <w:pStyle w:val="ListParagraph"/>
        <w:numPr>
          <w:ilvl w:val="0"/>
          <w:numId w:val="2"/>
        </w:numPr>
        <w:spacing w:after="80" w:line="276"/>
      </w:pPr>
      <w:r>
        <w:rPr>
          <w:rFonts w:ascii="Arial" w:cs="Arial" w:eastAsia="Arial" w:hAnsi="Arial"/>
          <w:b/>
          <w:bCs/>
          <w:color w:val="2D2D2D"/>
          <w:sz w:val="21"/>
          <w:szCs w:val="21"/>
        </w:rPr>
        <w:t xml:space="preserve">Tier 3 — Capstone Projects: </w:t>
      </w:r>
      <w:r>
        <w:rPr>
          <w:rFonts w:ascii="Arial" w:cs="Arial" w:eastAsia="Arial" w:hAnsi="Arial"/>
          <w:color w:val="2D2D2D"/>
          <w:sz w:val="21"/>
          <w:szCs w:val="21"/>
        </w:rPr>
        <w:t xml:space="preserve">Participants design and execute an independent action, campaign element, or policy brief, with peer and mentor review.</w:t>
      </w:r>
    </w:p>
    <w:p>
      <w:r>
        <w:br w:type="page"/>
      </w:r>
    </w:p>
    <w:p>
      <w:pPr>
        <w:pStyle w:val="Heading1"/>
        <w:spacing w:after="200" w:before="360"/>
      </w:pPr>
      <w:r>
        <w:rPr>
          <w:rFonts w:ascii="Arial" w:cs="Arial" w:eastAsia="Arial" w:hAnsi="Arial"/>
          <w:b/>
          <w:bCs/>
          <w:color w:val="1B2A4A"/>
          <w:sz w:val="32"/>
          <w:szCs w:val="32"/>
        </w:rPr>
        <w:t xml:space="preserve">3. The Competence/Confidence Matrix</w:t>
      </w:r>
    </w:p>
    <w:p>
      <w:pPr>
        <w:spacing w:after="160" w:line="276"/>
      </w:pPr>
      <w:r>
        <w:rPr>
          <w:rFonts w:ascii="Arial" w:cs="Arial" w:eastAsia="Arial" w:hAnsi="Arial"/>
          <w:color w:val="2D2D2D"/>
          <w:sz w:val="21"/>
          <w:szCs w:val="21"/>
        </w:rPr>
        <w:t xml:space="preserve">The pedagogical backbone of the Academy is a visible progression system that tracks each participant’s journey across two dimensions: competence (knowledge and skill) and confidence (willingness and capacity to act). This matrix serves as both a learning framework and a motivational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Competence Dimension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Dimension</w:t>
            </w:r>
          </w:p>
        </w:tc>
      </w:tr>
      <w:tr>
        <w:tc>
          <w:tcPr>
            <w:tcW w:type="dxa" w:w="234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1. Unconscious Incompetence</w:t>
            </w:r>
          </w:p>
        </w:tc>
        <w:tc>
          <w:tcPr>
            <w:tcW w:type="dxa" w:w="351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pPr>
              <w:spacing w:line="260"/>
            </w:pPr>
            <w:r>
              <w:rPr>
                <w:rFonts w:ascii="Arial" w:cs="Arial" w:eastAsia="Arial" w:hAnsi="Arial"/>
                <w:color w:val="2D2D2D"/>
                <w:sz w:val="20"/>
                <w:szCs w:val="20"/>
              </w:rPr>
              <w:t xml:space="preserve">Doesn’t yet know what they don’t know. Entry point for most participants.</w:t>
            </w:r>
          </w:p>
        </w:tc>
        <w:tc>
          <w:tcPr>
            <w:tcW w:type="dxa" w:w="3510"/>
            <w:tcBorders>
              <w:top w:val="single" w:color="CCCCCC" w:sz="1"/>
              <w:left w:val="single" w:color="CCCCCC" w:sz="1"/>
              <w:bottom w:val="single" w:color="CCCCCC" w:sz="1"/>
              <w:right w:val="single" w:color="CCCCCC" w:sz="1"/>
            </w:tcBorders>
            <w:shd w:fill="FDF6E8" w:val="clear"/>
            <w:tcMar>
              <w:top w:type="dxa" w:w="80"/>
              <w:left w:type="dxa" w:w="120"/>
              <w:bottom w:type="dxa" w:w="80"/>
              <w:right w:type="dxa" w:w="120"/>
            </w:tcMar>
          </w:tcPr>
          <w:p>
            <w:pPr>
              <w:spacing w:line="260"/>
            </w:pPr>
            <w:r>
              <w:rPr>
                <w:rFonts w:ascii="Arial" w:cs="Arial" w:eastAsia="Arial" w:hAnsi="Arial"/>
                <w:color w:val="2D2D2D"/>
                <w:sz w:val="20"/>
                <w:szCs w:val="20"/>
              </w:rPr>
              <w:t xml:space="preserve">May feel either overconfident (Dunning-Kruger) or paralyzed by the scope of the problem.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2. Conscious Incompetence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Begins to understand the depth and complexity of the work. Sees the gaps in their knowledge.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“dip” — can feel overwhelming. Curriculum support and cohort community are critical here.</w:t>
            </w:r>
          </w:p>
        </w:tc>
      </w:tr>
      <w:tr>
        <w:tc>
          <w:tcPr>
            <w:tcW w:type="dxa" w:w="234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3. Conscious Competence</w:t>
            </w:r>
          </w:p>
        </w:tc>
        <w:tc>
          <w:tcPr>
            <w:tcW w:type="dxa" w:w="351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pPr>
              <w:spacing w:line="260"/>
            </w:pPr>
            <w:r>
              <w:rPr>
                <w:rFonts w:ascii="Arial" w:cs="Arial" w:eastAsia="Arial" w:hAnsi="Arial"/>
                <w:color w:val="2D2D2D"/>
                <w:sz w:val="20"/>
                <w:szCs w:val="20"/>
              </w:rPr>
              <w:t xml:space="preserve">Has the knowledge and can apply it with effort and intentionality. Skills are present but not yet automatic.</w:t>
            </w:r>
          </w:p>
        </w:tc>
        <w:tc>
          <w:tcPr>
            <w:tcW w:type="dxa" w:w="351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pPr>
              <w:spacing w:line="260"/>
            </w:pPr>
            <w:r>
              <w:rPr>
                <w:rFonts w:ascii="Arial" w:cs="Arial" w:eastAsia="Arial" w:hAnsi="Arial"/>
                <w:color w:val="2D2D2D"/>
                <w:sz w:val="20"/>
                <w:szCs w:val="20"/>
              </w:rPr>
              <w:t xml:space="preserve">Confidence Lab begins. Supervised practice builds the bridge between knowing and doing.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4. Confident Mastery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Skills are internalized and adaptable. Can teach others and innovate on frameworks.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Fully activated. Ready to lead, mentor, and contribute to movement infrastructure.</w:t>
            </w:r>
          </w:p>
        </w:tc>
      </w:tr>
    </w:tbl>
    <w:p>
      <w:pPr>
        <w:spacing w:after="160"/>
      </w:pPr>
    </w:p>
    <w:p>
      <w:pPr>
        <w:spacing w:after="160"/>
      </w:pPr>
    </w:p>
    <w:p>
      <w:pPr>
        <w:spacing w:after="160" w:line="276"/>
      </w:pPr>
      <w:r>
        <w:rPr>
          <w:rFonts w:ascii="Arial" w:cs="Arial" w:eastAsia="Arial" w:hAnsi="Arial"/>
          <w:color w:val="2D2D2D"/>
          <w:sz w:val="21"/>
          <w:szCs w:val="21"/>
        </w:rPr>
        <w:t xml:space="preserve">This matrix is visible to participants throughout their journey. As they complete modules and lab activities, their character sheet updates to reflect progression through these stages in each skill area—creating a tangible sense of growth and investment.</w:t>
      </w:r>
    </w:p>
    <w:p>
      <w:r>
        <w:br w:type="page"/>
      </w:r>
    </w:p>
    <w:p>
      <w:pPr>
        <w:pStyle w:val="Heading1"/>
        <w:spacing w:after="200" w:before="360"/>
      </w:pPr>
      <w:r>
        <w:rPr>
          <w:rFonts w:ascii="Arial" w:cs="Arial" w:eastAsia="Arial" w:hAnsi="Arial"/>
          <w:b/>
          <w:bCs/>
          <w:color w:val="1B2A4A"/>
          <w:sz w:val="32"/>
          <w:szCs w:val="32"/>
        </w:rPr>
        <w:t xml:space="preserve">4. Project Phases &amp; Work Plan</w:t>
      </w:r>
    </w:p>
    <w:p>
      <w:pPr>
        <w:spacing w:after="160" w:line="276"/>
      </w:pPr>
      <w:r>
        <w:rPr>
          <w:rFonts w:ascii="Arial" w:cs="Arial" w:eastAsia="Arial" w:hAnsi="Arial"/>
          <w:color w:val="2D2D2D"/>
          <w:sz w:val="21"/>
          <w:szCs w:val="21"/>
        </w:rPr>
        <w:t xml:space="preserve">The following phased work plan sequences the development of the Academy’s three systems alongside the operational infrastructure required for delivery. Phases are designed to be iterative—each phase produces testable deliverables that inform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 Timeline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Activities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vMerge w:val="restart"/>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1</w:t>
            </w:r>
          </w:p>
          <w:p>
            <w:r>
              <w:rPr>
                <w:rFonts w:ascii="Arial" w:cs="Arial" w:eastAsia="Arial" w:hAnsi="Arial"/>
                <w:color w:val="2A7F8E"/>
                <w:sz w:val="18"/>
                <w:szCs w:val="18"/>
              </w:rPr>
              <w:t xml:space="preserve">Foundation &amp; Design</w:t>
            </w:r>
          </w:p>
          <w:p>
            <w:pPr>
              <w:spacing w:before="40"/>
            </w:pPr>
            <w:r>
              <w:rPr>
                <w:rFonts w:ascii="Arial" w:cs="Arial" w:eastAsia="Arial" w:hAnsi="Arial"/>
                <w:i/>
                <w:iCs/>
                <w:color w:val="666666"/>
                <w:sz w:val="18"/>
                <w:szCs w:val="18"/>
              </w:rPr>
              <w:t xml:space="preserve">Months 1–4</w:t>
            </w: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Conceptual Architecture</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Finalize Academy framework document with three-section structure (Forming, Tactics, Sustaining Momentum); define learning objectives per school; validate four-house, twelve-archetype taxonomy through focus group testing</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Framework document; house and archetype definitions; learning objectives matrix; section sequencing rationale</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Discovery Engine Design</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Design quiz question bank mapped to ten core stats and two strategic orientation spectrums (Inside/Outside, Righteousness/Relationship); develop scoring methodology; create archetype profiles with narrative descriptions and historical exemplars; design strengths-based learning path algorithm that incorporates orientation data</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Quiz design document; archetype profile drafts; scoring rubric; orientation spectrum framework; learning path logic</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Curriculum Outline</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Develop detailed module outlines for all 13 schools across 3 sections; identify guest lecturers, case studies, and source materials; map school interdependencies within and across sections</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Module outline document; source bibliography; guest lecturer wishlist; section dependency map</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Advisory &amp; Testing</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Recruit 8–12 advisory members (diverse in age, experience, and sector); conduct focus groups on archetype resonance and quiz experience</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Advisory board roster; focus group findings report</w:t>
            </w:r>
          </w:p>
        </w:tc>
      </w:tr>
      <w:tr>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Phase 2</w:t>
            </w:r>
          </w:p>
          <w:p>
            <w:r>
              <w:rPr>
                <w:rFonts w:ascii="Arial" w:cs="Arial" w:eastAsia="Arial" w:hAnsi="Arial"/>
                <w:color w:val="2A7F8E"/>
                <w:sz w:val="18"/>
                <w:szCs w:val="18"/>
              </w:rPr>
              <w:t xml:space="preserve">Prototype &amp; Build</w:t>
            </w:r>
          </w:p>
          <w:p>
            <w:pPr>
              <w:spacing w:before="40"/>
            </w:pPr>
            <w:r>
              <w:rPr>
                <w:rFonts w:ascii="Arial" w:cs="Arial" w:eastAsia="Arial" w:hAnsi="Arial"/>
                <w:i/>
                <w:iCs/>
                <w:color w:val="666666"/>
                <w:sz w:val="18"/>
                <w:szCs w:val="18"/>
              </w:rPr>
              <w:t xml:space="preserve">Months 5–10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Character Sheet Platform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Build interactive web-based quiz flowing through Motivation Profile, Core Stats, Skills Inventory, and Archetype generation; design shareable profile pages; develop strengths-based progression tracking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Functional quiz prototype; character sheet output; sharing functionality; strengths-based path engine</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Pilot Curriculum: Section 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Fully develop all 4 Section I (Forming) schools: Foundations of Power, Organizing &amp; Base-Building, Power &amp; Resource Mapping, and Resource &amp; Capacity Development; create lesson plans, slide decks, reading packets, and exercises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Complete lesson materials for Section I; facilitator guides</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Confidence Lab Design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Design Tier 1 simulation scenarios aligned to Section I schools; develop assessment rubrics; create mentor matching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Simulation scenario bank; rubric documents; mentor program design</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Platform Infrastructure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Select and configure LMS; design hybrid delivery model; build cohort management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LMS configured; delivery model documentation; registration system</w:t>
            </w:r>
          </w:p>
        </w:tc>
      </w:tr>
      <w:tr>
        <w:tc>
          <w:tcPr>
            <w:tcW w:type="dxa" w:w="1600"/>
            <w:vMerge w:val="restart"/>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3</w:t>
            </w:r>
          </w:p>
          <w:p>
            <w:r>
              <w:rPr>
                <w:rFonts w:ascii="Arial" w:cs="Arial" w:eastAsia="Arial" w:hAnsi="Arial"/>
                <w:color w:val="2A7F8E"/>
                <w:sz w:val="18"/>
                <w:szCs w:val="18"/>
              </w:rPr>
              <w:t xml:space="preserve">Pilot Cohort</w:t>
            </w:r>
          </w:p>
          <w:p>
            <w:pPr>
              <w:spacing w:before="40"/>
            </w:pPr>
            <w:r>
              <w:rPr>
                <w:rFonts w:ascii="Arial" w:cs="Arial" w:eastAsia="Arial" w:hAnsi="Arial"/>
                <w:i/>
                <w:iCs/>
                <w:color w:val="666666"/>
                <w:sz w:val="18"/>
                <w:szCs w:val="18"/>
              </w:rPr>
              <w:t xml:space="preserve">Months 11–16</w:t>
            </w: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Recruitment</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Recruit pilot cohort of 25–35 participants (balanced between young adults and mid-career pivoters); conduct intake using Discovery Engine</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Enrolled cohort; completed character sheets; baseline data</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Pilot Delivery</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Deliver Section I (Forming) in hybrid format; facilitate Tier 1 Confidence Lab activities; collect continuous feedback</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Completed pilot delivery; participant feedback data; facilitator observations</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Iteration &amp; Assessment</w:t>
            </w:r>
          </w:p>
        </w:tc>
        <w:tc>
          <w:tcPr>
            <w:tcW w:type="dxa" w:w="25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Analyze pilot data; revise curriculum based on outcomes; refine quiz scoring and archetype accuracy; assess competence/confidence progression</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Revised curriculum; updated quiz methodology; pilot outcomes report</w:t>
            </w:r>
          </w:p>
        </w:tc>
      </w:tr>
      <w:tr>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Phase 4</w:t>
            </w:r>
          </w:p>
          <w:p>
            <w:r>
              <w:rPr>
                <w:rFonts w:ascii="Arial" w:cs="Arial" w:eastAsia="Arial" w:hAnsi="Arial"/>
                <w:color w:val="2A7F8E"/>
                <w:sz w:val="18"/>
                <w:szCs w:val="18"/>
              </w:rPr>
              <w:t xml:space="preserve">Full Build &amp; Scale</w:t>
            </w:r>
          </w:p>
          <w:p>
            <w:pPr>
              <w:spacing w:before="40"/>
            </w:pPr>
            <w:r>
              <w:rPr>
                <w:rFonts w:ascii="Arial" w:cs="Arial" w:eastAsia="Arial" w:hAnsi="Arial"/>
                <w:i/>
                <w:iCs/>
                <w:color w:val="666666"/>
                <w:sz w:val="18"/>
                <w:szCs w:val="18"/>
              </w:rPr>
              <w:t xml:space="preserve">Months 17–24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Section II: Tactics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Develop all 5 Section II schools to full delivery readiness: Legislative &amp; Policy Strategy, Communications &amp; Narrative Strategy, Legal &amp; Constitutional Frameworks, Electoral &amp; Campaign Strategy, and Tactical Innovation &amp; Earned Media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Complete curriculum for Section II; facilitator guides</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Section III: Sustaining Momentum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Develop all 4 Section III schools: Healing &amp; Sustainability, Direct Service Supports &amp; Mutual Aid, Political Education &amp; Group Learning, and Arts &amp; Cultural Events; integrate Tier 2 and Tier 3 Confidence Lab components across all sections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Complete curriculum for Section III; full Confidence Lab program</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Full Cohort Launch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Launch full Academy program with expanded cohort across all 3 sections; implement capstone projects; activate mentor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Full program delivery; capstone projects; mentor pairings</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Licensing Framework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Develop train-the-trainer materials; create licensing documentation; pilot adoption with 1–2 partner organizations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Licensing package; trainer certification framework; partner pilot agreements</w:t>
            </w:r>
          </w:p>
        </w:tc>
      </w:tr>
      <w:tr>
        <w:tc>
          <w:tcPr>
            <w:vMerge w:val="continue"/>
            <w:tcBorders>
              <w:top w:val="single" w:color="CCCCCC" w:sz="1"/>
              <w:left w:val="single" w:color="CCCCCC" w:sz="1"/>
              <w:bottom w:val="single" w:color="CCCCCC" w:sz="1"/>
              <w:right w:val="single" w:color="CCCCCC" w:sz="1"/>
            </w:tcBorders>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Sustainability Model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Finalize revenue and funding model (tuition, grants, licensing, organizational partnerships); establish ongoing 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Business plan; funding strategy; governance charter</w:t>
            </w:r>
          </w:p>
        </w:tc>
      </w:tr>
    </w:tbl>
    <w:p>
      <w:r>
        <w:br w:type="page"/>
      </w:r>
    </w:p>
    <w:p>
      <w:pPr>
        <w:pStyle w:val="Heading1"/>
        <w:spacing w:after="200" w:before="360"/>
      </w:pPr>
      <w:r>
        <w:rPr>
          <w:rFonts w:ascii="Arial" w:cs="Arial" w:eastAsia="Arial" w:hAnsi="Arial"/>
          <w:b/>
          <w:bCs/>
          <w:color w:val="1B2A4A"/>
          <w:sz w:val="32"/>
          <w:szCs w:val="32"/>
        </w:rPr>
        <w:t xml:space="preserve">5. Activist Archetypes: The Twelve Archetypes in Four Houses</w:t>
      </w:r>
    </w:p>
    <w:p>
      <w:pPr>
        <w:spacing w:after="160" w:line="276"/>
      </w:pPr>
      <w:r>
        <w:rPr>
          <w:rFonts w:ascii="Arial" w:cs="Arial" w:eastAsia="Arial" w:hAnsi="Arial"/>
          <w:color w:val="2D2D2D"/>
          <w:sz w:val="21"/>
          <w:szCs w:val="21"/>
        </w:rPr>
        <w:t xml:space="preserve">The Academy’s archetype system organizes twelve distinct activist identities into four houses. Each house represents a fundamental movement function—not what you believe, but what you do. Within each house, three archetypes capture different expressions of that function. Participants receive a primary archetype (their dominant orientation) and a secondary archetype (their complementary strength), which together inform their recommended learning path.</w:t>
      </w:r>
    </w:p>
    <w:p>
      <w:pPr>
        <w:spacing w:after="160" w:line="276"/>
      </w:pPr>
      <w:r>
        <w:rPr>
          <w:rFonts w:ascii="Arial" w:cs="Arial" w:eastAsia="Arial" w:hAnsi="Arial"/>
          <w:color w:val="2D2D2D"/>
          <w:sz w:val="21"/>
          <w:szCs w:val="21"/>
        </w:rPr>
        <w:t xml:space="preserve">The four-house, twelve-archetype structure is designed to be simultaneously diagnostic (it reveals something true about you), aspirational (you want to be your archetype), functional (it maps to real movement roles), and curricular (it points to specific schools and learning paths). These archetypes will be refined through focus group testing and advisory input during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1860"/>
        <w:gridCol w:w="1800"/>
      </w:tblGrid>
      <w:tr>
        <w:tc>
          <w:tcPr>
            <w:tcW w:type="dxa" w:w="9360"/>
            <w:gridSpan w:val="5"/>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D4A843"/>
                <w:sz w:val="22"/>
                <w:szCs w:val="22"/>
              </w:rPr>
              <w:t xml:space="preserve">HOUSE OF VISION</w:t>
            </w:r>
          </w:p>
          <w:p>
            <w:r>
              <w:rPr>
                <w:rFonts w:ascii="Arial" w:cs="Arial" w:eastAsia="Arial" w:hAnsi="Arial"/>
                <w:i/>
                <w:iCs/>
                <w:color w:val="FFFFFF"/>
                <w:sz w:val="19"/>
                <w:szCs w:val="19"/>
              </w:rPr>
              <w:t xml:space="preserve">Those who see the destination and chart the course</w:t>
            </w:r>
          </w:p>
        </w:tc>
      </w:tr>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 Signature</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Orientation Tendency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Schools</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Visionary</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Sees the future and articulates the destination. Speaks in possibilities others haven’t imagined. Generates the moral and imaginative horizon that pulls movements forward.</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Inspire (high), Communication (high), Strategic Thinking</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Variable inside/outside; tends toward righteousness</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Foundations of Power; Communications &amp; Narrative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The Strategist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Maps power, sequences moves, thinks three steps ahead. Designs campaigns that connect today’s action to next year’s victory. The chess player of the movement.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Strategic Thinking (high), Adaptability (high), Conflict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Variable inside/outside; tends toward relationship (pragmatic)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Power &amp; Resource Mapping; Electoral &amp; Campaign Strategy; Legislative &amp; Policy Strategy</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Analyst</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Researches, frameworks, and diagnoses. Produces the intellectual infrastructure movements build on. Turns lived experience into theory and theory into tools.</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Strategic Thinking (high), Communication, Numbers &amp; Operations</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Variable; bridges inside/outside through knowledge production</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Foundations of Power; Political Education &amp; Group Learning; Legal &amp; Constitutional Frameworks</w:t>
            </w:r>
          </w:p>
        </w:tc>
      </w:tr>
      <w:tr>
        <w:tc>
          <w:tcPr>
            <w:tcW w:type="dxa" w:w="9360"/>
            <w:gridSpan w:val="5"/>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D4A843"/>
                <w:sz w:val="22"/>
                <w:szCs w:val="22"/>
              </w:rPr>
              <w:t xml:space="preserve">HOUSE OF CONNECTION</w:t>
            </w:r>
          </w:p>
          <w:p>
            <w:r>
              <w:rPr>
                <w:rFonts w:ascii="Arial" w:cs="Arial" w:eastAsia="Arial" w:hAnsi="Arial"/>
                <w:i/>
                <w:iCs/>
                <w:color w:val="FFFFFF"/>
                <w:sz w:val="19"/>
                <w:szCs w:val="19"/>
              </w:rPr>
              <w:t xml:space="preserve">Those who build and sustain relationships across difference</w:t>
            </w:r>
          </w:p>
        </w:tc>
      </w:tr>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 Signature</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Orientation Tendency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Schools</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Bridge-Builder</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Creates unlikely alliances. Moves fluently between communities, sectors, and political cultures. Translates across difference and builds coalitions that hold.</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Group Intelligence (high), Empathy &amp; Listening (high), Communication</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Tends inside strategy; tends relationship</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Organizing &amp; Base-Building; Power &amp; Resource Mapping; Electoral &amp; Campaign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The Healer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Centers care, restoration, and sustainability. Holds space for grief, trauma, and renewal. The one who keeps movements human when the work tries to break people.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Empathy &amp; Listening (high), Group Intelligence, Leadership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Variable inside/outside; tends relationship (with clear righteousness boundaries)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Healing &amp; Sustainability; Direct Service Supports &amp; Mutual Aid; Arts &amp; Cultural Events</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Diplomat</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Works the inside game. Maintains relationships with systems of power, negotiates concessions, and secures incremental gains. Stays at the table because the table is where deals are made.</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Group Intelligence (high), Adaptability (high), Communication</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Strongly inside strategy; strongly relationship</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Legislative &amp; Policy Strategy; Legal &amp; Constitutional Frameworks; Electoral &amp; Campaign Strategy</w:t>
            </w:r>
          </w:p>
        </w:tc>
      </w:tr>
      <w:tr>
        <w:tc>
          <w:tcPr>
            <w:tcW w:type="dxa" w:w="9360"/>
            <w:gridSpan w:val="5"/>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D4A843"/>
                <w:sz w:val="22"/>
                <w:szCs w:val="22"/>
              </w:rPr>
              <w:t xml:space="preserve">HOUSE OF ACTION</w:t>
            </w:r>
          </w:p>
          <w:p>
            <w:r>
              <w:rPr>
                <w:rFonts w:ascii="Arial" w:cs="Arial" w:eastAsia="Arial" w:hAnsi="Arial"/>
                <w:i/>
                <w:iCs/>
                <w:color w:val="FFFFFF"/>
                <w:sz w:val="19"/>
                <w:szCs w:val="19"/>
              </w:rPr>
              <w:t xml:space="preserve">Those who mobilize energy and create momentum</w:t>
            </w:r>
          </w:p>
        </w:tc>
      </w:tr>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 Signature</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Orientation Tendency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Schools</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Organizer</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Builds the base. Goes door to door, develops leaders, constructs the relational infrastructure that turns individuals into collective power. The engine of every movement.</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Leadership (high), Group Intelligence (high), Inspire</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Variable inside/outside; variable righteousness/relationship</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Organizing &amp; Base-Building; Electoral &amp; Campaign Strategy; Direct Service Supports &amp; Mutual Aid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The Agitator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Raises the heat. Willing to be disliked, to force uncomfortable confrontations, to create the crisis that makes the status quo untenable. Names what others won’t.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Conflict (high), Inspire (high), Creative Problem Solving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Strongly outside strategy; tends toward righteousness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Tactical Innovation &amp; Earned Media; Communications &amp; Narrative Strategy; Foundations of Power</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Storyteller</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Transforms lived experience into narrative power. Makes the invisible visible, changes what people feel before trying to change what they think.</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Communication (high), Inspire (high), Empathy &amp; Listening</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Variable; narrative works across inside/outside</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Communications &amp; Narrative Strategy; Tactical Innovation &amp; Earned Media; Arts &amp; Cultural Events</w:t>
            </w:r>
          </w:p>
        </w:tc>
      </w:tr>
      <w:tr>
        <w:tc>
          <w:tcPr>
            <w:tcW w:type="dxa" w:w="9360"/>
            <w:gridSpan w:val="5"/>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D4A843"/>
                <w:sz w:val="22"/>
                <w:szCs w:val="22"/>
              </w:rPr>
              <w:t xml:space="preserve">HOUSE OF INFRASTRUCTURE</w:t>
            </w:r>
          </w:p>
          <w:p>
            <w:r>
              <w:rPr>
                <w:rFonts w:ascii="Arial" w:cs="Arial" w:eastAsia="Arial" w:hAnsi="Arial"/>
                <w:i/>
                <w:iCs/>
                <w:color w:val="FFFFFF"/>
                <w:sz w:val="19"/>
                <w:szCs w:val="19"/>
              </w:rPr>
              <w:t xml:space="preserve">Those who build the systems that outlast any single campaign</w:t>
            </w:r>
          </w:p>
        </w:tc>
      </w:tr>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 Signature</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Orientation Tendency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Schools</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Architect</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Builds the policies, legal frameworks, and institutions that outlast any single campaign. Thinks in decades. Designs systems that encode justice into structure.</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Strategic Thinking (high), Numbers &amp; Operations (high), Leadership</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Strongly inside strategy; variable righteousness/relationship</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Legal &amp; Constitutional Frameworks; Legislative &amp; Policy Strategy; Resource &amp; Capacity Development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The Operator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Runs the machine. Fundraises, budgets, manages logistics, and builds the operational capacity without which no strategy survives contact with reality.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Numbers &amp; Operations (high), Leadership (high), Adaptability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Variable; operational work serves all strategies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Resource &amp; Capacity Development; Electoral &amp; Campaign Strategy; Power &amp; Resource Mapping</w:t>
            </w:r>
          </w:p>
        </w:tc>
      </w:tr>
      <w:tr>
        <w:tc>
          <w:tcPr>
            <w:tcW w:type="dxa" w:w="15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The Guardian</w:t>
            </w:r>
          </w:p>
        </w:tc>
        <w:tc>
          <w:tcPr>
            <w:tcW w:type="dxa" w:w="24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Provides direct support and mutual aid to community members in crisis. Builds peer-to-peer, non-hierarchical systems of care and protection. The front line of solidarity.</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Empathy &amp; Listening (high), Leadership (high), Adaptability</w:t>
            </w:r>
          </w:p>
        </w:tc>
        <w:tc>
          <w:tcPr>
            <w:tcW w:type="dxa" w:w="18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Variable inside/outside; tends toward righteousness (serves community directly)</w:t>
            </w:r>
          </w:p>
        </w:tc>
        <w:tc>
          <w:tcPr>
            <w:tcW w:type="dxa" w:w="18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Direct Service Supports &amp; Mutual Aid; Healing &amp; Sustainability; Organizing &amp; Base-Building</w:t>
            </w:r>
          </w:p>
        </w:tc>
      </w:tr>
    </w:tbl>
    <w:p>
      <w:pPr>
        <w:spacing w:after="200"/>
      </w:pPr>
    </w:p>
    <w:p>
      <w:pPr>
        <w:pStyle w:val="Heading2"/>
        <w:spacing w:after="160" w:before="280"/>
      </w:pPr>
      <w:r>
        <w:rPr>
          <w:rFonts w:ascii="Arial" w:cs="Arial" w:eastAsia="Arial" w:hAnsi="Arial"/>
          <w:b/>
          <w:bCs/>
          <w:color w:val="2A7F8E"/>
          <w:sz w:val="26"/>
          <w:szCs w:val="26"/>
        </w:rPr>
        <w:t xml:space="preserve">5.1 Proof-Testing: Mapping Known Figures to Archetypes</w:t>
      </w:r>
    </w:p>
    <w:p>
      <w:pPr>
        <w:spacing w:after="160" w:line="276"/>
      </w:pPr>
      <w:r>
        <w:rPr>
          <w:rFonts w:ascii="Arial" w:cs="Arial" w:eastAsia="Arial" w:hAnsi="Arial"/>
          <w:color w:val="2D2D2D"/>
          <w:sz w:val="21"/>
          <w:szCs w:val="21"/>
        </w:rPr>
        <w:t xml:space="preserve">The validity of any archetype system rests on whether it maps cleanly onto real people. The following table tests the twelve archetypes against known activists, political figures, and cultural leaders. Each figure is assigned a primary archetype and a secondary archetype, demonstrating the system’s capacity to capture both the dominant orientation and the complementary dimension of real change-makers.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Figure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Archetype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Archetype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Martin Luther King Jr.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Dream rhetoric + moral imagination; fused prophetic vision with narrative power to redefine the American conscience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Bayard Rustin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Strategist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Orchestrated the March on Washington; master tactician who sequenced mass action with legislative strategy while building organizational infrastructure</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Harvey Milk</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Bridge-Builder</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Hope as a political weapon; built unlikely coalitions across Teamsters, seniors, and communities of color in San Francisco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Marsha P. Johnson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Agitator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Guardian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Stonewall confrontation + tireless community care for homeless LGBTQ youth; embodied both righteous disruption and direct mutual aid</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Ella Baker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Analyst</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Built SNCC’s grassroots infrastructure; theorized participatory democracy and group-centered leadership as an alternative to charismatic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Larry Kramer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Agitator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ACT UP’s rage and confrontation + “The Normal Heart”; fused direct action with narrative to force the AIDS crisis into public consciousness</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Thurgood Marshall</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Architect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Diplomat</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Decades of strategic litigation culminating in Brown v. Board; built legal infrastructure through patient insider strategy and institutional relationship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Dolores Huerta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Bridge-Builder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Co-founded the UFW; moved between farmworker communities, labor unions, and political coalitions while building relational base power</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James Baldwin</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Narrative transformation of the American racial imagination; used essay, novel, and public testimony to make the invisible architecture of racism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Stacey Abrams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Operator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Built voter infrastructure across Georgia at operational scale; combined relational organizing with data-driven systems and fundraising capacity</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Kimberlé Crenshaw</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Analyst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Developed intersectionality as an analytical framework; produced intellectual infrastructure that transformed how movements understand overlapping systems of oppression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Ruth Bader Ginsburg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Architect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Strategist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Built the legal architecture of gender equality through decades of strategic litigation; sequenced cases to construct precedent incrementally</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Sylvia Rivera</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Agitator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Guardian</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Stonewall veteran and co-founder of STAR; combined militant confrontation with direct mutual aid—ran a shelter for homeless trans youth from her own apartment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Angela Davis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Analyst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Articulated a radical vision linking racial justice, feminism, and anti-capitalism; produced intellectual frameworks for abolition that continue to shape movements</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Bryan Stevenson</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Diplomat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Equal Justice Initiative’s inside strategy + narrative power of “Just Mercy”; works within legal systems while using story to shift public understanding of mass incarceration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Cesar Chavez</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Agitator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Built the farmworker movement through relational organizing and base-building; deployed hunger strikes, boycotts, and marches as strategic escalation tools</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Pauli Murray</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Architect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Analyst</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Legal theorist whose work on race and sex discrimination laid the intellectual and constitutional groundwork used by Thurgood Marshall and Ruth Bader Ginsburg alike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adrienne maree brown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Healer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Emergent strategy and pleasure activism; reframed movement sustainability around fractal organizing, somatics, and the imagination of liberatory futures</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Eleanor Roosevelt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Diplomat</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Bridge-Builder</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Navigated the inside game at the highest levels of power; co-authored the Universal Declaration of Human Rights while building coalitions across nations and political traditions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Fred Ross Sr.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Organizer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Operator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Trained Cesar Chavez and Dolores Huerta; built the Community Service Organization through methodical door-to-door organizing and operational systems that scaled movement capacity</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Fannie Lou Hamer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Storyteller</w:t>
            </w:r>
          </w:p>
        </w:tc>
        <w:tc>
          <w:tcPr>
            <w:tcW w:type="dxa" w:w="17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Agitator</w:t>
            </w:r>
          </w:p>
        </w:tc>
        <w:tc>
          <w:tcPr>
            <w:tcW w:type="dxa" w:w="39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Testimony at the 1964 Democratic National Convention transformed national consciousness; combined personal narrative power with unflinching willingness to confront power directly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Huey P. Newton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Guardian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Visionary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Black Panther Party’s free breakfast programs, health clinics, and community defense; built mutual aid infrastructure rooted in a radical vision of community self-determination</w:t>
            </w:r>
          </w:p>
        </w:tc>
      </w:tr>
    </w:tbl>
    <w:p>
      <w:pPr>
        <w:spacing w:after="200"/>
      </w:pPr>
    </w:p>
    <w:p>
      <w:pPr>
        <w:pStyle w:val="Heading2"/>
        <w:spacing w:after="160" w:before="280"/>
      </w:pPr>
      <w:r>
        <w:rPr>
          <w:rFonts w:ascii="Arial" w:cs="Arial" w:eastAsia="Arial" w:hAnsi="Arial"/>
          <w:b/>
          <w:bCs/>
          <w:color w:val="2A7F8E"/>
          <w:sz w:val="26"/>
          <w:szCs w:val="26"/>
        </w:rPr>
        <w:t xml:space="preserve">5.2 House-to-Curriculum Mapping</w:t>
      </w:r>
    </w:p>
    <w:p>
      <w:pPr>
        <w:spacing w:after="160" w:line="276"/>
      </w:pPr>
      <w:r>
        <w:rPr>
          <w:rFonts w:ascii="Arial" w:cs="Arial" w:eastAsia="Arial" w:hAnsi="Arial"/>
          <w:color w:val="2D2D2D"/>
          <w:sz w:val="21"/>
          <w:szCs w:val="21"/>
        </w:rPr>
        <w:t xml:space="preserve">Each house has a natural home section within the curriculum, though every archetype crosses sections. The recommended learning path starts from the archetype’s home section and builds outward, consistent with the Academy’s strengths-based approach:</w:t>
      </w:r>
    </w:p>
    <w:p>
      <w:pPr>
        <w:pStyle w:val="ListParagraph"/>
        <w:numPr>
          <w:ilvl w:val="0"/>
          <w:numId w:val="2"/>
        </w:numPr>
        <w:spacing w:after="80" w:line="276"/>
      </w:pPr>
      <w:r>
        <w:rPr>
          <w:rFonts w:ascii="Arial" w:cs="Arial" w:eastAsia="Arial" w:hAnsi="Arial"/>
          <w:b/>
          <w:bCs/>
          <w:color w:val="2D2D2D"/>
          <w:sz w:val="21"/>
          <w:szCs w:val="21"/>
        </w:rPr>
        <w:t xml:space="preserve">House of Vision: </w:t>
      </w:r>
      <w:r>
        <w:rPr>
          <w:rFonts w:ascii="Arial" w:cs="Arial" w:eastAsia="Arial" w:hAnsi="Arial"/>
          <w:color w:val="2D2D2D"/>
          <w:sz w:val="21"/>
          <w:szCs w:val="21"/>
        </w:rPr>
        <w:t xml:space="preserve">Primary home in Section I (Forming), particularly Foundations of Power and Power &amp; Resource Mapping. Visionaries, Strategists, and Analysts provide the directional clarity that movements need before choosing tactics.</w:t>
      </w:r>
    </w:p>
    <w:p>
      <w:pPr>
        <w:pStyle w:val="ListParagraph"/>
        <w:numPr>
          <w:ilvl w:val="0"/>
          <w:numId w:val="2"/>
        </w:numPr>
        <w:spacing w:after="80" w:line="276"/>
      </w:pPr>
      <w:r>
        <w:rPr>
          <w:rFonts w:ascii="Arial" w:cs="Arial" w:eastAsia="Arial" w:hAnsi="Arial"/>
          <w:b/>
          <w:bCs/>
          <w:color w:val="2D2D2D"/>
          <w:sz w:val="21"/>
          <w:szCs w:val="21"/>
        </w:rPr>
        <w:t xml:space="preserve">House of Connection: </w:t>
      </w:r>
      <w:r>
        <w:rPr>
          <w:rFonts w:ascii="Arial" w:cs="Arial" w:eastAsia="Arial" w:hAnsi="Arial"/>
          <w:color w:val="2D2D2D"/>
          <w:sz w:val="21"/>
          <w:szCs w:val="21"/>
        </w:rPr>
        <w:t xml:space="preserve">Spans Section I (Organizing &amp; Base-Building) and Section III (Sustaining Momentum). Bridge-Builders, Healers, and Diplomats are the relational tissue that holds movements together across time and conflict.</w:t>
      </w:r>
    </w:p>
    <w:p>
      <w:pPr>
        <w:pStyle w:val="ListParagraph"/>
        <w:numPr>
          <w:ilvl w:val="0"/>
          <w:numId w:val="2"/>
        </w:numPr>
        <w:spacing w:after="80" w:line="276"/>
      </w:pPr>
      <w:r>
        <w:rPr>
          <w:rFonts w:ascii="Arial" w:cs="Arial" w:eastAsia="Arial" w:hAnsi="Arial"/>
          <w:b/>
          <w:bCs/>
          <w:color w:val="2D2D2D"/>
          <w:sz w:val="21"/>
          <w:szCs w:val="21"/>
        </w:rPr>
        <w:t xml:space="preserve">House of Action: </w:t>
      </w:r>
      <w:r>
        <w:rPr>
          <w:rFonts w:ascii="Arial" w:cs="Arial" w:eastAsia="Arial" w:hAnsi="Arial"/>
          <w:color w:val="2D2D2D"/>
          <w:sz w:val="21"/>
          <w:szCs w:val="21"/>
        </w:rPr>
        <w:t xml:space="preserve">Primary home in Section II (Tactics). Organizers, Agitators, and Storytellers translate strategy into energy, confrontation, and narrative—the visible face of movement power.</w:t>
      </w:r>
    </w:p>
    <w:p>
      <w:pPr>
        <w:pStyle w:val="ListParagraph"/>
        <w:numPr>
          <w:ilvl w:val="0"/>
          <w:numId w:val="2"/>
        </w:numPr>
        <w:spacing w:after="80" w:line="276"/>
      </w:pPr>
      <w:r>
        <w:rPr>
          <w:rFonts w:ascii="Arial" w:cs="Arial" w:eastAsia="Arial" w:hAnsi="Arial"/>
          <w:b/>
          <w:bCs/>
          <w:color w:val="2D2D2D"/>
          <w:sz w:val="21"/>
          <w:szCs w:val="21"/>
        </w:rPr>
        <w:t xml:space="preserve">House of Infrastructure: </w:t>
      </w:r>
      <w:r>
        <w:rPr>
          <w:rFonts w:ascii="Arial" w:cs="Arial" w:eastAsia="Arial" w:hAnsi="Arial"/>
          <w:color w:val="2D2D2D"/>
          <w:sz w:val="21"/>
          <w:szCs w:val="21"/>
        </w:rPr>
        <w:t xml:space="preserve">Spans Section I (Resource &amp; Capacity Development) and Section II (Legislative, Legal, Electoral). Architects, Operators, and Guardians build the systems, institutions, and support structures that sustain movements beyond any single campaign.</w:t>
      </w:r>
    </w:p>
    <w:p>
      <w:r>
        <w:br w:type="page"/>
      </w:r>
    </w:p>
    <w:p>
      <w:pPr>
        <w:pStyle w:val="Heading1"/>
        <w:spacing w:after="200" w:before="360"/>
      </w:pPr>
      <w:r>
        <w:rPr>
          <w:rFonts w:ascii="Arial" w:cs="Arial" w:eastAsia="Arial" w:hAnsi="Arial"/>
          <w:b/>
          <w:bCs/>
          <w:color w:val="1B2A4A"/>
          <w:sz w:val="32"/>
          <w:szCs w:val="32"/>
        </w:rPr>
        <w:t xml:space="preserve">6. Core Stats: The Ten Attributes</w:t>
      </w:r>
    </w:p>
    <w:p>
      <w:pPr>
        <w:spacing w:after="160" w:line="276"/>
      </w:pPr>
      <w:r>
        <w:rPr>
          <w:rFonts w:ascii="Arial" w:cs="Arial" w:eastAsia="Arial" w:hAnsi="Arial"/>
          <w:color w:val="2D2D2D"/>
          <w:sz w:val="21"/>
          <w:szCs w:val="21"/>
        </w:rPr>
        <w:t xml:space="preserve">Each participant’s character sheet tracks ten core attributes. These stats are assessed through the initial quiz, tracked through the curriculum, and “leveled up” through demonstrated competence in modules and Confidence Lab activities. The ten attributes are designed to capture the full range of capacities required for effective, sustained social justice work—from the interpersonal to the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Developed Through</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Conflict</w:t>
            </w:r>
          </w:p>
        </w:tc>
        <w:tc>
          <w:tcPr>
            <w:tcW w:type="dxa" w:w="43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sustain high levels of conflict and opposition. Willingness to be disliked by your own community, to be seen as “wrong,” and to take on battles you know you cannot win because the act of fighting itself builds momentum. The capacity to hold your ground when the pressure to capitulate is immense.</w:t>
            </w:r>
          </w:p>
        </w:tc>
        <w:tc>
          <w:tcPr>
            <w:tcW w:type="dxa" w:w="3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Tactical Innovation &amp; Earned Media; Legislative &amp; Policy Strategy; Foundations of Power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Empathy &amp; Listening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capacity to understand, center, and be moved by others’ experiences. Essential for survivor advocacy, direct service roles, and the analytical work of understanding the people whose minds we are trying to change. The foundation of solidarity-based organizing.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Organizing &amp; Base-Building; Healing &amp; Sustainability; Direct Service Supports &amp; Mutual Aid; Communications &amp; Narrative Strategy</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Strategic Thinking</w:t>
            </w:r>
          </w:p>
        </w:tc>
        <w:tc>
          <w:tcPr>
            <w:tcW w:type="dxa" w:w="43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look at problems from all sides, see the big picture, and translate an overarching goal into bite-sized steps that achieve a long-term mission. Systems-level analysis combined with tactical sequencing.</w:t>
            </w:r>
          </w:p>
        </w:tc>
        <w:tc>
          <w:tcPr>
            <w:tcW w:type="dxa" w:w="3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Legislative &amp; Policy Strategy; Electoral &amp; Campaign Strategy; Power &amp; Resource Mapping; Foundations of Power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Adaptability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be flexible, to operate in morally grey areas, to adjust strategies or abandon plans when circumstances demand it. Comfort with ambiguity and the willingness to pivot without losing sight of the goal.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All schools; especially Electoral &amp; Campaign Strategy; Tactical Innovation &amp; Earned Media</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Creative Problem Solving</w:t>
            </w:r>
          </w:p>
        </w:tc>
        <w:tc>
          <w:tcPr>
            <w:tcW w:type="dxa" w:w="43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Willingness to apply non-traditional approaches to traditionally difficult problems. Innovators who can think outside the box, find unexpected leverage points, and devise solutions others haven’t considered.</w:t>
            </w:r>
          </w:p>
        </w:tc>
        <w:tc>
          <w:tcPr>
            <w:tcW w:type="dxa" w:w="3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Tactical Innovation &amp; Earned Media; Communications &amp; Narrative Strategy; Arts &amp; Cultural Events; Power &amp; Resource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Group Intelligence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hold and sustain relationships, communicate and work across differences, serve as a peacemaker, and synthesize disparate goals and objectives into a shared platform. The connective tissue of coalition 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Organizing &amp; Base-Building; Power &amp; Resource Mapping; Political Education &amp; Group Learning; Healing &amp; Sustainability</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Numbers &amp; Operations</w:t>
            </w:r>
          </w:p>
        </w:tc>
        <w:tc>
          <w:tcPr>
            <w:tcW w:type="dxa" w:w="43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build budgets, think about fundraising and financing needs, support accounting, and make operational plans that determine what resources are needed. The infrastructure capacity that keeps movements solvent and functional.</w:t>
            </w:r>
          </w:p>
        </w:tc>
        <w:tc>
          <w:tcPr>
            <w:tcW w:type="dxa" w:w="3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Resource &amp; Capacity Development; Electoral &amp; Campaign Strategy; Power &amp; Resource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Leadership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take charge, be decisive, mentor and coach others, and summarize the group’s decisions into clear direction. Not positional authority but the capacity to step forward when the moment demands 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All schools; especially Organizing &amp; Base-Building; Electoral &amp; Campaign Strategy; Political Education &amp; Group Learning</w:t>
            </w:r>
          </w:p>
        </w:tc>
      </w:tr>
      <w:tr>
        <w:tc>
          <w:tcPr>
            <w:tcW w:type="dxa" w:w="2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b/>
                <w:bCs/>
                <w:color w:val="2D2D2D"/>
                <w:sz w:val="20"/>
                <w:szCs w:val="20"/>
              </w:rPr>
              <w:t xml:space="preserve">Communication</w:t>
            </w:r>
          </w:p>
        </w:tc>
        <w:tc>
          <w:tcPr>
            <w:tcW w:type="dxa" w:w="436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network, listen, reflect, synthesize, and proactively make connections. Encompasses spoken, written, and visual media as well as the relational communication that builds trust across differences.</w:t>
            </w:r>
          </w:p>
        </w:tc>
        <w:tc>
          <w:tcPr>
            <w:tcW w:type="dxa" w:w="3000"/>
            <w:tcBorders>
              <w:top w:val="single" w:color="CCCCCC" w:sz="1"/>
              <w:left w:val="single" w:color="CCCCCC" w:sz="1"/>
              <w:bottom w:val="single" w:color="CCCCCC" w:sz="1"/>
              <w:right w:val="single" w:color="CCCCCC" w:sz="1"/>
            </w:tcBorders>
            <w:shd w:fill="F5F1EB" w:val="clear"/>
            <w:tcMar>
              <w:top w:type="dxa" w:w="80"/>
              <w:left w:type="dxa" w:w="120"/>
              <w:bottom w:type="dxa" w:w="80"/>
              <w:right w:type="dxa" w:w="120"/>
            </w:tcMar>
          </w:tcPr>
          <w:p>
            <w:pPr>
              <w:spacing w:line="260"/>
            </w:pPr>
            <w:r>
              <w:rPr>
                <w:rFonts w:ascii="Arial" w:cs="Arial" w:eastAsia="Arial" w:hAnsi="Arial"/>
                <w:color w:val="2D2D2D"/>
                <w:sz w:val="20"/>
                <w:szCs w:val="20"/>
              </w:rPr>
              <w:t xml:space="preserve">Communications &amp; Narrative Strategy; Organizing &amp; Base-Building; Tactical Innovation &amp; Earned Media; Arts &amp; Cultural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b/>
                <w:bCs/>
                <w:color w:val="2D2D2D"/>
                <w:sz w:val="20"/>
                <w:szCs w:val="20"/>
              </w:rPr>
              <w:t xml:space="preserve">Inspire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The ability to inspire and motivate other people to engage in difficult tasks, push through hard spots, and dig deep to keep going. The catalytic capacity that transforms individual effort into collective momentum.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Communications &amp; Narrative Strategy; Tactical Innovation &amp; Earned Media; Arts &amp; Cultural Events; Organizing &amp; Base-Building</w:t>
            </w:r>
          </w:p>
        </w:tc>
      </w:tr>
    </w:tbl>
    <w:p>
      <w:r>
        <w:br w:type="page"/>
      </w:r>
    </w:p>
    <w:p>
      <w:pPr>
        <w:pStyle w:val="Heading1"/>
        <w:spacing w:after="200" w:before="360"/>
      </w:pPr>
      <w:r>
        <w:rPr>
          <w:rFonts w:ascii="Arial" w:cs="Arial" w:eastAsia="Arial" w:hAnsi="Arial"/>
          <w:b/>
          <w:bCs/>
          <w:color w:val="1B2A4A"/>
          <w:sz w:val="32"/>
          <w:szCs w:val="32"/>
        </w:rPr>
        <w:t xml:space="preserve">7. Dual-Audience Design</w:t>
      </w:r>
    </w:p>
    <w:p>
      <w:pPr>
        <w:spacing w:after="160" w:line="276"/>
      </w:pPr>
      <w:r>
        <w:rPr>
          <w:rFonts w:ascii="Arial" w:cs="Arial" w:eastAsia="Arial" w:hAnsi="Arial"/>
          <w:color w:val="2D2D2D"/>
          <w:sz w:val="21"/>
          <w:szCs w:val="21"/>
        </w:rPr>
        <w:t xml:space="preserve">The Academy serves two primary audiences whose needs overlap but are not identical. Every module must account for both.</w:t>
      </w:r>
    </w:p>
    <w:p>
      <w:pPr>
        <w:pStyle w:val="Heading2"/>
        <w:spacing w:after="160" w:before="280"/>
      </w:pPr>
      <w:r>
        <w:rPr>
          <w:rFonts w:ascii="Arial" w:cs="Arial" w:eastAsia="Arial" w:hAnsi="Arial"/>
          <w:b/>
          <w:bCs/>
          <w:color w:val="2A7F8E"/>
          <w:sz w:val="26"/>
          <w:szCs w:val="26"/>
        </w:rPr>
        <w:t xml:space="preserve">7.1 Young Adults (18–25) New to Activism</w:t>
      </w:r>
    </w:p>
    <w:p>
      <w:pPr>
        <w:pStyle w:val="ListParagraph"/>
        <w:numPr>
          <w:ilvl w:val="0"/>
          <w:numId w:val="2"/>
        </w:numPr>
        <w:spacing w:after="80" w:line="276"/>
      </w:pPr>
      <w:r>
        <w:rPr>
          <w:rFonts w:ascii="Arial" w:cs="Arial" w:eastAsia="Arial" w:hAnsi="Arial"/>
          <w:b/>
          <w:bCs/>
          <w:color w:val="2D2D2D"/>
          <w:sz w:val="21"/>
          <w:szCs w:val="21"/>
        </w:rPr>
        <w:t xml:space="preserve">Entry Point: </w:t>
      </w:r>
      <w:r>
        <w:rPr>
          <w:rFonts w:ascii="Arial" w:cs="Arial" w:eastAsia="Arial" w:hAnsi="Arial"/>
          <w:color w:val="2D2D2D"/>
          <w:sz w:val="21"/>
          <w:szCs w:val="21"/>
        </w:rPr>
        <w:t xml:space="preserve">High energy, high passion, often limited frameworks for channeling that energy strategically.</w:t>
      </w:r>
    </w:p>
    <w:p>
      <w:pPr>
        <w:pStyle w:val="ListParagraph"/>
        <w:numPr>
          <w:ilvl w:val="0"/>
          <w:numId w:val="2"/>
        </w:numPr>
        <w:spacing w:after="80" w:line="276"/>
      </w:pPr>
      <w:r>
        <w:rPr>
          <w:rFonts w:ascii="Arial" w:cs="Arial" w:eastAsia="Arial" w:hAnsi="Arial"/>
          <w:b/>
          <w:bCs/>
          <w:color w:val="2D2D2D"/>
          <w:sz w:val="21"/>
          <w:szCs w:val="21"/>
        </w:rPr>
        <w:t xml:space="preserve">Key Needs: </w:t>
      </w:r>
      <w:r>
        <w:rPr>
          <w:rFonts w:ascii="Arial" w:cs="Arial" w:eastAsia="Arial" w:hAnsi="Arial"/>
          <w:color w:val="2D2D2D"/>
          <w:sz w:val="21"/>
          <w:szCs w:val="21"/>
        </w:rPr>
        <w:t xml:space="preserve">Foundational knowledge; vocabulary and conceptual tools; exposure to movement history and theory; mentorship; a sense of belonging and cohort identity.</w:t>
      </w:r>
    </w:p>
    <w:p>
      <w:pPr>
        <w:pStyle w:val="ListParagraph"/>
        <w:numPr>
          <w:ilvl w:val="0"/>
          <w:numId w:val="2"/>
        </w:numPr>
        <w:spacing w:after="80" w:line="276"/>
      </w:pPr>
      <w:r>
        <w:rPr>
          <w:rFonts w:ascii="Arial" w:cs="Arial" w:eastAsia="Arial" w:hAnsi="Arial"/>
          <w:b/>
          <w:bCs/>
          <w:color w:val="2D2D2D"/>
          <w:sz w:val="21"/>
          <w:szCs w:val="21"/>
        </w:rPr>
        <w:t xml:space="preserve">Risk: </w:t>
      </w:r>
      <w:r>
        <w:rPr>
          <w:rFonts w:ascii="Arial" w:cs="Arial" w:eastAsia="Arial" w:hAnsi="Arial"/>
          <w:color w:val="2D2D2D"/>
          <w:sz w:val="21"/>
          <w:szCs w:val="21"/>
        </w:rPr>
        <w:t xml:space="preserve">Overwhelm and early burnout if competence-building feels too academic or disconnected from action.</w:t>
      </w:r>
    </w:p>
    <w:p>
      <w:pPr>
        <w:pStyle w:val="ListParagraph"/>
        <w:numPr>
          <w:ilvl w:val="0"/>
          <w:numId w:val="2"/>
        </w:numPr>
        <w:spacing w:after="80" w:line="276"/>
      </w:pPr>
      <w:r>
        <w:rPr>
          <w:rFonts w:ascii="Arial" w:cs="Arial" w:eastAsia="Arial" w:hAnsi="Arial"/>
          <w:b/>
          <w:bCs/>
          <w:color w:val="2D2D2D"/>
          <w:sz w:val="21"/>
          <w:szCs w:val="21"/>
        </w:rPr>
        <w:t xml:space="preserve">Design Response: </w:t>
      </w:r>
      <w:r>
        <w:rPr>
          <w:rFonts w:ascii="Arial" w:cs="Arial" w:eastAsia="Arial" w:hAnsi="Arial"/>
          <w:color w:val="2D2D2D"/>
          <w:sz w:val="21"/>
          <w:szCs w:val="21"/>
        </w:rPr>
        <w:t xml:space="preserve">Lead with story and action, layer in frameworks; strong cohort bonding; rapid Confidence Lab integration to maintain energy.</w:t>
      </w:r>
    </w:p>
    <w:p>
      <w:pPr>
        <w:pStyle w:val="Heading2"/>
        <w:spacing w:after="160" w:before="280"/>
      </w:pPr>
      <w:r>
        <w:rPr>
          <w:rFonts w:ascii="Arial" w:cs="Arial" w:eastAsia="Arial" w:hAnsi="Arial"/>
          <w:b/>
          <w:bCs/>
          <w:color w:val="2A7F8E"/>
          <w:sz w:val="26"/>
          <w:szCs w:val="26"/>
        </w:rPr>
        <w:t xml:space="preserve">7.2 Mid-Career Professionals Pivoting to Advocacy</w:t>
      </w:r>
    </w:p>
    <w:p>
      <w:pPr>
        <w:pStyle w:val="ListParagraph"/>
        <w:numPr>
          <w:ilvl w:val="0"/>
          <w:numId w:val="2"/>
        </w:numPr>
        <w:spacing w:after="80" w:line="276"/>
      </w:pPr>
      <w:r>
        <w:rPr>
          <w:rFonts w:ascii="Arial" w:cs="Arial" w:eastAsia="Arial" w:hAnsi="Arial"/>
          <w:b/>
          <w:bCs/>
          <w:color w:val="2D2D2D"/>
          <w:sz w:val="21"/>
          <w:szCs w:val="21"/>
        </w:rPr>
        <w:t xml:space="preserve">Entry Point: </w:t>
      </w:r>
      <w:r>
        <w:rPr>
          <w:rFonts w:ascii="Arial" w:cs="Arial" w:eastAsia="Arial" w:hAnsi="Arial"/>
          <w:color w:val="2D2D2D"/>
          <w:sz w:val="21"/>
          <w:szCs w:val="21"/>
        </w:rPr>
        <w:t xml:space="preserve">Existing professional skills (management, communications, legal, healthcare, education) seeking application in social justice.</w:t>
      </w:r>
    </w:p>
    <w:p>
      <w:pPr>
        <w:pStyle w:val="ListParagraph"/>
        <w:numPr>
          <w:ilvl w:val="0"/>
          <w:numId w:val="2"/>
        </w:numPr>
        <w:spacing w:after="80" w:line="276"/>
      </w:pPr>
      <w:r>
        <w:rPr>
          <w:rFonts w:ascii="Arial" w:cs="Arial" w:eastAsia="Arial" w:hAnsi="Arial"/>
          <w:b/>
          <w:bCs/>
          <w:color w:val="2D2D2D"/>
          <w:sz w:val="21"/>
          <w:szCs w:val="21"/>
        </w:rPr>
        <w:t xml:space="preserve">Key Needs: </w:t>
      </w:r>
      <w:r>
        <w:rPr>
          <w:rFonts w:ascii="Arial" w:cs="Arial" w:eastAsia="Arial" w:hAnsi="Arial"/>
          <w:color w:val="2D2D2D"/>
          <w:sz w:val="21"/>
          <w:szCs w:val="21"/>
        </w:rPr>
        <w:t xml:space="preserve">Translation frameworks that connect existing expertise to movement contexts; deeper understanding of power dynamics and movement culture; network access.</w:t>
      </w:r>
    </w:p>
    <w:p>
      <w:pPr>
        <w:pStyle w:val="ListParagraph"/>
        <w:numPr>
          <w:ilvl w:val="0"/>
          <w:numId w:val="2"/>
        </w:numPr>
        <w:spacing w:after="80" w:line="276"/>
      </w:pPr>
      <w:r>
        <w:rPr>
          <w:rFonts w:ascii="Arial" w:cs="Arial" w:eastAsia="Arial" w:hAnsi="Arial"/>
          <w:b/>
          <w:bCs/>
          <w:color w:val="2D2D2D"/>
          <w:sz w:val="21"/>
          <w:szCs w:val="21"/>
        </w:rPr>
        <w:t xml:space="preserve">Risk: </w:t>
      </w:r>
      <w:r>
        <w:rPr>
          <w:rFonts w:ascii="Arial" w:cs="Arial" w:eastAsia="Arial" w:hAnsi="Arial"/>
          <w:color w:val="2D2D2D"/>
          <w:sz w:val="21"/>
          <w:szCs w:val="21"/>
        </w:rPr>
        <w:t xml:space="preserve">May underestimate the difference between professional environments and movement spaces; may chafe at entry-level positioning.</w:t>
      </w:r>
    </w:p>
    <w:p>
      <w:pPr>
        <w:pStyle w:val="ListParagraph"/>
        <w:numPr>
          <w:ilvl w:val="0"/>
          <w:numId w:val="2"/>
        </w:numPr>
        <w:spacing w:after="80" w:line="276"/>
      </w:pPr>
      <w:r>
        <w:rPr>
          <w:rFonts w:ascii="Arial" w:cs="Arial" w:eastAsia="Arial" w:hAnsi="Arial"/>
          <w:b/>
          <w:bCs/>
          <w:color w:val="2D2D2D"/>
          <w:sz w:val="21"/>
          <w:szCs w:val="21"/>
        </w:rPr>
        <w:t xml:space="preserve">Design Response: </w:t>
      </w:r>
      <w:r>
        <w:rPr>
          <w:rFonts w:ascii="Arial" w:cs="Arial" w:eastAsia="Arial" w:hAnsi="Arial"/>
          <w:color w:val="2D2D2D"/>
          <w:sz w:val="21"/>
          <w:szCs w:val="21"/>
        </w:rPr>
        <w:t xml:space="preserve">Acknowledge and leverage existing expertise; use advanced application exercises; provide “translation” modules that bridge professional and movement contexts.</w:t>
      </w:r>
    </w:p>
    <w:p>
      <w:r>
        <w:br w:type="page"/>
      </w:r>
    </w:p>
    <w:p>
      <w:pPr>
        <w:pStyle w:val="Heading1"/>
        <w:spacing w:after="200" w:before="360"/>
      </w:pPr>
      <w:r>
        <w:rPr>
          <w:rFonts w:ascii="Arial" w:cs="Arial" w:eastAsia="Arial" w:hAnsi="Arial"/>
          <w:b/>
          <w:bCs/>
          <w:color w:val="1B2A4A"/>
          <w:sz w:val="32"/>
          <w:szCs w:val="32"/>
        </w:rPr>
        <w:t xml:space="preserve">8. Immediate Next Steps</w:t>
      </w:r>
    </w:p>
    <w:p>
      <w:pPr>
        <w:spacing w:after="160" w:line="276"/>
      </w:pPr>
      <w:r>
        <w:rPr>
          <w:rFonts w:ascii="Arial" w:cs="Arial" w:eastAsia="Arial" w:hAnsi="Arial"/>
          <w:color w:val="2D2D2D"/>
          <w:sz w:val="21"/>
          <w:szCs w:val="21"/>
        </w:rPr>
        <w:t xml:space="preserve">With the strategic framework established, the following actions should be initiated to begin Phase 1:</w:t>
      </w:r>
    </w:p>
    <w:p>
      <w:pPr>
        <w:pStyle w:val="ListParagraph"/>
        <w:numPr>
          <w:ilvl w:val="0"/>
          <w:numId w:val="2"/>
        </w:numPr>
        <w:spacing w:after="80" w:line="276"/>
      </w:pPr>
      <w:r>
        <w:rPr>
          <w:rFonts w:ascii="Arial" w:cs="Arial" w:eastAsia="Arial" w:hAnsi="Arial"/>
          <w:b/>
          <w:bCs/>
          <w:color w:val="2D2D2D"/>
          <w:sz w:val="21"/>
          <w:szCs w:val="21"/>
        </w:rPr>
        <w:t xml:space="preserve">1. Archetype Validation Workshop: </w:t>
      </w:r>
      <w:r>
        <w:rPr>
          <w:rFonts w:ascii="Arial" w:cs="Arial" w:eastAsia="Arial" w:hAnsi="Arial"/>
          <w:color w:val="2D2D2D"/>
          <w:sz w:val="21"/>
          <w:szCs w:val="21"/>
        </w:rPr>
        <w:t xml:space="preserve">Convene a small group (8–12 people across the target demographics) for a full-day session testing the four-house, twelve-archetype system. Do the houses feel like natural groupings? Do participants see themselves in one of the twelve archetypes? Does the primary/secondary archetype structure produce profiles that feel accurate and aspirational? Test against known activist figures to validate the mapping.</w:t>
      </w:r>
    </w:p>
    <w:p>
      <w:pPr>
        <w:pStyle w:val="ListParagraph"/>
        <w:numPr>
          <w:ilvl w:val="0"/>
          <w:numId w:val="2"/>
        </w:numPr>
        <w:spacing w:after="80" w:line="276"/>
      </w:pPr>
      <w:r>
        <w:rPr>
          <w:rFonts w:ascii="Arial" w:cs="Arial" w:eastAsia="Arial" w:hAnsi="Arial"/>
          <w:b/>
          <w:bCs/>
          <w:color w:val="2D2D2D"/>
          <w:sz w:val="21"/>
          <w:szCs w:val="21"/>
        </w:rPr>
        <w:t xml:space="preserve">2. Quiz Question Development Sprint: </w:t>
      </w:r>
      <w:r>
        <w:rPr>
          <w:rFonts w:ascii="Arial" w:cs="Arial" w:eastAsia="Arial" w:hAnsi="Arial"/>
          <w:color w:val="2D2D2D"/>
          <w:sz w:val="21"/>
          <w:szCs w:val="21"/>
        </w:rPr>
        <w:t xml:space="preserve">Develop the first draft of 60–80 quiz questions mapped to the ten core stats, twelve archetypes across four houses, and two strategic orientation spectrums (Inside/Outside, Righteousness/Relationship). Questions should be scenario-based, values-oriented, and fun to answer. Ensure each of the ten attributes has at least 4–6 questions, and develop scenario-based spectrum questions that present genuine strategic dilemmas rather than leading toward one orientation.</w:t>
      </w:r>
    </w:p>
    <w:p>
      <w:pPr>
        <w:pStyle w:val="ListParagraph"/>
        <w:numPr>
          <w:ilvl w:val="0"/>
          <w:numId w:val="2"/>
        </w:numPr>
        <w:spacing w:after="80" w:line="276"/>
      </w:pPr>
      <w:r>
        <w:rPr>
          <w:rFonts w:ascii="Arial" w:cs="Arial" w:eastAsia="Arial" w:hAnsi="Arial"/>
          <w:b/>
          <w:bCs/>
          <w:color w:val="2D2D2D"/>
          <w:sz w:val="21"/>
          <w:szCs w:val="21"/>
        </w:rPr>
        <w:t xml:space="preserve">3. Curriculum Priority Selection: </w:t>
      </w:r>
      <w:r>
        <w:rPr>
          <w:rFonts w:ascii="Arial" w:cs="Arial" w:eastAsia="Arial" w:hAnsi="Arial"/>
          <w:color w:val="2D2D2D"/>
          <w:sz w:val="21"/>
          <w:szCs w:val="21"/>
        </w:rPr>
        <w:t xml:space="preserve">Confirm Section I (Forming) as the pilot section: Foundations of Power (required gateway), Organizing &amp; Base-Building (the essential group formation pipeline), Power &amp; Resource Mapping (bridges organizing to strategy), and Resource &amp; Capacity Development (systems and resources for campaign success). Piloting the complete first section ensures the cohort experiences a coherent arc.</w:t>
      </w:r>
    </w:p>
    <w:p>
      <w:pPr>
        <w:pStyle w:val="ListParagraph"/>
        <w:numPr>
          <w:ilvl w:val="0"/>
          <w:numId w:val="2"/>
        </w:numPr>
        <w:spacing w:after="80" w:line="276"/>
      </w:pPr>
      <w:r>
        <w:rPr>
          <w:rFonts w:ascii="Arial" w:cs="Arial" w:eastAsia="Arial" w:hAnsi="Arial"/>
          <w:b/>
          <w:bCs/>
          <w:color w:val="2D2D2D"/>
          <w:sz w:val="21"/>
          <w:szCs w:val="21"/>
        </w:rPr>
        <w:t xml:space="preserve">4. Advisory Board Recruitment: </w:t>
      </w:r>
      <w:r>
        <w:rPr>
          <w:rFonts w:ascii="Arial" w:cs="Arial" w:eastAsia="Arial" w:hAnsi="Arial"/>
          <w:color w:val="2D2D2D"/>
          <w:sz w:val="21"/>
          <w:szCs w:val="21"/>
        </w:rPr>
        <w:t xml:space="preserve">Identify and invite advisory members representing: experienced organizers, educators and curriculum designers, technologists, young activists, and mid-career professionals who have made the pivot.</w:t>
      </w:r>
    </w:p>
    <w:p>
      <w:pPr>
        <w:pStyle w:val="ListParagraph"/>
        <w:numPr>
          <w:ilvl w:val="0"/>
          <w:numId w:val="2"/>
        </w:numPr>
        <w:spacing w:after="80" w:line="276"/>
      </w:pPr>
      <w:r>
        <w:rPr>
          <w:rFonts w:ascii="Arial" w:cs="Arial" w:eastAsia="Arial" w:hAnsi="Arial"/>
          <w:b/>
          <w:bCs/>
          <w:color w:val="2D2D2D"/>
          <w:sz w:val="21"/>
          <w:szCs w:val="21"/>
        </w:rPr>
        <w:t xml:space="preserve">5. Platform Research: </w:t>
      </w:r>
      <w:r>
        <w:rPr>
          <w:rFonts w:ascii="Arial" w:cs="Arial" w:eastAsia="Arial" w:hAnsi="Arial"/>
          <w:color w:val="2D2D2D"/>
          <w:sz w:val="21"/>
          <w:szCs w:val="21"/>
        </w:rPr>
        <w:t xml:space="preserve">Evaluate LMS options (Thinkific, Teachable, custom build) and interactive quiz platforms (Typeform, custom React application) against the Academy’s needs for gamification, progression tracking, and hybrid delivery.</w:t>
      </w:r>
    </w:p>
    <w:p>
      <w:pPr>
        <w:pStyle w:val="ListParagraph"/>
        <w:numPr>
          <w:ilvl w:val="0"/>
          <w:numId w:val="2"/>
        </w:numPr>
        <w:spacing w:after="80" w:line="276"/>
      </w:pPr>
      <w:r>
        <w:rPr>
          <w:rFonts w:ascii="Arial" w:cs="Arial" w:eastAsia="Arial" w:hAnsi="Arial"/>
          <w:b/>
          <w:bCs/>
          <w:color w:val="2D2D2D"/>
          <w:sz w:val="21"/>
          <w:szCs w:val="21"/>
        </w:rPr>
        <w:t xml:space="preserve">6. Funding Strategy: </w:t>
      </w:r>
      <w:r>
        <w:rPr>
          <w:rFonts w:ascii="Arial" w:cs="Arial" w:eastAsia="Arial" w:hAnsi="Arial"/>
          <w:color w:val="2D2D2D"/>
          <w:sz w:val="21"/>
          <w:szCs w:val="21"/>
        </w:rPr>
        <w:t xml:space="preserve">Develop initial funding prospectus positioning the Academy for foundation grants, individual donors, and potential earned revenue through organizational licensing.</w:t>
      </w:r>
    </w:p>
    <w:p>
      <w:pPr>
        <w:spacing w:after="200"/>
      </w:pPr>
    </w:p>
    <w:p>
      <w:pPr>
        <w:spacing w:after="160" w:line="276"/>
      </w:pPr>
      <w:r>
        <w:rPr>
          <w:rFonts w:ascii="Arial" w:cs="Arial" w:eastAsia="Arial" w:hAnsi="Arial"/>
          <w:color w:val="2D2D2D"/>
          <w:sz w:val="21"/>
          <w:szCs w:val="21"/>
        </w:rPr>
        <w:t xml:space="preserve">This work plan is a living document. It will be revised and deepened as each phase produces new insights, and as the advisory board and pilot participants contribute their perspectives to the Academy’s evolution.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8E" w:sz="2" w:space="4"/>
      </w:pBdr>
      <w:jc w:val="right"/>
    </w:pPr>
    <w:r>
      <w:rPr>
        <w:rFonts w:ascii="Arial" w:cs="Arial" w:eastAsia="Arial" w:hAnsi="Arial"/>
        <w:color w:val="666666"/>
        <w:sz w:val="16"/>
        <w:szCs w:val="16"/>
      </w:rPr>
      <w:t xml:space="preserve">Confidential — Gender Justice League</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b/>
        <w:bCs/>
        <w:color w:val="666666"/>
        <w:sz w:val="16"/>
        <w:szCs w:val="16"/>
      </w:rPr>
      <w:t xml:space="preserve">THE ACTIVIST ACADEMY</w:t>
    </w:r>
    <w:r>
      <w:rPr>
        <w:rFonts w:ascii="Arial" w:cs="Arial" w:eastAsia="Arial" w:hAnsi="Arial"/>
        <w:color w:val="666666"/>
        <w:sz w:val="16"/>
        <w:szCs w:val="16"/>
      </w:rPr>
      <w:t xml:space="preserve">  |  Project Work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2026-03-07T20:14:28.663Z</dcterms:created>
  <dcterms:modified xsi:type="dcterms:W3CDTF">2026-03-07T20:14:28.664Z</dcterms:modified>
</cp:coreProperties>
</file>

<file path=docProps/custom.xml><?xml version="1.0" encoding="utf-8"?>
<Properties xmlns="http://schemas.openxmlformats.org/officeDocument/2006/custom-properties" xmlns:vt="http://schemas.openxmlformats.org/officeDocument/2006/docPropsVTypes"/>
</file>