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104"/>
      <w:commentRangeStart w:id="178"/>
      <w:commentRangeStart w:id="216"/>
      <w:r>
        <w:rPr>
          <w:b/>
        </w:rPr>
        <w:t>Just-DNA-Lite: a Local-First, Open-Source Platform for Personal Genome Annotation and Polygenic Risk Scoring</w:t>
      </w:r>
      <w:commentRangeEnd w:id="216"/>
      <w:r>
        <w:rPr>
          <w:rStyle w:val="CommentReference"/>
        </w:rPr>
        <w:commentReference w:id="216"/>
      </w:r>
      <w:commentRangeEnd w:id="178"/>
      <w:r>
        <w:rPr>
          <w:rStyle w:val="CommentReference"/>
        </w:rPr>
        <w:commentReference w:id="178"/>
      </w:r>
      <w:commentRangeEnd w:id="104"/>
      <w:r>
        <w:rPr>
          <w:rStyle w:val="CommentReference"/>
        </w:rPr>
        <w:commentReference w:id="104"/>
      </w:r>
    </w:p>
    <w:p>
      <w:pPr>
        <w:pStyle w:val="Quote"/>
      </w:pPr>
      <w:r>
        <w:rPr>
          <w:b/>
        </w:rPr>
        <w:t>Draft v0.3 (Paper 1 of 2).</w:t>
      </w:r>
      <w:r>
        <w:rPr/>
        <w:t xml:space="preserve"> This is the platform paper: the local-first platform and the compute engines it runs — the annotation pipeline, the just-prs computation library </w:t>
      </w:r>
      <w:r>
        <w:rPr>
          <w:b/>
        </w:rPr>
        <w:t xml:space="preserve">and its </w:t>
      </w:r>
      <w:r>
        <w:rPr>
          <w:rFonts w:ascii="Consolas" w:hAnsi="Consolas"/>
          <w:b/>
        </w:rPr>
        <w:t>just-prs-mcp</w:t>
      </w:r>
      <w:r>
        <w:rPr>
          <w:b/>
        </w:rPr>
        <w:t xml:space="preserve"> access layer</w:t>
      </w:r>
      <w:r>
        <w:rPr/>
        <w:t xml:space="preserve">, the no-code module format, the web UI, </w:t>
      </w:r>
      <w:r>
        <w:rPr>
          <w:rFonts w:ascii="Consolas" w:hAnsi="Consolas"/>
        </w:rPr>
        <w:t>just-dna-format</w:t>
      </w:r>
      <w:r>
        <w:rPr/>
        <w:t>, and the module registry.</w:t>
      </w:r>
      <w:r>
        <w:rPr/>
        <w:t xml:space="preserve"> The boundary with the companion paper is </w:t>
      </w:r>
      <w:r>
        <w:rPr>
          <w:i/>
        </w:rPr>
        <w:t>consuming</w:t>
      </w:r>
      <w:r>
        <w:rPr/>
        <w:t xml:space="preserve"> versus </w:t>
      </w:r>
      <w:r>
        <w:rPr>
          <w:i/>
        </w:rPr>
        <w:t>authoring</w:t>
      </w:r>
      <w:r>
        <w:rPr/>
        <w:t>: this paper covers how a compiled module or a published score is discovered, computed against a genome, and reported, including from an AI assistant that calls these operations as typed tools.</w:t>
      </w:r>
      <w:r>
        <w:rPr/>
        <w:t xml:space="preserve"> The companion paper covers the other direction — an assistant </w:t>
      </w:r>
      <w:r>
        <w:rPr>
          <w:i/>
        </w:rPr>
        <w:t>producing</w:t>
      </w:r>
      <w:r>
        <w:rPr/>
        <w:t xml:space="preserve"> new annotation content: the authoring plugin, the enrichment and compilation toolchain, and how modules are published and versioned.</w:t>
      </w:r>
      <w:r>
        <w:rPr/>
        <w:t xml:space="preserve"> It is </w:t>
      </w:r>
      <w:r>
        <w:rPr>
          <w:i/>
        </w:rPr>
        <w:t>Creating and Sharing Genomic Annotation Modules with AI: The Just-DNA Ecosystem</w:t>
      </w:r>
      <w:commentRangeStart w:id="160"/>
      <w:r>
        <w:rPr/>
        <w:t xml:space="preserve"> (in review at EASRP 2026; </w:t>
      </w:r>
      <w:r>
        <w:rPr>
          <w:rFonts w:ascii="Consolas" w:hAnsi="Consolas"/>
        </w:rPr>
        <w:t>paper2-just-module-creator.md</w:t>
      </w:r>
      <w:r>
        <w:rPr/>
        <w:t>).</w:t>
      </w:r>
      <w:commentRangeEnd w:id="160"/>
      <w:r>
        <w:rPr>
          <w:rStyle w:val="CommentReference"/>
        </w:rPr>
        <w:commentReference w:id="160"/>
      </w:r>
      <w:r>
        <w:rPr/>
        <w:t xml:space="preserve"> See </w:t>
      </w:r>
      <w:r>
        <w:rPr>
          <w:rFonts w:ascii="Consolas" w:hAnsi="Consolas"/>
        </w:rPr>
        <w:t>docs/manuscript/v0.3/manuscript-strategy-v0.3.md</w:t>
      </w:r>
      <w:r>
        <w:rPr/>
        <w:t>.</w:t>
      </w:r>
    </w:p>
    <w:p>
      <w:r>
        <w:rPr>
          <w:b/>
        </w:rPr>
        <w:t>Authors:</w:t>
      </w:r>
      <w:r>
        <w:rPr/>
        <w:t xml:space="preserve"> </w:t>
      </w:r>
      <w:commentRangeStart w:id="0"/>
      <w:commentRangeStart w:id="1"/>
      <w:ins w:id="1" w:author="Journal adaptation" w:date="2026-10-22T10:17:48Z">
        <w:r>
          <w:rPr/>
          <w:t xml:space="preserve">Anton </w:t>
        </w:r>
      </w:ins>
      <w:r>
        <w:rPr/>
        <w:t>Kulaga</w:t>
      </w:r>
      <w:del w:id="2" w:author="Journal adaptation" w:date="2026-10-22T10:17:48Z">
        <w:r>
          <w:rPr/>
          <w:delText xml:space="preserve"> Anton</w:delText>
        </w:r>
      </w:del>
      <w:r>
        <w:rPr/>
        <w:t xml:space="preserve">^1,2,4^, </w:t>
      </w:r>
      <w:ins w:id="3" w:author="Journal adaptation" w:date="2026-10-22T10:17:48Z">
        <w:r>
          <w:rPr/>
          <w:t xml:space="preserve">Nikolay </w:t>
        </w:r>
      </w:ins>
      <w:r>
        <w:rPr/>
        <w:t>Usanov</w:t>
      </w:r>
      <w:del w:id="4" w:author="Journal adaptation" w:date="2026-10-22T10:17:48Z">
        <w:r>
          <w:rPr/>
          <w:delText xml:space="preserve"> Nikolay</w:delText>
        </w:r>
      </w:del>
      <w:r>
        <w:rPr/>
        <w:t xml:space="preserve">^3,4^, </w:t>
      </w:r>
      <w:ins w:id="5" w:author="Journal adaptation" w:date="2026-10-22T10:17:48Z">
        <w:r>
          <w:rPr/>
          <w:t xml:space="preserve">Olga </w:t>
        </w:r>
      </w:ins>
      <w:r>
        <w:rPr/>
        <w:t>Borysova</w:t>
      </w:r>
      <w:del w:id="6" w:author="Journal adaptation" w:date="2026-10-22T10:17:48Z">
        <w:r>
          <w:rPr/>
          <w:delText xml:space="preserve"> Olga</w:delText>
        </w:r>
      </w:del>
      <w:r>
        <w:rPr/>
        <w:t xml:space="preserve">^4^, </w:t>
      </w:r>
      <w:ins w:id="7" w:author="Journal adaptation" w:date="2026-10-22T10:17:48Z">
        <w:r>
          <w:rPr/>
          <w:t xml:space="preserve">Alexey </w:t>
        </w:r>
      </w:ins>
      <w:r>
        <w:rPr/>
        <w:t>Karmazin</w:t>
      </w:r>
      <w:del w:id="8" w:author="Journal adaptation" w:date="2026-10-22T10:17:48Z">
        <w:r>
          <w:rPr/>
          <w:delText xml:space="preserve"> Alexey</w:delText>
        </w:r>
      </w:del>
      <w:r>
        <w:rPr/>
        <w:t xml:space="preserve">^4^, </w:t>
      </w:r>
      <w:ins w:id="9" w:author="Journal adaptation" w:date="2026-10-22T10:17:48Z">
        <w:r>
          <w:rPr/>
          <w:t xml:space="preserve">Maria </w:t>
        </w:r>
      </w:ins>
      <w:r>
        <w:rPr/>
        <w:t>Koval</w:t>
      </w:r>
      <w:del w:id="10" w:author="Journal adaptation" w:date="2026-10-22T10:17:48Z">
        <w:r>
          <w:rPr/>
          <w:delText xml:space="preserve"> Maria</w:delText>
        </w:r>
      </w:del>
      <w:r>
        <w:rPr/>
        <w:t xml:space="preserve">^4^, </w:t>
      </w:r>
      <w:ins w:id="11" w:author="Journal adaptation" w:date="2026-10-22T10:17:48Z">
        <w:r>
          <w:rPr/>
          <w:t xml:space="preserve">Alina </w:t>
        </w:r>
      </w:ins>
      <w:r>
        <w:rPr/>
        <w:t>Fedorova</w:t>
      </w:r>
      <w:del w:id="12" w:author="Journal adaptation" w:date="2026-10-22T10:17:48Z">
        <w:r>
          <w:rPr/>
          <w:delText xml:space="preserve"> Alina</w:delText>
        </w:r>
      </w:del>
      <w:r>
        <w:rPr/>
        <w:t xml:space="preserve">^4^, </w:t>
      </w:r>
      <w:ins w:id="13" w:author="Journal adaptation" w:date="2026-10-22T10:17:48Z">
        <w:r>
          <w:rPr/>
          <w:t xml:space="preserve">Malvina </w:t>
        </w:r>
      </w:ins>
      <w:r>
        <w:rPr/>
        <w:t>Pushkareva</w:t>
      </w:r>
      <w:del w:id="14" w:author="Journal adaptation" w:date="2026-10-22T10:17:48Z">
        <w:r>
          <w:rPr/>
          <w:delText xml:space="preserve"> Malvina</w:delText>
        </w:r>
      </w:del>
      <w:r>
        <w:rPr/>
        <w:t xml:space="preserve">^4^, </w:t>
      </w:r>
      <w:ins w:id="15" w:author="Journal adaptation" w:date="2026-10-22T10:17:48Z">
        <w:r>
          <w:rPr/>
          <w:t xml:space="preserve">Sergey </w:t>
        </w:r>
      </w:ins>
      <w:r>
        <w:rPr/>
        <w:t>Evfratov</w:t>
      </w:r>
      <w:del w:id="16" w:author="Journal adaptation" w:date="2026-10-22T10:17:48Z">
        <w:r>
          <w:rPr/>
          <w:delText xml:space="preserve"> Sergey</w:delText>
        </w:r>
      </w:del>
      <w:commentRangeStart w:id="183"/>
      <w:r>
        <w:rPr/>
        <w:t xml:space="preserve">^4^, Ryangguk Kim^8^, </w:t>
      </w:r>
      <w:commentRangeEnd w:id="183"/>
      <w:r>
        <w:rPr>
          <w:rStyle w:val="CommentReference"/>
        </w:rPr>
        <w:commentReference w:id="183"/>
      </w:r>
      <w:ins w:id="17" w:author="Journal adaptation" w:date="2026-10-22T10:17:48Z">
        <w:r>
          <w:rPr/>
          <w:t xml:space="preserve">Livia </w:t>
        </w:r>
      </w:ins>
      <w:r>
        <w:rPr/>
        <w:t>Zaharia</w:t>
      </w:r>
      <w:del w:id="18" w:author="Journal adaptation" w:date="2026-10-22T10:17:48Z">
        <w:r>
          <w:rPr/>
          <w:delText xml:space="preserve"> Livia</w:delText>
        </w:r>
      </w:del>
      <w:r>
        <w:rPr/>
        <w:t xml:space="preserve">^3^, </w:t>
      </w:r>
      <w:ins w:id="19" w:author="Journal adaptation" w:date="2026-10-22T10:17:48Z">
        <w:r>
          <w:rPr/>
          <w:t xml:space="preserve">Georg </w:t>
        </w:r>
      </w:ins>
      <w:r>
        <w:rPr/>
        <w:t>Fuellen</w:t>
      </w:r>
      <w:del w:id="20" w:author="Journal adaptation" w:date="2026-10-22T10:17:48Z">
        <w:r>
          <w:rPr/>
          <w:delText xml:space="preserve"> Georg</w:delText>
        </w:r>
      </w:del>
      <w:r>
        <w:rPr/>
        <w:t>^1,</w:t>
      </w:r>
      <w:del w:id="21" w:author="Journal adaptation" w:date="2026-10-22T10:17:48Z">
        <w:r>
          <w:rPr/>
          <w:delText>*</w:delText>
        </w:r>
      </w:del>
      <w:ins w:id="22" w:author="Journal adaptation" w:date="2026-10-22T10:17:48Z">
        <w:r>
          <w:rPr/>
          <w:t>‡</w:t>
        </w:r>
      </w:ins>
      <w:r>
        <w:rPr/>
        <w:t xml:space="preserve">^, </w:t>
      </w:r>
      <w:ins w:id="23" w:author="Journal adaptation" w:date="2026-10-22T10:17:48Z">
        <w:r>
          <w:rPr/>
          <w:t xml:space="preserve">Robi </w:t>
        </w:r>
      </w:ins>
      <w:r>
        <w:rPr/>
        <w:t>Tacutu</w:t>
      </w:r>
      <w:del w:id="24" w:author="Journal adaptation" w:date="2026-10-22T10:17:48Z">
        <w:r>
          <w:rPr/>
          <w:delText xml:space="preserve"> Robi</w:delText>
        </w:r>
      </w:del>
      <w:r>
        <w:rPr/>
        <w:t>^2,9,</w:t>
      </w:r>
      <w:del w:id="25" w:author="Journal adaptation" w:date="2026-10-22T10:17:48Z">
        <w:r>
          <w:rPr/>
          <w:delText>*</w:delText>
        </w:r>
      </w:del>
      <w:ins w:id="26" w:author="Journal adaptation" w:date="2026-10-22T10:17:48Z">
        <w:r>
          <w:rPr/>
          <w:t>‡</w:t>
        </w:r>
      </w:ins>
      <w:commentRangeEnd w:id="1"/>
      <w:r>
        <w:rPr>
          <w:rStyle w:val="CommentReference"/>
        </w:rPr>
        <w:commentReference w:id="1"/>
      </w:r>
      <w:commentRangeEnd w:id="0"/>
      <w:r>
        <w:rPr>
          <w:rStyle w:val="CommentReference"/>
        </w:rPr>
        <w:commentReference w:id="0"/>
      </w:r>
      <w:r>
        <w:rPr/>
        <w:t>^</w:t>
      </w:r>
    </w:p>
    <w:p>
      <w:r>
        <w:rPr>
          <w:b/>
        </w:rPr>
        <w:t>Affiliations:</w:t>
      </w:r>
    </w:p>
    <w:p>
      <w:pPr>
        <w:pStyle w:val="ListNumber"/>
      </w:pPr>
      <w:r>
        <w:rPr/>
        <w:t>Institute for Biostatistics and Informatics in Medicine and Ageing Research, Rostock University Medical Center, Rostock, Germany</w:t>
      </w:r>
    </w:p>
    <w:p>
      <w:pPr>
        <w:pStyle w:val="ListNumber"/>
      </w:pPr>
      <w:r>
        <w:rPr/>
        <w:t>Institute of Biochemistry of the Romanian Academy</w:t>
      </w:r>
      <w:commentRangeStart w:id="2"/>
      <w:commentRangeStart w:id="3"/>
      <w:ins w:id="27" w:author="Journal adaptation" w:date="2026-10-22T10:17:48Z">
        <w:r>
          <w:rPr/>
          <w:t>, Romania</w:t>
        </w:r>
      </w:ins>
    </w:p>
    <w:p>
      <w:pPr>
        <w:pStyle w:val="ListNumber"/>
      </w:pPr>
      <w:r>
        <w:rPr/>
        <w:t>HEALES (Healthy Life Extension Society)</w:t>
      </w:r>
    </w:p>
    <w:p>
      <w:pPr>
        <w:pStyle w:val="ListNumber"/>
      </w:pPr>
      <w:r>
        <w:rPr/>
        <w:t>SecvADN SRL</w:t>
      </w:r>
    </w:p>
    <w:p>
      <w:pPr>
        <w:pStyle w:val="ListNumber"/>
      </w:pPr>
      <w:r>
        <w:rPr/>
        <w:t>CellFabrik SRL</w:t>
      </w:r>
    </w:p>
    <w:p>
      <w:pPr>
        <w:pStyle w:val="ListNumber"/>
      </w:pPr>
      <w:r>
        <w:rPr/>
        <w:t>MitoSpace</w:t>
      </w:r>
    </w:p>
    <w:p>
      <w:pPr>
        <w:pStyle w:val="ListNumber"/>
      </w:pPr>
      <w:r>
        <w:rPr/>
        <w:t>M.</w:t>
      </w:r>
      <w:r>
        <w:rPr/>
        <w:t xml:space="preserve"> Glushkov Institute of Cybernetics of National Academy of Sciences of</w:t>
      </w:r>
      <w:ins w:id="28" w:author="Journal adaptation" w:date="2026-10-22T10:17:48Z">
        <w:r>
          <w:rPr/>
          <w:t xml:space="preserve"> Ukraine,</w:t>
        </w:r>
      </w:ins>
      <w:commentRangeEnd w:id="3"/>
      <w:r>
        <w:rPr>
          <w:rStyle w:val="CommentReference"/>
        </w:rPr>
        <w:commentReference w:id="3"/>
      </w:r>
      <w:commentRangeEnd w:id="2"/>
      <w:r>
        <w:rPr>
          <w:rStyle w:val="CommentReference"/>
        </w:rPr>
        <w:commentReference w:id="2"/>
      </w:r>
      <w:r>
        <w:rPr/>
        <w:t xml:space="preserve"> Ukraine</w:t>
      </w:r>
    </w:p>
    <w:p>
      <w:pPr>
        <w:pStyle w:val="ListNumber"/>
      </w:pPr>
      <w:r>
        <w:rPr/>
        <w:t>Oak Bioinformatics, LLC</w:t>
      </w:r>
    </w:p>
    <w:p>
      <w:pPr>
        <w:pStyle w:val="ListNumber"/>
      </w:pPr>
      <w:r>
        <w:rPr/>
        <w:t>Romanian Bioinformatics Cluster (CRB), Târgu Mureș, Romania</w:t>
      </w:r>
    </w:p>
    <w:p>
      <w:commentRangeStart w:id="99"/>
      <w:commentRangeStart w:id="149"/>
      <w:commentRangeStart w:id="162"/>
      <w:r>
        <w:rPr/>
        <w:t>The contribution of these authors is considered to be equal.</w:t>
      </w:r>
      <w:commentRangeEnd w:id="149"/>
      <w:r>
        <w:rPr>
          <w:rStyle w:val="CommentReference"/>
        </w:rPr>
        <w:commentReference w:id="149"/>
      </w:r>
      <w:r>
        <w:rPr/>
        <w:t xml:space="preserve"> * Co-supervising authors.</w:t>
      </w:r>
      <w:commentRangeEnd w:id="162"/>
      <w:r>
        <w:rPr>
          <w:rStyle w:val="CommentReference"/>
        </w:rPr>
        <w:commentReference w:id="162"/>
      </w:r>
      <w:commentRangeEnd w:id="99"/>
      <w:r>
        <w:rPr>
          <w:rStyle w:val="CommentReference"/>
        </w:rPr>
        <w:commentReference w:id="99"/>
      </w:r>
    </w:p>
    <w:p/>
    <w:p>
      <w:pPr>
        <w:pStyle w:val="Heading1"/>
      </w:pPr>
      <w:r>
        <w:rPr>
          <w:b/>
        </w:rPr>
        <w:t>Abstract</w:t>
      </w:r>
    </w:p>
    <w:p>
      <w:commentRangeStart w:id="161"/>
      <w:commentRangeStart w:id="206"/>
      <w:r>
        <w:rPr/>
        <w:t>Personal genome analysis requires tools that make published variant associations accessible while allowing users to inspect the methods and retain control of their data.</w:t>
      </w:r>
      <w:commentRangeEnd w:id="206"/>
      <w:r>
        <w:rPr>
          <w:rStyle w:val="CommentReference"/>
        </w:rPr>
        <w:commentReference w:id="206"/>
      </w:r>
      <w:commentRangeEnd w:id="161"/>
      <w:r>
        <w:rPr>
          <w:rStyle w:val="CommentReference"/>
        </w:rPr>
        <w:commentReference w:id="161"/>
      </w:r>
      <w:commentRangeStart w:id="4"/>
      <w:ins w:id="29" w:author="Story" w:date="2026-10-22T10:17:48Z">
        <w:r>
          <w:rPr/>
          <w:t xml:space="preserve"> Commercial reports typically do not let users verify which variants contributed to a score, and research-grade annotation tools demand command-line proficiency.</w:t>
        </w:r>
      </w:ins>
      <w:commentRangeEnd w:id="4"/>
      <w:r>
        <w:rPr>
          <w:rStyle w:val="CommentReference"/>
        </w:rPr>
        <w:commentReference w:id="4"/>
      </w:r>
    </w:p>
    <w:p>
      <w:r>
        <w:rPr/>
        <w:t>We present Just-DNA-Lite, an open-source platform that combines local variant annotation and polygenic risk score (PRS) computation in a web interface.</w:t>
      </w:r>
      <w:r>
        <w:rPr/>
        <w:t xml:space="preserve"> Annotation modules contain variant-trait tables and metadata, allowing researchers to extend the catalogue without writing executable plugins.</w:t>
      </w:r>
      <w:r>
        <w:rPr/>
        <w:t xml:space="preserve"> A shared module contract, automatic source discovery, and a versioned registry connect published annotation content to local analysis and downloadable reports.</w:t>
      </w:r>
      <w:r>
        <w:rPr/>
        <w:t xml:space="preserve"> The just-prs library provides scoring through web, command-line, Python, and Model Context Protocol interfaces.</w:t>
      </w:r>
    </w:p>
    <w:p>
      <w:r>
        <w:rPr/>
        <w:t xml:space="preserve">For one public whole-genome </w:t>
      </w:r>
      <w:commentRangeStart w:id="5"/>
      <w:ins w:id="30" w:author="Journal adaptation" w:date="2026-10-22T10:17:48Z">
        <w:r>
          <w:rPr/>
          <w:t>variant call format (</w:t>
        </w:r>
      </w:ins>
      <w:r>
        <w:rPr/>
        <w:t>VCF</w:t>
      </w:r>
      <w:ins w:id="31" w:author="Journal adaptation" w:date="2026-10-22T10:17:48Z">
        <w:r>
          <w:rPr/>
          <w:t>) file</w:t>
        </w:r>
      </w:ins>
      <w:commentRangeEnd w:id="5"/>
      <w:r>
        <w:rPr>
          <w:rStyle w:val="CommentReference"/>
        </w:rPr>
        <w:commentReference w:id="5"/>
      </w:r>
      <w:commentRangeStart w:id="124"/>
      <w:r>
        <w:rPr/>
        <w:t xml:space="preserve">, warm-run annotation averaged 38.9 seconds across 11 runs, approximately 172 times faster than the </w:t>
      </w:r>
      <w:commentRangeStart w:id="6"/>
      <w:ins w:id="32" w:author="Prose edit" w:date="2026-10-22T10:17:48Z">
        <w:r>
          <w:rPr/>
          <w:t xml:space="preserve">mean of three 2023 runs of the </w:t>
        </w:r>
      </w:ins>
      <w:r>
        <w:rPr/>
        <w:t>earlier OakVar-based Just-DNA-Seq configuration on the same hardware</w:t>
      </w:r>
      <w:commentRangeEnd w:id="124"/>
      <w:r>
        <w:rPr>
          <w:rStyle w:val="CommentReference"/>
        </w:rPr>
        <w:commentReference w:id="124"/>
      </w:r>
      <w:ins w:id="33" w:author="Prose edit" w:date="2026-10-22T10:17:48Z">
        <w:r>
          <w:rPr/>
          <w:t>; first runs (cold starts) averaged 203.3 seconds, about 33 times faster</w:t>
        </w:r>
      </w:ins>
      <w:commentRangeEnd w:id="6"/>
      <w:r>
        <w:rPr>
          <w:rStyle w:val="CommentReference"/>
        </w:rPr>
        <w:commentReference w:id="6"/>
      </w:r>
      <w:r>
        <w:rPr/>
        <w:t>.</w:t>
      </w:r>
      <w:commentRangeStart w:id="126"/>
      <w:r>
        <w:rPr/>
        <w:t xml:space="preserve"> In a separate benchmark of 100 polygenic scores on the same individual's genome, DuckDB and Polars had median per-score runtimes 12.3 and 5.7 times faster than PLINK2, respectively.</w:t>
      </w:r>
      <w:commentRangeEnd w:id="126"/>
      <w:r>
        <w:rPr>
          <w:rStyle w:val="CommentReference"/>
        </w:rPr>
        <w:commentReference w:id="126"/>
      </w:r>
      <w:commentRangeStart w:id="199"/>
      <w:r>
        <w:rPr/>
        <w:t xml:space="preserve"> Correlation with PLINK2 across the 96 scores completed by all engines was Pearson r = 0.999859.</w:t>
      </w:r>
      <w:commentRangeEnd w:id="199"/>
      <w:r>
        <w:rPr>
          <w:rStyle w:val="CommentReference"/>
        </w:rPr>
        <w:commentReference w:id="199"/>
      </w:r>
      <w:commentRangeStart w:id="163"/>
      <w:r>
        <w:rPr/>
        <w:t xml:space="preserve"> These measurements assess computational performance and numerical agreement for one genome; they do not establish predictive accuracy or agreement in rankings across individuals.</w:t>
      </w:r>
      <w:commentRangeEnd w:id="163"/>
      <w:r>
        <w:rPr>
          <w:rStyle w:val="CommentReference"/>
        </w:rPr>
        <w:commentReference w:id="163"/>
      </w:r>
    </w:p>
    <w:p>
      <w:r>
        <w:rPr/>
        <w:t>Core annotation and scoring run locally, with reference datasets downloaded and cached on the user's machine.</w:t>
      </w:r>
      <w:r>
        <w:rPr/>
        <w:t xml:space="preserve"> Optional external </w:t>
      </w:r>
      <w:commentRangeStart w:id="7"/>
      <w:ins w:id="34" w:author="Journal adaptation" w:date="2026-10-22T10:17:48Z">
        <w:r>
          <w:rPr/>
          <w:t>artificial intelligence (</w:t>
        </w:r>
      </w:ins>
      <w:r>
        <w:rPr/>
        <w:t>AI</w:t>
      </w:r>
      <w:ins w:id="35" w:author="Journal adaptation" w:date="2026-10-22T10:17:48Z">
        <w:r>
          <w:rPr/>
          <w:t>)</w:t>
        </w:r>
      </w:ins>
      <w:commentRangeEnd w:id="7"/>
      <w:r>
        <w:rPr>
          <w:rStyle w:val="CommentReference"/>
        </w:rPr>
        <w:commentReference w:id="7"/>
      </w:r>
      <w:r>
        <w:rPr/>
        <w:t xml:space="preserve"> services introduce a separate data-sharing boundary.</w:t>
      </w:r>
      <w:commentRangeStart w:id="177"/>
      <w:r>
        <w:rPr/>
        <w:t xml:space="preserve"> Just-DNA-Lite is released under </w:t>
      </w:r>
      <w:commentRangeStart w:id="8"/>
      <w:ins w:id="36" w:author="Prose edit" w:date="2026-10-22T10:17:48Z">
        <w:r>
          <w:rPr/>
          <w:t xml:space="preserve">the </w:t>
        </w:r>
      </w:ins>
      <w:r>
        <w:rPr/>
        <w:t>AGPL v3</w:t>
      </w:r>
      <w:ins w:id="37" w:author="Prose edit" w:date="2026-10-22T10:17:48Z">
        <w:r>
          <w:rPr/>
          <w:t xml:space="preserve"> licence and is intended</w:t>
        </w:r>
      </w:ins>
      <w:commentRangeEnd w:id="8"/>
      <w:r>
        <w:rPr>
          <w:rStyle w:val="CommentReference"/>
        </w:rPr>
        <w:commentReference w:id="8"/>
      </w:r>
      <w:commentRangeStart w:id="164"/>
      <w:r>
        <w:rPr/>
        <w:t xml:space="preserve"> for research and education; it does not provide diagnoses or establish clinical validity for the associations it reports.</w:t>
      </w:r>
      <w:commentRangeEnd w:id="177"/>
      <w:r>
        <w:rPr>
          <w:rStyle w:val="CommentReference"/>
        </w:rPr>
        <w:commentReference w:id="177"/>
      </w:r>
      <w:commentRangeEnd w:id="164"/>
      <w:r>
        <w:rPr>
          <w:rStyle w:val="CommentReference"/>
        </w:rPr>
        <w:commentReference w:id="164"/>
      </w:r>
    </w:p>
    <w:p>
      <w:commentRangeStart w:id="9"/>
      <w:ins w:id="38" w:author="Journal adaptation" w:date="2026-10-22T10:17:48Z">
        <w:r>
          <w:rPr>
            <w:b/>
          </w:rPr>
          <w:t>Keywords:</w:t>
        </w:r>
      </w:ins>
      <w:ins w:id="39" w:author="Journal adaptation" w:date="2026-10-22T10:17:48Z">
        <w:r>
          <w:rPr/>
          <w:t xml:space="preserve"> personal genomics; variant annotation; polygenic risk score; PGS Catalog; annotation modules; local-first software; open-source software; Model Context Protocol</w:t>
        </w:r>
      </w:ins>
      <w:commentRangeEnd w:id="9"/>
      <w:r>
        <w:rPr>
          <w:rStyle w:val="CommentReference"/>
        </w:rPr>
        <w:commentReference w:id="9"/>
      </w:r>
    </w:p>
    <w:p>
      <w:pPr>
        <w:pStyle w:val="Heading1"/>
      </w:pPr>
      <w:r>
        <w:rPr>
          <w:b/>
        </w:rPr>
        <w:t>1.</w:t>
      </w:r>
      <w:r>
        <w:rPr>
          <w:b/>
        </w:rPr>
        <w:t xml:space="preserve"> Introduction</w:t>
      </w:r>
    </w:p>
    <w:p>
      <w:commentRangeStart w:id="10"/>
      <w:commentRangeStart w:id="11"/>
      <w:commentRangeStart w:id="185"/>
      <w:commentRangeStart w:id="205"/>
      <w:del w:id="40" w:author="Prose edit" w:date="2026-10-22T10:17:48Z">
        <w:r>
          <w:rPr/>
          <w:delText>Whole</w:delText>
        </w:r>
      </w:del>
      <w:ins w:id="41" w:author="Prose edit" w:date="2026-10-22T10:17:48Z">
        <w:r>
          <w:rPr/>
          <w:t>The cost of sequencing a human</w:t>
        </w:r>
      </w:ins>
      <w:r>
        <w:rPr/>
        <w:t xml:space="preserve"> genome </w:t>
      </w:r>
      <w:del w:id="42" w:author="Prose edit" w:date="2026-10-22T10:17:48Z">
        <w:r>
          <w:rPr/>
          <w:delText>sequencing costs have</w:delText>
        </w:r>
      </w:del>
      <w:ins w:id="43" w:author="Prose edit" w:date="2026-10-22T10:17:48Z">
        <w:r>
          <w:rPr/>
          <w:t>has</w:t>
        </w:r>
      </w:ins>
      <w:r>
        <w:rPr/>
        <w:t xml:space="preserve"> fallen from </w:t>
      </w:r>
      <w:del w:id="44" w:author="Prose edit" w:date="2026-10-22T10:17:48Z">
        <w:r>
          <w:rPr/>
          <w:delText>billions</w:delText>
        </w:r>
      </w:del>
      <w:ins w:id="45" w:author="Prose edit" w:date="2026-10-22T10:17:48Z">
        <w:r>
          <w:rPr/>
          <w:t>an</w:t>
        </w:r>
      </w:ins>
      <w:r>
        <w:rPr/>
        <w:t xml:space="preserve"> </w:t>
      </w:r>
      <w:del w:id="46" w:author="Prose edit" w:date="2026-10-22T10:17:48Z">
        <w:r>
          <w:rPr/>
          <w:delText>of</w:delText>
        </w:r>
      </w:del>
      <w:ins w:id="47" w:author="Prose edit" w:date="2026-10-22T10:17:48Z">
        <w:r>
          <w:rPr/>
          <w:t>estimated</w:t>
        </w:r>
      </w:ins>
      <w:r>
        <w:rPr/>
        <w:t xml:space="preserve"> </w:t>
      </w:r>
      <w:del w:id="48" w:author="Prose edit" w:date="2026-10-22T10:17:48Z">
        <w:r>
          <w:rPr/>
          <w:delText>dollars</w:delText>
        </w:r>
      </w:del>
      <w:ins w:id="49" w:author="Prose edit" w:date="2026-10-22T10:17:48Z">
        <w:r>
          <w:rPr/>
          <w:t>$0.5–1</w:t>
        </w:r>
      </w:ins>
      <w:r>
        <w:rPr/>
        <w:t xml:space="preserve"> </w:t>
      </w:r>
      <w:del w:id="50" w:author="Prose edit" w:date="2026-10-22T10:17:48Z">
        <w:r>
          <w:rPr/>
          <w:delText>to</w:delText>
        </w:r>
      </w:del>
      <w:ins w:id="51" w:author="Prose edit" w:date="2026-10-22T10:17:48Z">
        <w:r>
          <w:rPr/>
          <w:t>billion</w:t>
        </w:r>
      </w:ins>
      <w:r>
        <w:rPr/>
        <w:t xml:space="preserve"> </w:t>
      </w:r>
      <w:del w:id="52" w:author="Prose edit" w:date="2026-10-22T10:17:48Z">
        <w:r>
          <w:rPr/>
          <w:delText>under a thousand since the completion of</w:delText>
        </w:r>
      </w:del>
      <w:ins w:id="53" w:author="Prose edit" w:date="2026-10-22T10:17:48Z">
        <w:r>
          <w:rPr/>
          <w:t>for</w:t>
        </w:r>
      </w:ins>
      <w:r>
        <w:rPr/>
        <w:t xml:space="preserve"> the Human Genome Project</w:t>
      </w:r>
      <w:ins w:id="54" w:author="Prose edit" w:date="2026-10-22T10:17:48Z">
        <w:r>
          <w:rPr/>
          <w:t>'s reference sequence, completed</w:t>
        </w:r>
      </w:ins>
      <w:r>
        <w:rPr/>
        <w:t xml:space="preserve"> in 2003</w:t>
      </w:r>
      <w:commentRangeEnd w:id="205"/>
      <w:r>
        <w:rPr>
          <w:rStyle w:val="CommentReference"/>
        </w:rPr>
        <w:commentReference w:id="205"/>
      </w:r>
      <w:commentRangeEnd w:id="185"/>
      <w:r>
        <w:rPr>
          <w:rStyle w:val="CommentReference"/>
        </w:rPr>
        <w:commentReference w:id="185"/>
      </w:r>
      <w:ins w:id="55" w:author="Prose edit" w:date="2026-10-22T10:17:48Z">
        <w:r>
          <w:rPr/>
          <w:t>, to under $1,000 (National Human Genome Research Institute; Whitley et al., 2020)</w:t>
        </w:r>
      </w:ins>
      <w:r>
        <w:rPr/>
        <w:t>, and several companies now offer direct-to-consumer sequencing services</w:t>
      </w:r>
      <w:del w:id="56" w:author="Prose edit" w:date="2026-10-22T10:17:48Z">
        <w:r>
          <w:rPr/>
          <w:delText xml:space="preserve"> (Whitley et al., 2020)</w:delText>
        </w:r>
      </w:del>
      <w:commentRangeEnd w:id="11"/>
      <w:r>
        <w:rPr>
          <w:rStyle w:val="CommentReference"/>
        </w:rPr>
        <w:commentReference w:id="11"/>
      </w:r>
      <w:commentRangeEnd w:id="10"/>
      <w:r>
        <w:rPr>
          <w:rStyle w:val="CommentReference"/>
        </w:rPr>
        <w:commentReference w:id="10"/>
      </w:r>
      <w:r>
        <w:rPr/>
        <w:t>.</w:t>
      </w:r>
      <w:commentRangeStart w:id="118"/>
      <w:r>
        <w:rPr/>
        <w:t xml:space="preserve"> Yet </w:t>
      </w:r>
      <w:commentRangeStart w:id="12"/>
      <w:del w:id="57" w:author="Deslop" w:date="2026-10-22T10:17:48Z">
        <w:r>
          <w:rPr/>
          <w:delText xml:space="preserve">the gap between sequencing accessibility and </w:delText>
        </w:r>
      </w:del>
      <w:r>
        <w:rPr/>
        <w:t xml:space="preserve">variant annotation </w:t>
      </w:r>
      <w:del w:id="58" w:author="Deslop" w:date="2026-10-22T10:17:48Z">
        <w:r>
          <w:rPr/>
          <w:delText>remains</w:delText>
        </w:r>
      </w:del>
      <w:ins w:id="59" w:author="Deslop" w:date="2026-10-22T10:17:48Z">
        <w:r>
          <w:rPr/>
          <w:t>has</w:t>
        </w:r>
      </w:ins>
      <w:r>
        <w:rPr/>
        <w:t xml:space="preserve"> </w:t>
      </w:r>
      <w:del w:id="60" w:author="Deslop" w:date="2026-10-22T10:17:48Z">
        <w:r>
          <w:rPr/>
          <w:delText>wide</w:delText>
        </w:r>
      </w:del>
      <w:ins w:id="61" w:author="Deslop" w:date="2026-10-22T10:17:48Z">
        <w:r>
          <w:rPr/>
          <w:t>not become as accessible as sequencing</w:t>
        </w:r>
      </w:ins>
      <w:commentRangeEnd w:id="12"/>
      <w:r>
        <w:rPr>
          <w:rStyle w:val="CommentReference"/>
        </w:rPr>
        <w:commentReference w:id="12"/>
      </w:r>
      <w:r>
        <w:rPr/>
        <w:t>.</w:t>
      </w:r>
      <w:commentRangeEnd w:id="118"/>
      <w:r>
        <w:rPr>
          <w:rStyle w:val="CommentReference"/>
        </w:rPr>
        <w:commentReference w:id="118"/>
      </w:r>
      <w:r>
        <w:rPr/>
        <w:t xml:space="preserve"> Researchers and individuals receive raw variant </w:t>
      </w:r>
      <w:commentRangeStart w:id="13"/>
      <w:del w:id="62" w:author="Journal adaptation" w:date="2026-10-22T10:17:48Z">
        <w:r>
          <w:rPr/>
          <w:delText>files</w:delText>
        </w:r>
      </w:del>
      <w:ins w:id="63" w:author="Journal adaptation" w:date="2026-10-22T10:17:48Z">
        <w:r>
          <w:rPr/>
          <w:t>call format</w:t>
        </w:r>
      </w:ins>
      <w:r>
        <w:rPr/>
        <w:t xml:space="preserve"> (</w:t>
      </w:r>
      <w:del w:id="64" w:author="Journal adaptation" w:date="2026-10-22T10:17:48Z">
        <w:r>
          <w:rPr/>
          <w:delText>VCFs</w:delText>
        </w:r>
      </w:del>
      <w:ins w:id="65" w:author="Journal adaptation" w:date="2026-10-22T10:17:48Z">
        <w:r>
          <w:rPr/>
          <w:t>VCF</w:t>
        </w:r>
      </w:ins>
      <w:r>
        <w:rPr/>
        <w:t>)</w:t>
      </w:r>
      <w:ins w:id="66" w:author="Journal adaptation" w:date="2026-10-22T10:17:48Z">
        <w:r>
          <w:rPr/>
          <w:t xml:space="preserve"> files</w:t>
        </w:r>
      </w:ins>
      <w:commentRangeEnd w:id="13"/>
      <w:r>
        <w:rPr>
          <w:rStyle w:val="CommentReference"/>
        </w:rPr>
        <w:commentReference w:id="13"/>
      </w:r>
      <w:r>
        <w:rPr/>
        <w:t xml:space="preserve"> containing millions of variants but lack accessible tools to annotate them against published databases without specialized bioinformatics expertise.</w:t>
      </w:r>
    </w:p>
    <w:p>
      <w:r>
        <w:rPr/>
        <w:t>Existing solutions occupy two extremes.</w:t>
      </w:r>
      <w:commentRangeStart w:id="195"/>
      <w:r>
        <w:rPr/>
        <w:t xml:space="preserve"> Commercial platforms such as DNA Complete (formerly Nebula Genomics) and Dante Labs provide curated reports, but the curation is opaque: users cannot verify which polymorphisms contributed to a score, whether the methodology is appropriate for their ancestry, or how findings were weighted.</w:t>
      </w:r>
      <w:commentRangeEnd w:id="195"/>
      <w:r>
        <w:rPr>
          <w:rStyle w:val="CommentReference"/>
        </w:rPr>
        <w:commentReference w:id="195"/>
      </w:r>
      <w:commentRangeStart w:id="145"/>
      <w:r>
        <w:rPr/>
        <w:t xml:space="preserve"> At the other end, research-grade tools like PLINK</w:t>
      </w:r>
      <w:commentRangeStart w:id="14"/>
      <w:ins w:id="67" w:author="Story" w:date="2026-10-22T10:17:48Z">
        <w:r>
          <w:rPr/>
          <w:t xml:space="preserve"> (Chang et al., 2015)</w:t>
        </w:r>
      </w:ins>
      <w:r>
        <w:rPr/>
        <w:t>, ANNOVAR</w:t>
      </w:r>
      <w:ins w:id="68" w:author="Story" w:date="2026-10-22T10:17:48Z">
        <w:r>
          <w:rPr/>
          <w:t xml:space="preserve"> (Wang et al., 2010)</w:t>
        </w:r>
      </w:ins>
      <w:r>
        <w:rPr/>
        <w:t>, and VEP</w:t>
      </w:r>
      <w:ins w:id="69" w:author="Story" w:date="2026-10-22T10:17:48Z">
        <w:r>
          <w:rPr/>
          <w:t xml:space="preserve"> (McLaren et al., 2016)</w:t>
        </w:r>
      </w:ins>
      <w:commentRangeEnd w:id="14"/>
      <w:r>
        <w:rPr>
          <w:rStyle w:val="CommentReference"/>
        </w:rPr>
        <w:commentReference w:id="14"/>
      </w:r>
      <w:r>
        <w:rPr/>
        <w:t xml:space="preserve"> are powerful but demand command-line proficiency and significant setup effort.</w:t>
      </w:r>
      <w:commentRangeEnd w:id="145"/>
      <w:r>
        <w:rPr>
          <w:rStyle w:val="CommentReference"/>
        </w:rPr>
        <w:commentReference w:id="145"/>
      </w:r>
      <w:r>
        <w:rPr/>
        <w:t xml:space="preserve"> </w:t>
      </w:r>
      <w:commentRangeStart w:id="15"/>
      <w:commentRangeStart w:id="128"/>
      <w:del w:id="70" w:author="Story" w:date="2026-10-22T10:17:48Z">
        <w:r>
          <w:rPr/>
          <w:delText>There</w:delText>
        </w:r>
      </w:del>
      <w:ins w:id="71" w:author="Story" w:date="2026-10-22T10:17:48Z">
        <w:r>
          <w:rPr/>
          <w:t>The</w:t>
        </w:r>
      </w:ins>
      <w:r>
        <w:rPr/>
        <w:t xml:space="preserve"> </w:t>
      </w:r>
      <w:del w:id="72" w:author="Story" w:date="2026-10-22T10:17:48Z">
        <w:r>
          <w:rPr/>
          <w:delText>is no</w:delText>
        </w:r>
      </w:del>
      <w:ins w:id="73" w:author="Story" w:date="2026-10-22T10:17:48Z">
        <w:r>
          <w:rPr/>
          <w:t>closest</w:t>
        </w:r>
      </w:ins>
      <w:r>
        <w:rPr/>
        <w:t xml:space="preserve"> open-source </w:t>
      </w:r>
      <w:del w:id="74" w:author="Story" w:date="2026-10-22T10:17:48Z">
        <w:r>
          <w:rPr/>
          <w:delText>platform</w:delText>
        </w:r>
      </w:del>
      <w:ins w:id="75" w:author="Story" w:date="2026-10-22T10:17:48Z">
        <w:r>
          <w:rPr/>
          <w:t>platforms</w:t>
        </w:r>
      </w:ins>
      <w:r>
        <w:rPr/>
        <w:t xml:space="preserve"> </w:t>
      </w:r>
      <w:del w:id="76" w:author="Story" w:date="2026-10-22T10:17:48Z">
        <w:r>
          <w:rPr/>
          <w:delText>that</w:delText>
        </w:r>
      </w:del>
      <w:ins w:id="77" w:author="Story" w:date="2026-10-22T10:17:48Z">
        <w:r>
          <w:rPr/>
          <w:t>sit</w:t>
        </w:r>
      </w:ins>
      <w:r>
        <w:rPr/>
        <w:t xml:space="preserve"> </w:t>
      </w:r>
      <w:del w:id="78" w:author="Story" w:date="2026-10-22T10:17:48Z">
        <w:r>
          <w:rPr/>
          <w:delText>combines</w:delText>
        </w:r>
      </w:del>
      <w:ins w:id="79" w:author="Story" w:date="2026-10-22T10:17:48Z">
        <w:r>
          <w:rPr/>
          <w:t>between</w:t>
        </w:r>
      </w:ins>
      <w:r>
        <w:rPr/>
        <w:t xml:space="preserve"> </w:t>
      </w:r>
      <w:del w:id="80" w:author="Story" w:date="2026-10-22T10:17:48Z">
        <w:r>
          <w:rPr/>
          <w:delText>comprehensive</w:delText>
        </w:r>
      </w:del>
      <w:ins w:id="81" w:author="Story" w:date="2026-10-22T10:17:48Z">
        <w:r>
          <w:rPr/>
          <w:t>these</w:t>
        </w:r>
      </w:ins>
      <w:r>
        <w:rPr/>
        <w:t xml:space="preserve"> </w:t>
      </w:r>
      <w:del w:id="82" w:author="Story" w:date="2026-10-22T10:17:48Z">
        <w:r>
          <w:rPr/>
          <w:delText>variant</w:delText>
        </w:r>
      </w:del>
      <w:ins w:id="83" w:author="Story" w:date="2026-10-22T10:17:48Z">
        <w:r>
          <w:rPr/>
          <w:t>extremes.</w:t>
        </w:r>
      </w:ins>
      <w:r>
        <w:rPr/>
        <w:t xml:space="preserve"> </w:t>
      </w:r>
      <w:del w:id="84" w:author="Story" w:date="2026-10-22T10:17:48Z">
        <w:r>
          <w:rPr/>
          <w:delText>annotation</w:delText>
        </w:r>
      </w:del>
      <w:ins w:id="85" w:author="Story" w:date="2026-10-22T10:17:48Z">
        <w:r>
          <w:rPr/>
          <w:t>OpenCRAVAT (Pagel et al., 2020) offers an open, modular resource catalogue</w:t>
        </w:r>
      </w:ins>
      <w:r>
        <w:rPr/>
        <w:t xml:space="preserve"> with </w:t>
      </w:r>
      <w:del w:id="86" w:author="Story" w:date="2026-10-22T10:17:48Z">
        <w:r>
          <w:rPr/>
          <w:delText>ease</w:delText>
        </w:r>
      </w:del>
      <w:ins w:id="87" w:author="Story" w:date="2026-10-22T10:17:48Z">
        <w:r>
          <w:rPr/>
          <w:t>command-line</w:t>
        </w:r>
      </w:ins>
      <w:r>
        <w:rPr/>
        <w:t xml:space="preserve"> </w:t>
      </w:r>
      <w:del w:id="88" w:author="Story" w:date="2026-10-22T10:17:48Z">
        <w:r>
          <w:rPr/>
          <w:delText>of</w:delText>
        </w:r>
      </w:del>
      <w:ins w:id="89" w:author="Story" w:date="2026-10-22T10:17:48Z">
        <w:r>
          <w:rPr/>
          <w:t>and</w:t>
        </w:r>
      </w:ins>
      <w:r>
        <w:rPr/>
        <w:t xml:space="preserve"> </w:t>
      </w:r>
      <w:del w:id="90" w:author="Story" w:date="2026-10-22T10:17:48Z">
        <w:r>
          <w:rPr/>
          <w:delText>use,</w:delText>
        </w:r>
      </w:del>
      <w:ins w:id="91" w:author="Story" w:date="2026-10-22T10:17:48Z">
        <w:r>
          <w:rPr/>
          <w:t>graphical</w:t>
        </w:r>
      </w:ins>
      <w:r>
        <w:rPr/>
        <w:t xml:space="preserve"> </w:t>
      </w:r>
      <w:del w:id="92" w:author="Story" w:date="2026-10-22T10:17:48Z">
        <w:r>
          <w:rPr/>
          <w:delText>transparency</w:delText>
        </w:r>
      </w:del>
      <w:ins w:id="93" w:author="Story" w:date="2026-10-22T10:17:48Z">
        <w:r>
          <w:rPr/>
          <w:t>interfaces</w:t>
        </w:r>
      </w:ins>
      <w:r>
        <w:rPr/>
        <w:t xml:space="preserve">, and </w:t>
      </w:r>
      <w:del w:id="94" w:author="Story" w:date="2026-10-22T10:17:48Z">
        <w:r>
          <w:rPr/>
          <w:delText>extensibility</w:delText>
        </w:r>
      </w:del>
      <w:ins w:id="95" w:author="Story" w:date="2026-10-22T10:17:48Z">
        <w:r>
          <w:rPr/>
          <w:t>our first generation ran on its fork OakVar, whose annotators are Python plugins.</w:t>
        </w:r>
      </w:ins>
      <w:ins w:id="96" w:author="Story" w:date="2026-10-22T10:17:48Z">
        <w:r>
          <w:rPr/>
          <w:t xml:space="preserve"> For polygenic scores, the PGS Catalog Calculator, pgsc_calc (Lambert et al., 2024), is a portable pipeline that includes genetic ancestry estimation, and Impute.me (Folkersen et al., 2020) computes scores for consumer genotype data that users upload to its website</w:t>
        </w:r>
      </w:ins>
      <w:commentRangeEnd w:id="15"/>
      <w:r>
        <w:rPr>
          <w:rStyle w:val="CommentReference"/>
        </w:rPr>
        <w:commentReference w:id="15"/>
      </w:r>
      <w:r>
        <w:rPr/>
        <w:t>.</w:t>
      </w:r>
      <w:commentRangeEnd w:id="128"/>
      <w:r>
        <w:rPr>
          <w:rStyle w:val="CommentReference"/>
        </w:rPr>
        <w:commentReference w:id="128"/>
      </w:r>
    </w:p>
    <w:p>
      <w:r>
        <w:rPr/>
        <w:t>The genetics of longevity illustrates the need for extensible annotation tools.</w:t>
      </w:r>
      <w:commentRangeStart w:id="190"/>
      <w:r>
        <w:rPr/>
        <w:t xml:space="preserve"> The field is rapidly evolving: traditional twin studies placed the heritability of lifespan at 20–25%, but a recent study in </w:t>
      </w:r>
      <w:commentRangeEnd w:id="190"/>
      <w:r>
        <w:rPr>
          <w:rStyle w:val="CommentReference"/>
        </w:rPr>
        <w:commentReference w:id="190"/>
      </w:r>
      <w:r>
        <w:rPr>
          <w:i/>
        </w:rPr>
        <w:t>Science</w:t>
      </w:r>
      <w:r>
        <w:rPr/>
        <w:t xml:space="preserve"> by Shenhar et al.</w:t>
      </w:r>
      <w:commentRangeStart w:id="197"/>
      <w:r>
        <w:rPr/>
        <w:t xml:space="preserve"> (2025) estimates the intrinsic heritability at approximately 50% after correcting for extrinsic mortality confounders.</w:t>
      </w:r>
      <w:commentRangeEnd w:id="197"/>
      <w:r>
        <w:rPr>
          <w:rStyle w:val="CommentReference"/>
        </w:rPr>
        <w:commentReference w:id="197"/>
      </w:r>
      <w:r>
        <w:rPr/>
        <w:t xml:space="preserve"> </w:t>
      </w:r>
      <w:commentRangeStart w:id="16"/>
      <w:commentRangeStart w:id="186"/>
      <w:del w:id="97" w:author="Prose edit" w:date="2026-10-22T10:17:48Z">
        <w:r>
          <w:rPr/>
          <w:delText>GWAS</w:delText>
        </w:r>
      </w:del>
      <w:ins w:id="98" w:author="Prose edit" w:date="2026-10-22T10:17:48Z">
        <w:r>
          <w:rPr/>
          <w:t>Candidate-gene</w:t>
        </w:r>
      </w:ins>
      <w:r>
        <w:rPr/>
        <w:t xml:space="preserve"> studies </w:t>
      </w:r>
      <w:del w:id="99" w:author="Prose edit" w:date="2026-10-22T10:17:48Z">
        <w:r>
          <w:rPr/>
          <w:delText>have</w:delText>
        </w:r>
      </w:del>
      <w:ins w:id="100" w:author="Prose edit" w:date="2026-10-22T10:17:48Z">
        <w:r>
          <w:rPr/>
          <w:t>first</w:t>
        </w:r>
      </w:ins>
      <w:r>
        <w:rPr/>
        <w:t xml:space="preserve"> </w:t>
      </w:r>
      <w:del w:id="101" w:author="Prose edit" w:date="2026-10-22T10:17:48Z">
        <w:r>
          <w:rPr/>
          <w:delText>identified candidate loci including</w:delText>
        </w:r>
      </w:del>
      <w:ins w:id="102" w:author="Prose edit" w:date="2026-10-22T10:17:48Z">
        <w:r>
          <w:rPr/>
          <w:t>associated</w:t>
        </w:r>
      </w:ins>
      <w:r>
        <w:rPr/>
        <w:t xml:space="preserve"> APOE and FOXO3 </w:t>
      </w:r>
      <w:del w:id="103" w:author="Prose edit" w:date="2026-10-22T10:17:48Z">
        <w:r>
          <w:rPr/>
          <w:delText xml:space="preserve">as consistently associated </w:delText>
        </w:r>
      </w:del>
      <w:r>
        <w:rPr/>
        <w:t>with longevity</w:t>
      </w:r>
      <w:del w:id="104" w:author="Prose edit" w:date="2026-10-22T10:17:48Z">
        <w:r>
          <w:rPr/>
          <w:delText xml:space="preserve"> across populations</w:delText>
        </w:r>
      </w:del>
      <w:r>
        <w:rPr/>
        <w:t xml:space="preserve"> (Broer et al., 2014; Caruso et al., 2022)</w:t>
      </w:r>
      <w:commentRangeEnd w:id="186"/>
      <w:r>
        <w:rPr>
          <w:rStyle w:val="CommentReference"/>
        </w:rPr>
        <w:commentReference w:id="186"/>
      </w:r>
      <w:ins w:id="105" w:author="Prose edit" w:date="2026-10-22T10:17:48Z">
        <w:r>
          <w:rPr/>
          <w:t>.</w:t>
        </w:r>
      </w:ins>
      <w:ins w:id="106" w:author="Prose edit" w:date="2026-10-22T10:17:48Z">
        <w:r>
          <w:rPr/>
          <w:t xml:space="preserve"> In a genome-wide meta-analysis of European-ancestry cohorts, only the APOE locus replicated consistently</w:t>
        </w:r>
      </w:ins>
      <w:r>
        <w:rPr/>
        <w:t xml:space="preserve">, and </w:t>
      </w:r>
      <w:del w:id="107" w:author="Prose edit" w:date="2026-10-22T10:17:48Z">
        <w:r>
          <w:rPr/>
          <w:delText>the</w:delText>
        </w:r>
      </w:del>
      <w:ins w:id="108" w:author="Prose edit" w:date="2026-10-22T10:17:48Z">
        <w:r>
          <w:rPr/>
          <w:t>FOXO3 reached significance only when published data were included (Broer et al., 2014).</w:t>
        </w:r>
      </w:ins>
      <w:ins w:id="109" w:author="Prose edit" w:date="2026-10-22T10:17:48Z">
        <w:r>
          <w:rPr/>
          <w:t xml:space="preserve"> The</w:t>
        </w:r>
      </w:ins>
      <w:commentRangeEnd w:id="16"/>
      <w:r>
        <w:rPr>
          <w:rStyle w:val="CommentReference"/>
        </w:rPr>
        <w:commentReference w:id="16"/>
      </w:r>
      <w:r>
        <w:rPr/>
        <w:t xml:space="preserve"> catalogue of longevity-associated variants continues to grow.</w:t>
      </w:r>
      <w:r>
        <w:rPr/>
        <w:t xml:space="preserve"> Databases such as LongevityMap within the Human Ageing Genomic Resources (HAGR) (Tacutu et al., 2017) have compiled thousands of </w:t>
      </w:r>
      <w:commentRangeStart w:id="17"/>
      <w:del w:id="110" w:author="Prose edit" w:date="2026-10-22T10:17:48Z">
        <w:r>
          <w:rPr/>
          <w:delText>variant</w:delText>
        </w:r>
      </w:del>
      <w:ins w:id="111" w:author="Prose edit" w:date="2026-10-22T10:17:48Z">
        <w:r>
          <w:rPr/>
          <w:t>variants tested for association with longevity.</w:t>
        </w:r>
      </w:ins>
      <w:ins w:id="112" w:author="Prose edit" w:date="2026-10-22T10:17:48Z">
        <w:r>
          <w:rPr/>
          <w:t xml:space="preserve"> Our earlier OakVar</w:t>
        </w:r>
      </w:ins>
      <w:r>
        <w:rPr/>
        <w:t>-</w:t>
      </w:r>
      <w:del w:id="113" w:author="Prose edit" w:date="2026-10-22T10:17:48Z">
        <w:r>
          <w:rPr/>
          <w:delText>trait</w:delText>
        </w:r>
      </w:del>
      <w:ins w:id="114" w:author="Prose edit" w:date="2026-10-22T10:17:48Z">
        <w:r>
          <w:rPr/>
          <w:t>based</w:t>
        </w:r>
      </w:ins>
      <w:r>
        <w:rPr/>
        <w:t xml:space="preserve"> </w:t>
      </w:r>
      <w:del w:id="115" w:author="Prose edit" w:date="2026-10-22T10:17:48Z">
        <w:r>
          <w:rPr/>
          <w:delText>associations</w:delText>
        </w:r>
      </w:del>
      <w:ins w:id="116" w:author="Prose edit" w:date="2026-10-22T10:17:48Z">
        <w:r>
          <w:rPr/>
          <w:t>platform, Just-DNA-Seq (Kulaga et al., 2024), annotated personal VCFs against a curated LongevityMap</w:t>
        </w:r>
      </w:ins>
      <w:r>
        <w:rPr/>
        <w:t xml:space="preserve">, but </w:t>
      </w:r>
      <w:del w:id="117" w:author="Prose edit" w:date="2026-10-22T10:17:48Z">
        <w:r>
          <w:rPr/>
          <w:delText>no</w:delText>
        </w:r>
      </w:del>
      <w:ins w:id="118" w:author="Prose edit" w:date="2026-10-22T10:17:48Z">
        <w:r>
          <w:rPr/>
          <w:t>each</w:t>
        </w:r>
      </w:ins>
      <w:r>
        <w:rPr/>
        <w:t xml:space="preserve"> </w:t>
      </w:r>
      <w:del w:id="119" w:author="Prose edit" w:date="2026-10-22T10:17:48Z">
        <w:r>
          <w:rPr/>
          <w:delText>existing</w:delText>
        </w:r>
      </w:del>
      <w:ins w:id="120" w:author="Prose edit" w:date="2026-10-22T10:17:48Z">
        <w:r>
          <w:rPr/>
          <w:t>new</w:t>
        </w:r>
      </w:ins>
      <w:r>
        <w:rPr/>
        <w:t xml:space="preserve"> </w:t>
      </w:r>
      <w:del w:id="121" w:author="Prose edit" w:date="2026-10-22T10:17:48Z">
        <w:r>
          <w:rPr/>
          <w:delText>tool</w:delText>
        </w:r>
      </w:del>
      <w:ins w:id="122" w:author="Prose edit" w:date="2026-10-22T10:17:48Z">
        <w:r>
          <w:rPr/>
          <w:t>annotation</w:t>
        </w:r>
      </w:ins>
      <w:r>
        <w:rPr/>
        <w:t xml:space="preserve"> </w:t>
      </w:r>
      <w:del w:id="123" w:author="Prose edit" w:date="2026-10-22T10:17:48Z">
        <w:r>
          <w:rPr/>
          <w:delText>makes</w:delText>
        </w:r>
      </w:del>
      <w:ins w:id="124" w:author="Prose edit" w:date="2026-10-22T10:17:48Z">
        <w:r>
          <w:rPr/>
          <w:t>source</w:t>
        </w:r>
      </w:ins>
      <w:r>
        <w:rPr/>
        <w:t xml:space="preserve"> </w:t>
      </w:r>
      <w:del w:id="125" w:author="Prose edit" w:date="2026-10-22T10:17:48Z">
        <w:r>
          <w:rPr/>
          <w:delText>it straightforward to annotate</w:delText>
        </w:r>
      </w:del>
      <w:ins w:id="126" w:author="Prose edit" w:date="2026-10-22T10:17:48Z">
        <w:r>
          <w:rPr/>
          <w:t>required</w:t>
        </w:r>
      </w:ins>
      <w:r>
        <w:rPr/>
        <w:t xml:space="preserve"> a </w:t>
      </w:r>
      <w:del w:id="127" w:author="Prose edit" w:date="2026-10-22T10:17:48Z">
        <w:r>
          <w:rPr/>
          <w:delText>personal</w:delText>
        </w:r>
      </w:del>
      <w:ins w:id="128" w:author="Prose edit" w:date="2026-10-22T10:17:48Z">
        <w:r>
          <w:rPr/>
          <w:t>Python</w:t>
        </w:r>
      </w:ins>
      <w:r>
        <w:rPr/>
        <w:t xml:space="preserve"> </w:t>
      </w:r>
      <w:del w:id="129" w:author="Prose edit" w:date="2026-10-22T10:17:48Z">
        <w:r>
          <w:rPr/>
          <w:delText>VCF against these databases transparently and extensibly</w:delText>
        </w:r>
      </w:del>
      <w:ins w:id="130" w:author="Prose edit" w:date="2026-10-22T10:17:48Z">
        <w:r>
          <w:rPr/>
          <w:t>plugin</w:t>
        </w:r>
      </w:ins>
      <w:commentRangeEnd w:id="17"/>
      <w:r>
        <w:rPr>
          <w:rStyle w:val="CommentReference"/>
        </w:rPr>
        <w:commentReference w:id="17"/>
      </w:r>
      <w:r>
        <w:rPr/>
        <w:t>.</w:t>
      </w:r>
      <w:r>
        <w:rPr/>
        <w:t xml:space="preserve"> </w:t>
      </w:r>
      <w:commentRangeStart w:id="18"/>
      <w:commentRangeStart w:id="112"/>
      <w:del w:id="131" w:author="Deslop" w:date="2026-10-22T10:17:48Z">
        <w:r>
          <w:rPr/>
          <w:delText>This</w:delText>
        </w:r>
      </w:del>
      <w:ins w:id="132" w:author="Deslop" w:date="2026-10-22T10:17:48Z">
        <w:r>
          <w:rPr/>
          <w:t>The</w:t>
        </w:r>
      </w:ins>
      <w:r>
        <w:rPr/>
        <w:t xml:space="preserve"> </w:t>
      </w:r>
      <w:del w:id="133" w:author="Deslop" w:date="2026-10-22T10:17:48Z">
        <w:r>
          <w:rPr/>
          <w:delText>exemplifies</w:delText>
        </w:r>
      </w:del>
      <w:ins w:id="134" w:author="Deslop" w:date="2026-10-22T10:17:48Z">
        <w:r>
          <w:rPr/>
          <w:t>genetics of longevity is one example of</w:t>
        </w:r>
      </w:ins>
      <w:r>
        <w:rPr/>
        <w:t xml:space="preserve"> a broader pattern: variant-trait associations are published faster than any single curation team can integrate them, motivating a platform </w:t>
      </w:r>
      <w:commentRangeEnd w:id="112"/>
      <w:r>
        <w:rPr>
          <w:rStyle w:val="CommentReference"/>
        </w:rPr>
        <w:commentReference w:id="112"/>
      </w:r>
      <w:del w:id="135" w:author="Deslop" w:date="2026-10-22T10:17:48Z">
        <w:r>
          <w:rPr/>
          <w:delText>where</w:delText>
        </w:r>
      </w:del>
      <w:ins w:id="136" w:author="Deslop" w:date="2026-10-22T10:17:48Z">
        <w:r>
          <w:rPr/>
          <w:t>on which</w:t>
        </w:r>
      </w:ins>
      <w:commentRangeEnd w:id="18"/>
      <w:r>
        <w:rPr>
          <w:rStyle w:val="CommentReference"/>
        </w:rPr>
        <w:commentReference w:id="18"/>
      </w:r>
      <w:r>
        <w:rPr/>
        <w:t xml:space="preserve"> new annotation modules can be created rapidly.</w:t>
      </w:r>
    </w:p>
    <w:p>
      <w:commentRangeStart w:id="170"/>
      <w:r>
        <w:rPr/>
        <w:t>A platform for personal genome annotation must therefore solve three problems simultaneously: it must be easy to use (web interface, no bioinformatics training), transparent in its methods (open-source, auditable scoring), and extensible (researchers should be able to add new annotation modules as the literature evolves, without writing code).</w:t>
      </w:r>
      <w:commentRangeEnd w:id="170"/>
      <w:r>
        <w:rPr>
          <w:rStyle w:val="CommentReference"/>
        </w:rPr>
        <w:commentReference w:id="170"/>
      </w:r>
      <w:r>
        <w:rPr/>
        <w:t xml:space="preserve"> Furthermore, privacy is a first-order concern: genomic data is among the most sensitive personal information, </w:t>
      </w:r>
      <w:commentRangeStart w:id="19"/>
      <w:ins w:id="137" w:author="Prose edit" w:date="2026-10-22T10:17:48Z">
        <w:r>
          <w:rPr/>
          <w:t xml:space="preserve">which the EU General Data Protection Regulation treats as a special category (Article 9), </w:t>
        </w:r>
      </w:ins>
      <w:r>
        <w:rPr/>
        <w:t>and uploading it to third-party servers introduces risks that many individuals</w:t>
      </w:r>
      <w:commentRangeStart w:id="174"/>
      <w:del w:id="138" w:author="Prose edit" w:date="2026-10-22T10:17:48Z">
        <w:r>
          <w:rPr/>
          <w:delText xml:space="preserve"> and regulatory frameworks (such as the GDPR and the European Health Data Space)</w:delText>
        </w:r>
      </w:del>
      <w:commentRangeEnd w:id="19"/>
      <w:r>
        <w:rPr>
          <w:rStyle w:val="CommentReference"/>
        </w:rPr>
        <w:commentReference w:id="19"/>
      </w:r>
      <w:r>
        <w:rPr/>
        <w:t xml:space="preserve"> seek to avoid.</w:t>
      </w:r>
      <w:commentRangeEnd w:id="174"/>
      <w:r>
        <w:rPr>
          <w:rStyle w:val="CommentReference"/>
        </w:rPr>
        <w:commentReference w:id="174"/>
      </w:r>
    </w:p>
    <w:p>
      <w:r>
        <w:rPr/>
        <w:t>We developed Just-DNA-Lite as a ground-up rewrite of Just-DNA-Seq, whose first generation ran on OakVar (Kulaga et al., 2024).</w:t>
      </w:r>
      <w:r>
        <w:rPr/>
        <w:t xml:space="preserve"> Just-DNA-Lite removes the OakVar dependency entirely and replaces it with our own standalone annotation engine</w:t>
      </w:r>
      <w:commentRangeStart w:id="20"/>
      <w:del w:id="139" w:author="Story" w:date="2026-10-22T10:17:48Z">
        <w:r>
          <w:rPr/>
          <w:delText>,</w:delText>
        </w:r>
      </w:del>
      <w:r>
        <w:rPr/>
        <w:t xml:space="preserve"> </w:t>
      </w:r>
      <w:del w:id="140" w:author="Story" w:date="2026-10-22T10:17:48Z">
        <w:r>
          <w:rPr/>
          <w:delText>built</w:delText>
        </w:r>
      </w:del>
      <w:ins w:id="141" w:author="Story" w:date="2026-10-22T10:17:48Z">
        <w:r>
          <w:rPr/>
          <w:t>(Section</w:t>
        </w:r>
      </w:ins>
      <w:r>
        <w:rPr/>
        <w:t xml:space="preserve"> </w:t>
      </w:r>
      <w:del w:id="142" w:author="Story" w:date="2026-10-22T10:17:48Z">
        <w:r>
          <w:rPr/>
          <w:delText>with Dagster for workflow orchestration, polars-bio for VCF reading, Polars for columnar processing, and DuckDB for out-of-core joins</w:delText>
        </w:r>
      </w:del>
      <w:ins w:id="143" w:author="Story" w:date="2026-10-22T10:17:48Z">
        <w:r>
          <w:rPr/>
          <w:t>2.1)</w:t>
        </w:r>
      </w:ins>
      <w:commentRangeEnd w:id="20"/>
      <w:r>
        <w:rPr>
          <w:rStyle w:val="CommentReference"/>
        </w:rPr>
        <w:commentReference w:id="20"/>
      </w:r>
      <w:r>
        <w:rPr/>
        <w:t>.</w:t>
      </w:r>
      <w:r>
        <w:rPr/>
        <w:t xml:space="preserve"> It also replaces Python annotation plugins with declarative data modules discoverable from configured sources (Section 2.2).</w:t>
      </w:r>
      <w:r>
        <w:rPr/>
        <w:t xml:space="preserve"> In the reported same-hardware comparison, mean annotation runtime fell from 6,705 seconds for Generation I to 38.9 seconds for warm runs of Just-DNA-Lite (Section 5.1).</w:t>
      </w:r>
      <w:r>
        <w:rPr/>
        <w:t xml:space="preserve"> Supplementary File S1 describes Generation I.</w:t>
      </w:r>
    </w:p>
    <w:p>
      <w:commentRangeStart w:id="168"/>
      <w:commentRangeStart w:id="214"/>
      <w:r>
        <w:rPr/>
        <w:t xml:space="preserve">This paper presents the standalone annotation engine, the reusable just-prs scoring library, the web interfaces, and </w:t>
      </w:r>
      <w:commentRangeStart w:id="21"/>
      <w:ins w:id="144" w:author="Journal adaptation" w:date="2026-10-22T10:17:48Z">
        <w:r>
          <w:rPr/>
          <w:t>Model Context Protocol (</w:t>
        </w:r>
      </w:ins>
      <w:r>
        <w:rPr/>
        <w:t>MCP</w:t>
      </w:r>
      <w:ins w:id="145" w:author="Journal adaptation" w:date="2026-10-22T10:17:48Z">
        <w:r>
          <w:rPr/>
          <w:t>)</w:t>
        </w:r>
      </w:ins>
      <w:r>
        <w:rPr/>
        <w:t xml:space="preserve"> interfaces for calling these tools programmatically from </w:t>
      </w:r>
      <w:ins w:id="146" w:author="Journal adaptation" w:date="2026-10-22T10:17:48Z">
        <w:r>
          <w:rPr/>
          <w:t>artificial intelligence (</w:t>
        </w:r>
      </w:ins>
      <w:r>
        <w:rPr/>
        <w:t>AI</w:t>
      </w:r>
      <w:ins w:id="147" w:author="Journal adaptation" w:date="2026-10-22T10:17:48Z">
        <w:r>
          <w:rPr/>
          <w:t>)</w:t>
        </w:r>
      </w:ins>
      <w:commentRangeEnd w:id="21"/>
      <w:r>
        <w:rPr>
          <w:rStyle w:val="CommentReference"/>
        </w:rPr>
        <w:commentReference w:id="21"/>
      </w:r>
      <w:r>
        <w:rPr/>
        <w:t xml:space="preserve"> assistants.</w:t>
      </w:r>
      <w:commentRangeEnd w:id="214"/>
      <w:r>
        <w:rPr>
          <w:rStyle w:val="CommentReference"/>
        </w:rPr>
        <w:commentReference w:id="214"/>
      </w:r>
      <w:commentRangeEnd w:id="168"/>
      <w:r>
        <w:rPr>
          <w:rStyle w:val="CommentReference"/>
        </w:rPr>
        <w:commentReference w:id="168"/>
      </w:r>
      <w:r>
        <w:rPr/>
        <w:t xml:space="preserve"> Together, these components let users discover annotation content, apply it to a genome, compute published polygenic scores, and inspect reports.</w:t>
      </w:r>
      <w:r>
        <w:rPr/>
        <w:t xml:space="preserve"> The contribution is computational; the reported associations come from existing databases and literature.</w:t>
      </w:r>
      <w:r>
        <w:rPr/>
        <w:t xml:space="preserve"> AI-assisted module authoring is introduced in Section 4 and treated in detail in the companion paper.</w:t>
      </w:r>
      <w:r>
        <w:rPr/>
        <w:t xml:space="preserve"> Section 6 discusses the intended research and educational use and its limitations.</w:t>
      </w:r>
    </w:p>
    <w:p>
      <w:pPr>
        <w:pStyle w:val="Heading1"/>
      </w:pPr>
      <w:r>
        <w:rPr>
          <w:b/>
        </w:rPr>
        <w:t>2.</w:t>
      </w:r>
      <w:r>
        <w:rPr>
          <w:b/>
        </w:rPr>
        <w:t xml:space="preserve"> Platform Architecture</w:t>
      </w:r>
    </w:p>
    <w:p>
      <w:commentRangeStart w:id="157"/>
      <w:r>
        <w:rPr/>
        <w:t>The architecture separates local computation, annotation content, and user interfaces.</w:t>
      </w:r>
      <w:commentRangeEnd w:id="157"/>
      <w:r>
        <w:rPr>
          <w:rStyle w:val="CommentReference"/>
        </w:rPr>
        <w:commentReference w:id="157"/>
      </w:r>
      <w:r>
        <w:rPr/>
        <w:t xml:space="preserve"> The annotation pipeline reads modules as data artifacts, allowing the catalogue to change independently of the application code.</w:t>
      </w:r>
      <w:r>
        <w:rPr/>
        <w:t xml:space="preserve"> Columnar storage and streaming operations limit memory use.</w:t>
      </w:r>
      <w:r>
        <w:rPr/>
        <w:t xml:space="preserve"> A graphical web application provides the main interface, while typed MCP tools expose the PRS engine to AI assistants (Section 3.2.1).</w:t>
      </w:r>
      <w:r>
        <w:rPr/>
        <w:t xml:space="preserve"> </w:t>
      </w:r>
      <w:commentRangeStart w:id="22"/>
      <w:commentRangeStart w:id="113"/>
      <w:del w:id="148" w:author="Deslop" w:date="2026-10-22T10:17:48Z">
        <w:r>
          <w:rPr/>
          <w:delText>Local</w:delText>
        </w:r>
      </w:del>
      <w:ins w:id="149" w:author="Deslop" w:date="2026-10-22T10:17:48Z">
        <w:r>
          <w:rPr/>
          <w:t>Core</w:t>
        </w:r>
      </w:ins>
      <w:r>
        <w:rPr/>
        <w:t xml:space="preserve"> </w:t>
      </w:r>
      <w:del w:id="150" w:author="Deslop" w:date="2026-10-22T10:17:48Z">
        <w:r>
          <w:rPr/>
          <w:delText>execution</w:delText>
        </w:r>
      </w:del>
      <w:ins w:id="151" w:author="Deslop" w:date="2026-10-22T10:17:48Z">
        <w:r>
          <w:rPr/>
          <w:t>analysis</w:t>
        </w:r>
      </w:ins>
      <w:r>
        <w:rPr/>
        <w:t xml:space="preserve"> </w:t>
      </w:r>
      <w:del w:id="152" w:author="Deslop" w:date="2026-10-22T10:17:48Z">
        <w:r>
          <w:rPr/>
          <w:delText>avoids</w:delText>
        </w:r>
      </w:del>
      <w:ins w:id="153" w:author="Deslop" w:date="2026-10-22T10:17:48Z">
        <w:r>
          <w:rPr/>
          <w:t>runs</w:t>
        </w:r>
      </w:ins>
      <w:r>
        <w:rPr/>
        <w:t xml:space="preserve"> </w:t>
      </w:r>
      <w:del w:id="154" w:author="Deslop" w:date="2026-10-22T10:17:48Z">
        <w:r>
          <w:rPr/>
          <w:delText>requiring</w:delText>
        </w:r>
      </w:del>
      <w:ins w:id="155" w:author="Deslop" w:date="2026-10-22T10:17:48Z">
        <w:r>
          <w:rPr/>
          <w:t>locally and does not require uploading the</w:t>
        </w:r>
      </w:ins>
      <w:r>
        <w:rPr/>
        <w:t xml:space="preserve"> genome</w:t>
      </w:r>
      <w:del w:id="156" w:author="Deslop" w:date="2026-10-22T10:17:48Z">
        <w:r>
          <w:rPr/>
          <w:delText xml:space="preserve"> uploads for core analysis</w:delText>
        </w:r>
      </w:del>
      <w:commentRangeEnd w:id="113"/>
      <w:r>
        <w:rPr>
          <w:rStyle w:val="CommentReference"/>
        </w:rPr>
        <w:commentReference w:id="113"/>
      </w:r>
      <w:commentRangeEnd w:id="22"/>
      <w:r>
        <w:rPr>
          <w:rStyle w:val="CommentReference"/>
        </w:rPr>
        <w:commentReference w:id="22"/>
      </w:r>
      <w:r>
        <w:rPr/>
        <w:t>; optional external services have a separate privacy boundary (Section 6.2).</w:t>
      </w:r>
    </w:p>
    <w:p>
      <w:commentRangeStart w:id="207"/>
      <w:r>
        <w:rPr/>
        <w:t xml:space="preserve">Just-DNA-Lite is structured as a uv workspace containing two Python packages: just-dna-pipelines (Dagster assets, VCF processing, annotation logic, and </w:t>
      </w:r>
      <w:commentRangeEnd w:id="207"/>
      <w:r>
        <w:rPr>
          <w:rStyle w:val="CommentReference"/>
        </w:rPr>
        <w:commentReference w:id="207"/>
      </w:r>
      <w:commentRangeStart w:id="23"/>
      <w:ins w:id="157" w:author="Journal adaptation" w:date="2026-10-22T10:17:48Z">
        <w:r>
          <w:rPr/>
          <w:t>command-line interface (</w:t>
        </w:r>
      </w:ins>
      <w:r>
        <w:rPr/>
        <w:t>CLI</w:t>
      </w:r>
      <w:ins w:id="158" w:author="Journal adaptation" w:date="2026-10-22T10:17:48Z">
        <w:r>
          <w:rPr/>
          <w:t>)</w:t>
        </w:r>
      </w:ins>
      <w:commentRangeEnd w:id="23"/>
      <w:r>
        <w:rPr>
          <w:rStyle w:val="CommentReference"/>
        </w:rPr>
        <w:commentReference w:id="23"/>
      </w:r>
      <w:r>
        <w:rPr/>
        <w:t xml:space="preserve"> tools) and webui (a Reflex-based web interface).</w:t>
      </w:r>
      <w:commentRangeStart w:id="153"/>
      <w:commentRangeStart w:id="215"/>
      <w:r>
        <w:rPr/>
        <w:t xml:space="preserve"> The platform requires Python 3.13+; from a configured checkout, </w:t>
      </w:r>
      <w:commentRangeEnd w:id="153"/>
      <w:r>
        <w:rPr>
          <w:rStyle w:val="CommentReference"/>
        </w:rPr>
        <w:commentReference w:id="153"/>
      </w:r>
      <w:r>
        <w:rPr>
          <w:rFonts w:ascii="Consolas" w:hAnsi="Consolas"/>
        </w:rPr>
        <w:t>uv run serve</w:t>
      </w:r>
      <w:r>
        <w:rPr/>
        <w:t xml:space="preserve"> starts the application.</w:t>
      </w:r>
      <w:commentRangeEnd w:id="215"/>
      <w:r>
        <w:rPr>
          <w:rStyle w:val="CommentReference"/>
        </w:rPr>
        <w:commentReference w:id="215"/>
      </w:r>
      <w:r>
        <w:rPr/>
        <w:t xml:space="preserve"> Core annotation and scoring execute on the host machine.</w:t>
      </w:r>
    </w:p>
    <w:p>
      <w:pPr>
        <w:pStyle w:val="Heading2"/>
      </w:pPr>
      <w:r>
        <w:rPr>
          <w:b/>
        </w:rPr>
        <w:t>2.1 Annotation Pipeline</w:t>
      </w:r>
    </w:p>
    <w:p>
      <w:r>
        <w:rPr/>
        <w:t>The core annotation pipeline is built on Dagster with Software-Defined Assets, providing automatic data lineage tracking and resource monitoring (CPU usage, peak memory, and duration for every pipeline step).</w:t>
      </w:r>
      <w:r>
        <w:rPr/>
        <w:t xml:space="preserve"> A typical annotation workflow proceeds as follows:</w:t>
      </w:r>
    </w:p>
    <w:p>
      <w:pPr>
        <w:pStyle w:val="ListNumber"/>
      </w:pPr>
      <w:r>
        <w:rPr>
          <w:b/>
        </w:rPr>
        <w:t>VCF ingestion.</w:t>
      </w:r>
      <w:r>
        <w:rPr/>
        <w:t xml:space="preserve"> The user provides a VCF or VCF.gz file through the web interface.</w:t>
      </w:r>
      <w:commentRangeStart w:id="148"/>
      <w:r>
        <w:rPr/>
        <w:t xml:space="preserve"> This is the </w:t>
      </w:r>
      <w:commentRangeStart w:id="24"/>
      <w:del w:id="159" w:author="Story" w:date="2026-10-22T10:17:48Z">
        <w:r>
          <w:rPr/>
          <w:delText xml:space="preserve">annotated </w:delText>
        </w:r>
      </w:del>
      <w:commentRangeEnd w:id="24"/>
      <w:r>
        <w:rPr>
          <w:rStyle w:val="CommentReference"/>
        </w:rPr>
        <w:commentReference w:id="24"/>
      </w:r>
      <w:r>
        <w:rPr/>
        <w:t>variant file users typically already have</w:t>
      </w:r>
      <w:commentRangeEnd w:id="148"/>
      <w:r>
        <w:rPr>
          <w:rStyle w:val="CommentReference"/>
        </w:rPr>
        <w:commentReference w:id="148"/>
      </w:r>
      <w:commentRangeStart w:id="25"/>
      <w:ins w:id="160" w:author="Deslop" w:date="2026-10-22T10:17:48Z">
        <w:r>
          <w:rPr/>
          <w:t>,</w:t>
        </w:r>
      </w:ins>
      <w:r>
        <w:rPr/>
        <w:t xml:space="preserve"> </w:t>
      </w:r>
      <w:del w:id="161" w:author="Deslop" w:date="2026-10-22T10:17:48Z">
        <w:r>
          <w:rPr/>
          <w:delText>—</w:delText>
        </w:r>
      </w:del>
      <w:ins w:id="162" w:author="Deslop" w:date="2026-10-22T10:17:48Z">
        <w:r>
          <w:rPr/>
          <w:t>whether</w:t>
        </w:r>
      </w:ins>
      <w:commentRangeEnd w:id="25"/>
      <w:r>
        <w:rPr>
          <w:rStyle w:val="CommentReference"/>
        </w:rPr>
        <w:commentReference w:id="25"/>
      </w:r>
      <w:r>
        <w:rPr/>
        <w:t xml:space="preserve"> supplied by a sequencing provider, downloaded from a public genome repository, or produced by their own bioinformatic pipeline; Just-DNA-Lite starts from this VCF and does not itself perform sequencing, alignment, or variant calling.</w:t>
      </w:r>
      <w:r>
        <w:rPr/>
        <w:t xml:space="preserve"> The file is read using polars-bio, a Polars-native VCF reader.</w:t>
      </w:r>
    </w:p>
    <w:p>
      <w:pPr>
        <w:pStyle w:val="ListNumber"/>
      </w:pPr>
      <w:r>
        <w:rPr>
          <w:b/>
        </w:rPr>
        <w:t>Normalization.</w:t>
      </w:r>
      <w:r>
        <w:rPr/>
        <w:t xml:space="preserve"> The raw VCF undergoes quality filtering (configurable via </w:t>
      </w:r>
      <w:r>
        <w:rPr>
          <w:rFonts w:ascii="Consolas" w:hAnsi="Consolas"/>
        </w:rPr>
        <w:t>modules.yaml</w:t>
      </w:r>
      <w:commentRangeStart w:id="141"/>
      <w:r>
        <w:rPr/>
        <w:t>): only variants passing specified FILTER values (by default, PASS and ".") are retained, with optional minimum depth (DP ≥ 10) and quality (QUAL ≥ 20) thresholds.</w:t>
      </w:r>
      <w:commentRangeEnd w:id="141"/>
      <w:r>
        <w:rPr>
          <w:rStyle w:val="CommentReference"/>
        </w:rPr>
        <w:commentReference w:id="141"/>
      </w:r>
      <w:r>
        <w:rPr/>
        <w:t xml:space="preserve"> Chromosome prefixes ("chr") are stripped for consistency with annotation databases.</w:t>
      </w:r>
      <w:commentRangeStart w:id="111"/>
      <w:r>
        <w:rPr/>
        <w:t xml:space="preserve"> The normalized data is written as a Parquet file, which </w:t>
      </w:r>
      <w:commentRangeStart w:id="26"/>
      <w:del w:id="163" w:author="Deslop" w:date="2026-10-22T10:17:48Z">
        <w:r>
          <w:rPr/>
          <w:delText>serves as</w:delText>
        </w:r>
      </w:del>
      <w:ins w:id="164" w:author="Deslop" w:date="2026-10-22T10:17:48Z">
        <w:r>
          <w:rPr/>
          <w:t>is</w:t>
        </w:r>
      </w:ins>
      <w:commentRangeEnd w:id="26"/>
      <w:r>
        <w:rPr>
          <w:rStyle w:val="CommentReference"/>
        </w:rPr>
        <w:commentReference w:id="26"/>
      </w:r>
      <w:r>
        <w:rPr/>
        <w:t xml:space="preserve"> the shared input for all downstream annotation.</w:t>
      </w:r>
      <w:commentRangeEnd w:id="111"/>
      <w:r>
        <w:rPr>
          <w:rStyle w:val="CommentReference"/>
        </w:rPr>
        <w:commentReference w:id="111"/>
      </w:r>
    </w:p>
    <w:p>
      <w:pPr>
        <w:pStyle w:val="ListNumber"/>
      </w:pPr>
      <w:r>
        <w:rPr>
          <w:b/>
        </w:rPr>
        <w:t>Module annotation.</w:t>
      </w:r>
      <w:r>
        <w:rPr/>
        <w:t xml:space="preserve"> For each selected annotation module, the pipeline performs a streaming join between the normalized VCF Parquet and the module's precomputed weights Parquet.</w:t>
      </w:r>
      <w:commentRangeStart w:id="134"/>
      <w:commentRangeStart w:id="171"/>
      <w:r>
        <w:rPr/>
        <w:t xml:space="preserve"> Joins are performed by </w:t>
      </w:r>
      <w:commentRangeStart w:id="27"/>
      <w:del w:id="165" w:author="Prose edit" w:date="2026-10-22T10:17:48Z">
        <w:r>
          <w:rPr/>
          <w:delText>rsID</w:delText>
        </w:r>
      </w:del>
      <w:ins w:id="166" w:author="Prose edit" w:date="2026-10-22T10:17:48Z">
        <w:r>
          <w:rPr/>
          <w:t>genomic position and genotype</w:t>
        </w:r>
      </w:ins>
      <w:r>
        <w:rPr/>
        <w:t xml:space="preserve"> (default)</w:t>
      </w:r>
      <w:ins w:id="167" w:author="Prose edit" w:date="2026-10-22T10:17:48Z">
        <w:r>
          <w:rPr/>
          <w:t>,</w:t>
        </w:r>
      </w:ins>
      <w:r>
        <w:rPr/>
        <w:t xml:space="preserve"> or </w:t>
      </w:r>
      <w:del w:id="168" w:author="Prose edit" w:date="2026-10-22T10:17:48Z">
        <w:r>
          <w:rPr/>
          <w:delText>genomic</w:delText>
        </w:r>
      </w:del>
      <w:ins w:id="169" w:author="Prose edit" w:date="2026-10-22T10:17:48Z">
        <w:r>
          <w:rPr/>
          <w:t>by</w:t>
        </w:r>
      </w:ins>
      <w:r>
        <w:rPr/>
        <w:t xml:space="preserve"> </w:t>
      </w:r>
      <w:del w:id="170" w:author="Prose edit" w:date="2026-10-22T10:17:48Z">
        <w:r>
          <w:rPr/>
          <w:delText>position</w:delText>
        </w:r>
      </w:del>
      <w:ins w:id="171" w:author="Prose edit" w:date="2026-10-22T10:17:48Z">
        <w:r>
          <w:rPr/>
          <w:t>rsID for modules without coordinates</w:t>
        </w:r>
      </w:ins>
      <w:r>
        <w:rPr/>
        <w:t>.</w:t>
      </w:r>
      <w:commentRangeEnd w:id="171"/>
      <w:r>
        <w:rPr>
          <w:rStyle w:val="CommentReference"/>
        </w:rPr>
        <w:commentReference w:id="171"/>
      </w:r>
      <w:commentRangeEnd w:id="134"/>
      <w:r>
        <w:rPr>
          <w:rStyle w:val="CommentReference"/>
        </w:rPr>
        <w:commentReference w:id="134"/>
      </w:r>
      <w:r>
        <w:rPr/>
        <w:t xml:space="preserve"> Polars streaming joins keep peak memory low</w:t>
      </w:r>
      <w:commentRangeStart w:id="142"/>
      <w:del w:id="172" w:author="Prose edit" w:date="2026-10-22T10:17:48Z">
        <w:r>
          <w:rPr/>
          <w:delText>; for datasets too large to fit in memory, DuckDB handles out-of-core joins with configurable memory limits</w:delText>
        </w:r>
      </w:del>
      <w:commentRangeEnd w:id="142"/>
      <w:r>
        <w:rPr>
          <w:rStyle w:val="CommentReference"/>
        </w:rPr>
        <w:commentReference w:id="142"/>
      </w:r>
      <w:r>
        <w:rPr/>
        <w:t>.</w:t>
      </w:r>
    </w:p>
    <w:p>
      <w:pPr>
        <w:pStyle w:val="ListNumber"/>
      </w:pPr>
      <w:r>
        <w:rPr>
          <w:b/>
        </w:rPr>
        <w:t>Ensembl annotation (optional).</w:t>
      </w:r>
      <w:r>
        <w:rPr/>
        <w:t xml:space="preserve"> When enabled, the pipeline joins the normalized VCF against the Ensembl Variation database (cached locally as chromosome-level Parquet files downloaded from </w:t>
      </w:r>
      <w:del w:id="173" w:author="Prose edit" w:date="2026-10-22T10:17:48Z">
        <w:r>
          <w:rPr/>
          <w:delText>HuggingFace</w:delText>
        </w:r>
      </w:del>
      <w:ins w:id="174" w:author="Prose edit" w:date="2026-10-22T10:17:48Z">
        <w:r>
          <w:rPr/>
          <w:t>Hugging Face</w:t>
        </w:r>
      </w:ins>
      <w:r>
        <w:rPr/>
        <w:t xml:space="preserve"> via fsspec), providing clinical significance labels, consequence types, and cross-references for each variant</w:t>
      </w:r>
      <w:ins w:id="175" w:author="Prose edit" w:date="2026-10-22T10:17:48Z">
        <w:r>
          <w:rPr/>
          <w:t>.</w:t>
        </w:r>
      </w:ins>
      <w:ins w:id="176" w:author="Prose edit" w:date="2026-10-22T10:17:48Z">
        <w:r>
          <w:rPr/>
          <w:t xml:space="preserve"> DuckDB performs this join out of core, with configurable memory limits, for datasets too large to fit in memory</w:t>
        </w:r>
      </w:ins>
      <w:commentRangeEnd w:id="27"/>
      <w:r>
        <w:rPr>
          <w:rStyle w:val="CommentReference"/>
        </w:rPr>
        <w:commentReference w:id="27"/>
      </w:r>
      <w:r>
        <w:rPr/>
        <w:t>.</w:t>
      </w:r>
    </w:p>
    <w:p>
      <w:pPr>
        <w:pStyle w:val="ListNumber"/>
      </w:pPr>
      <w:r>
        <w:rPr>
          <w:b/>
        </w:rPr>
        <w:t>Report generation.</w:t>
      </w:r>
      <w:r>
        <w:rPr/>
        <w:t xml:space="preserve"> Annotated results are written as Parquet files and rendered as downloadable PDF/HTML reports.</w:t>
      </w:r>
      <w:r>
        <w:rPr/>
        <w:t xml:space="preserve"> All outputs are available for downstream analysis in Python, R, or any tool that reads Apache Arrow.</w:t>
      </w:r>
    </w:p>
    <w:p>
      <w:r>
        <w:rPr/>
        <w:t>The annotation data for reference databases and modules is prepared upstream by the prepare-annotations pipeline (github.com/dna-seq/prepare-annotations), which converts source databases into columnar Parquet format optimized for fast lookups.</w:t>
      </w:r>
    </w:p>
    <w:p>
      <w:pPr>
        <w:pStyle w:val="Heading2"/>
      </w:pPr>
      <w:r>
        <w:rPr>
          <w:b/>
        </w:rPr>
        <w:t xml:space="preserve">2.2 </w:t>
      </w:r>
      <w:commentRangeStart w:id="28"/>
      <w:del w:id="177" w:author="Story" w:date="2026-10-22T10:17:48Z">
        <w:r>
          <w:rPr>
            <w:b/>
          </w:rPr>
          <w:delText>Modular</w:delText>
        </w:r>
      </w:del>
      <w:ins w:id="178" w:author="Story" w:date="2026-10-22T10:17:48Z">
        <w:r>
          <w:rPr>
            <w:b/>
          </w:rPr>
          <w:t>Annotation</w:t>
        </w:r>
      </w:ins>
      <w:r>
        <w:rPr>
          <w:b/>
        </w:rPr>
        <w:t xml:space="preserve"> </w:t>
      </w:r>
      <w:del w:id="179" w:author="Story" w:date="2026-10-22T10:17:48Z">
        <w:r>
          <w:rPr>
            <w:b/>
          </w:rPr>
          <w:delText>Plugin</w:delText>
        </w:r>
      </w:del>
      <w:ins w:id="180" w:author="Story" w:date="2026-10-22T10:17:48Z">
        <w:r>
          <w:rPr>
            <w:b/>
          </w:rPr>
          <w:t>Modules</w:t>
        </w:r>
      </w:ins>
      <w:r>
        <w:rPr>
          <w:b/>
        </w:rPr>
        <w:t xml:space="preserve"> </w:t>
      </w:r>
      <w:del w:id="181" w:author="Story" w:date="2026-10-22T10:17:48Z">
        <w:r>
          <w:rPr>
            <w:b/>
          </w:rPr>
          <w:delText>System</w:delText>
        </w:r>
      </w:del>
      <w:ins w:id="182" w:author="Story" w:date="2026-10-22T10:17:48Z">
        <w:r>
          <w:rPr>
            <w:b/>
          </w:rPr>
          <w:t>as Data</w:t>
        </w:r>
      </w:ins>
      <w:commentRangeEnd w:id="28"/>
      <w:r>
        <w:rPr>
          <w:rStyle w:val="CommentReference"/>
        </w:rPr>
        <w:commentReference w:id="28"/>
      </w:r>
    </w:p>
    <w:p>
      <w:r>
        <w:rPr/>
        <w:t>Annotation modules are data, not executable plugins.</w:t>
      </w:r>
      <w:r>
        <w:rPr/>
        <w:t xml:space="preserve"> The annotation engine reads published Parquet tables directly.</w:t>
      </w:r>
      <w:r>
        <w:rPr/>
        <w:t xml:space="preserve"> A typical weighted-association module contains </w:t>
      </w:r>
      <w:r>
        <w:rPr>
          <w:rFonts w:ascii="Consolas" w:hAnsi="Consolas"/>
        </w:rPr>
        <w:t>weights.parquet</w:t>
      </w:r>
      <w:r>
        <w:rPr/>
        <w:t xml:space="preserve">, with accompanying </w:t>
      </w:r>
      <w:r>
        <w:rPr>
          <w:rFonts w:ascii="Consolas" w:hAnsi="Consolas"/>
        </w:rPr>
        <w:t>annotations.parquet</w:t>
      </w:r>
      <w:r>
        <w:rPr/>
        <w:t xml:space="preserve"> and </w:t>
      </w:r>
      <w:r>
        <w:rPr>
          <w:rFonts w:ascii="Consolas" w:hAnsi="Consolas"/>
        </w:rPr>
        <w:t>studies.parquet</w:t>
      </w:r>
      <w:r>
        <w:rPr/>
        <w:t xml:space="preserve"> when available; other module families can use different primary tables.</w:t>
      </w:r>
      <w:r>
        <w:rPr/>
        <w:t xml:space="preserve"> Existing Parquet modules can be discovered and used without supplying YAML/CSV authoring files or recompiling them.</w:t>
      </w:r>
    </w:p>
    <w:p>
      <w:commentRangeStart w:id="29"/>
      <w:commentRangeStart w:id="208"/>
      <w:del w:id="183" w:author="Story" w:date="2026-10-22T10:17:48Z">
        <w:r>
          <w:rPr/>
          <w:delText>The</w:delText>
        </w:r>
      </w:del>
      <w:ins w:id="184" w:author="Story" w:date="2026-10-22T10:17:48Z">
        <w:r>
          <w:rPr/>
          <w:t>A compiled module can carry a manifest that records its identity and integrity, so a download can be checked against the recorded artifact; the</w:t>
        </w:r>
      </w:ins>
      <w:r>
        <w:rPr/>
        <w:t xml:space="preserve"> </w:t>
      </w:r>
      <w:r>
        <w:rPr>
          <w:rFonts w:ascii="Consolas" w:hAnsi="Consolas"/>
        </w:rPr>
        <w:t>just-dna-format</w:t>
      </w:r>
      <w:r>
        <w:rPr/>
        <w:t xml:space="preserve"> library defines </w:t>
      </w:r>
      <w:ins w:id="185" w:author="Story" w:date="2026-10-22T10:17:48Z">
        <w:r>
          <w:rPr/>
          <w:t xml:space="preserve">this manifest, its versioning contract and </w:t>
        </w:r>
      </w:ins>
      <w:r>
        <w:rPr/>
        <w:t>the authored specification</w:t>
      </w:r>
      <w:del w:id="186" w:author="Story" w:date="2026-10-22T10:17:48Z">
        <w:r>
          <w:rPr/>
          <w:delText xml:space="preserve"> and the manifest, integrity, and versioning contract for compiled artifacts</w:delText>
        </w:r>
      </w:del>
      <w:commentRangeEnd w:id="29"/>
      <w:r>
        <w:rPr>
          <w:rStyle w:val="CommentReference"/>
        </w:rPr>
        <w:commentReference w:id="29"/>
      </w:r>
      <w:r>
        <w:rPr/>
        <w:t>.</w:t>
      </w:r>
      <w:commentRangeEnd w:id="208"/>
      <w:r>
        <w:rPr>
          <w:rStyle w:val="CommentReference"/>
        </w:rPr>
        <w:commentReference w:id="208"/>
      </w:r>
      <w:r>
        <w:rPr/>
        <w:t xml:space="preserve"> When a published module supplies a manifest, discovery uses its declared artifact files.</w:t>
      </w:r>
      <w:r>
        <w:rPr/>
        <w:t xml:space="preserve"> For older Parquet modules without a manifest, the loader discovers the available tables directly.</w:t>
      </w:r>
    </w:p>
    <w:p>
      <w:r>
        <w:rPr/>
        <w:t xml:space="preserve">For researchers creating new modules, a separate authoring route accepts </w:t>
      </w:r>
      <w:r>
        <w:rPr>
          <w:rFonts w:ascii="Consolas" w:hAnsi="Consolas"/>
        </w:rPr>
        <w:t>module_spec.yaml</w:t>
      </w:r>
      <w:r>
        <w:rPr/>
        <w:t xml:space="preserve"> and CSV tables such as </w:t>
      </w:r>
      <w:r>
        <w:rPr>
          <w:rFonts w:ascii="Consolas" w:hAnsi="Consolas"/>
        </w:rPr>
        <w:t>variants.csv</w:t>
      </w:r>
      <w:r>
        <w:rPr/>
        <w:t xml:space="preserve"> and </w:t>
      </w:r>
      <w:r>
        <w:rPr>
          <w:rFonts w:ascii="Consolas" w:hAnsi="Consolas"/>
        </w:rPr>
        <w:t>studies.csv</w:t>
      </w:r>
      <w:r>
        <w:rPr/>
        <w:t>.</w:t>
      </w:r>
      <w:r>
        <w:rPr/>
        <w:t xml:space="preserve"> The </w:t>
      </w:r>
      <w:r>
        <w:rPr>
          <w:rFonts w:ascii="Consolas" w:hAnsi="Consolas"/>
        </w:rPr>
        <w:t>just-dna-compiler</w:t>
      </w:r>
      <w:r>
        <w:rPr/>
        <w:t xml:space="preserve"> library validates and compiles these specifications into Parquet artifacts and a manifest during custom-module registration.</w:t>
      </w:r>
      <w:r>
        <w:rPr/>
        <w:t xml:space="preserve"> Documentation and thumbnails may accompany the module.</w:t>
      </w:r>
      <w:r>
        <w:rPr/>
        <w:t xml:space="preserve"> This route lets authors prepare annotation content without writing Python; it does not make CSV the runtime format or a requirement for using existing Parquet modules.</w:t>
      </w:r>
    </w:p>
    <w:p>
      <w:r>
        <w:rPr/>
        <w:t xml:space="preserve">Module discovery uses sources configured in </w:t>
      </w:r>
      <w:r>
        <w:rPr>
          <w:rFonts w:ascii="Consolas" w:hAnsi="Consolas"/>
        </w:rPr>
        <w:t>modules.yaml</w:t>
      </w:r>
      <w:r>
        <w:rPr/>
        <w:t>, with repository defaults and a local working copy for runtime changes.</w:t>
      </w:r>
      <w:r>
        <w:rPr/>
        <w:t xml:space="preserve"> Sources may include </w:t>
      </w:r>
      <w:commentRangeStart w:id="30"/>
      <w:del w:id="187" w:author="Prose edit" w:date="2026-10-22T10:17:48Z">
        <w:r>
          <w:rPr/>
          <w:delText>HuggingFace</w:delText>
        </w:r>
      </w:del>
      <w:ins w:id="188" w:author="Prose edit" w:date="2026-10-22T10:17:48Z">
        <w:r>
          <w:rPr/>
          <w:t>Hugging Face</w:t>
        </w:r>
      </w:ins>
      <w:commentRangeEnd w:id="30"/>
      <w:r>
        <w:rPr>
          <w:rStyle w:val="CommentReference"/>
        </w:rPr>
        <w:commentReference w:id="30"/>
      </w:r>
      <w:r>
        <w:rPr/>
        <w:t xml:space="preserve"> datasets, GitHub repositories, HTTP/HTTPS servers, cloud storage, or local paths accessible through fsspec.</w:t>
      </w:r>
      <w:r>
        <w:rPr/>
        <w:t xml:space="preserve"> The loader detects single modules and collections, and configuration can override display metadata without changing an artifact.</w:t>
      </w:r>
      <w:r>
        <w:rPr/>
        <w:t xml:space="preserve"> The </w:t>
      </w:r>
      <w:r>
        <w:rPr>
          <w:rFonts w:ascii="Consolas" w:hAnsi="Consolas"/>
        </w:rPr>
        <w:t>just-dna-registry</w:t>
      </w:r>
      <w:r>
        <w:rPr/>
        <w:t xml:space="preserve"> service provides a catalogue for browsing and retrieving versioned modules.</w:t>
      </w:r>
      <w:r>
        <w:rPr/>
        <w:t xml:space="preserve"> Artifact manifests provide identity and integrity information; integrity verification establishes that downloaded content matches the recorded artifact, not that its scientific claims are correct.</w:t>
      </w:r>
    </w:p>
    <w:p>
      <w:pPr>
        <w:pStyle w:val="Heading2"/>
      </w:pPr>
      <w:r>
        <w:rPr>
          <w:b/>
        </w:rPr>
        <w:t>2.3 Web Interface and Self-Exploration</w:t>
      </w:r>
    </w:p>
    <w:p>
      <w:r>
        <w:rPr/>
        <w:t>The web interface is built with Reflex, a Python framework that compiles to React; the entire UI is written in Python, with no JavaScript required.</w:t>
      </w:r>
      <w:commentRangeStart w:id="114"/>
      <w:r>
        <w:rPr/>
        <w:t xml:space="preserve"> The interface provides file management (upload VCFs, select modules, launch annotation), module selection (browse modules, toggle Ensembl annotation), a results preview (sortable, filterable data grid in the browser), report download (PDF/HTML per module), and self-exploration</w:t>
      </w:r>
      <w:commentRangeStart w:id="31"/>
      <w:del w:id="189" w:author="Deslop" w:date="2026-10-22T10:17:48Z">
        <w:r>
          <w:rPr/>
          <w:delText>:</w:delText>
        </w:r>
      </w:del>
      <w:ins w:id="190" w:author="Deslop" w:date="2026-10-22T10:17:48Z">
        <w:r>
          <w:rPr/>
          <w:t>.</w:t>
        </w:r>
      </w:ins>
      <w:r>
        <w:rPr/>
        <w:t xml:space="preserve"> </w:t>
      </w:r>
      <w:del w:id="191" w:author="Deslop" w:date="2026-10-22T10:17:48Z">
        <w:r>
          <w:rPr/>
          <w:delText>even</w:delText>
        </w:r>
      </w:del>
      <w:ins w:id="192" w:author="Deslop" w:date="2026-10-22T10:17:48Z">
        <w:r>
          <w:rPr/>
          <w:t>Even</w:t>
        </w:r>
      </w:ins>
      <w:r>
        <w:rPr/>
        <w:t xml:space="preserve"> without selecting a specific module, users can browse their full variant table with sorting, filtering, and search</w:t>
      </w:r>
      <w:commentRangeEnd w:id="114"/>
      <w:r>
        <w:rPr>
          <w:rStyle w:val="CommentReference"/>
        </w:rPr>
        <w:commentReference w:id="114"/>
      </w:r>
      <w:ins w:id="193" w:author="Deslop" w:date="2026-10-22T10:17:48Z">
        <w:r>
          <w:rPr/>
          <w:t>; when Ensembl annotation is enabled</w:t>
        </w:r>
      </w:ins>
      <w:r>
        <w:rPr/>
        <w:t>,</w:t>
      </w:r>
      <w:ins w:id="194" w:author="Deslop" w:date="2026-10-22T10:17:48Z">
        <w:r>
          <w:rPr/>
          <w:t xml:space="preserve"> the table is</w:t>
        </w:r>
      </w:ins>
      <w:r>
        <w:rPr/>
        <w:t xml:space="preserve"> cross-referenced against Ensembl for clinical significance labels, consequence types, and known phenotype associations</w:t>
      </w:r>
      <w:del w:id="195" w:author="Deslop" w:date="2026-10-22T10:17:48Z">
        <w:r>
          <w:rPr/>
          <w:delText xml:space="preserve"> when Ensembl annotation is enabled</w:delText>
        </w:r>
      </w:del>
      <w:commentRangeEnd w:id="31"/>
      <w:r>
        <w:rPr>
          <w:rStyle w:val="CommentReference"/>
        </w:rPr>
        <w:commentReference w:id="31"/>
      </w:r>
      <w:r>
        <w:rPr/>
        <w:t>.</w:t>
      </w:r>
      <w:r>
        <w:rPr/>
        <w:t xml:space="preserve"> All data can be exported as Parquet for downstream analysis in Python, R, DuckDB, or any Arrow-compatible tool.</w:t>
      </w:r>
    </w:p>
    <w:p>
      <w:r>
        <w:rPr>
          <w:b/>
        </w:rPr>
        <w:t>Figure 1.</w:t>
      </w:r>
      <w:commentRangeStart w:id="138"/>
      <w:r>
        <w:rPr/>
        <w:t xml:space="preserve"> The Just-DNA-Lite web interface showing the annotation results view with module selection, variant data grid, and report download options.</w:t>
      </w:r>
      <w:commentRangeEnd w:id="138"/>
      <w:r>
        <w:rPr>
          <w:rStyle w:val="CommentReference"/>
        </w:rPr>
        <w:commentReference w:id="138"/>
      </w:r>
    </w:p>
    <w:p>
      <w:pPr>
        <w:pStyle w:val="Heading2"/>
      </w:pPr>
      <w:r>
        <w:rPr>
          <w:b/>
        </w:rPr>
        <w:t>2.4 Performance Characteristics</w:t>
      </w:r>
    </w:p>
    <w:p>
      <w:commentRangeStart w:id="32"/>
      <w:del w:id="196" w:author="Prose edit" w:date="2026-10-22T10:17:48Z">
        <w:r>
          <w:rPr/>
          <w:delText>Consistent</w:delText>
        </w:r>
      </w:del>
      <w:ins w:id="197" w:author="Prose edit" w:date="2026-10-22T10:17:48Z">
        <w:r>
          <w:rPr/>
          <w:t>Just-DNA-Lite</w:t>
        </w:r>
      </w:ins>
      <w:r>
        <w:rPr/>
        <w:t xml:space="preserve"> </w:t>
      </w:r>
      <w:del w:id="198" w:author="Prose edit" w:date="2026-10-22T10:17:48Z">
        <w:r>
          <w:rPr/>
          <w:delText>with</w:delText>
        </w:r>
      </w:del>
      <w:ins w:id="199" w:author="Prose edit" w:date="2026-10-22T10:17:48Z">
        <w:r>
          <w:rPr/>
          <w:t>aims</w:t>
        </w:r>
      </w:ins>
      <w:r>
        <w:rPr/>
        <w:t xml:space="preserve"> </w:t>
      </w:r>
      <w:del w:id="200" w:author="Prose edit" w:date="2026-10-22T10:17:48Z">
        <w:r>
          <w:rPr/>
          <w:delText>the</w:delText>
        </w:r>
      </w:del>
      <w:ins w:id="201" w:author="Prose edit" w:date="2026-10-22T10:17:48Z">
        <w:r>
          <w:rPr/>
          <w:t>to</w:t>
        </w:r>
      </w:ins>
      <w:r>
        <w:rPr/>
        <w:t xml:space="preserve"> </w:t>
      </w:r>
      <w:del w:id="202" w:author="Prose edit" w:date="2026-10-22T10:17:48Z">
        <w:r>
          <w:rPr/>
          <w:delText>"runs</w:delText>
        </w:r>
      </w:del>
      <w:ins w:id="203" w:author="Prose edit" w:date="2026-10-22T10:17:48Z">
        <w:r>
          <w:rPr/>
          <w:t>run</w:t>
        </w:r>
      </w:ins>
      <w:r>
        <w:rPr/>
        <w:t xml:space="preserve"> on a </w:t>
      </w:r>
      <w:del w:id="204" w:author="Prose edit" w:date="2026-10-22T10:17:48Z">
        <w:r>
          <w:rPr/>
          <w:delText>laptop"</w:delText>
        </w:r>
      </w:del>
      <w:ins w:id="205" w:author="Prose edit" w:date="2026-10-22T10:17:48Z">
        <w:r>
          <w:rPr/>
          <w:t>personal</w:t>
        </w:r>
      </w:ins>
      <w:r>
        <w:rPr/>
        <w:t xml:space="preserve"> </w:t>
      </w:r>
      <w:del w:id="206" w:author="Prose edit" w:date="2026-10-22T10:17:48Z">
        <w:r>
          <w:rPr/>
          <w:delText>principle,</w:delText>
        </w:r>
      </w:del>
      <w:ins w:id="207" w:author="Prose edit" w:date="2026-10-22T10:17:48Z">
        <w:r>
          <w:rPr/>
          <w:t>computer</w:t>
        </w:r>
      </w:ins>
      <w:r>
        <w:rPr/>
        <w:t xml:space="preserve"> </w:t>
      </w:r>
      <w:del w:id="208" w:author="Prose edit" w:date="2026-10-22T10:17:48Z">
        <w:r>
          <w:rPr/>
          <w:delText>Just-DNA-Lite</w:delText>
        </w:r>
      </w:del>
      <w:ins w:id="209" w:author="Prose edit" w:date="2026-10-22T10:17:48Z">
        <w:r>
          <w:rPr/>
          <w:t>and therefore</w:t>
        </w:r>
      </w:ins>
      <w:r>
        <w:rPr/>
        <w:t xml:space="preserve"> prioritizes memory efficiency over raw throughput</w:t>
      </w:r>
      <w:del w:id="210" w:author="Prose edit" w:date="2026-10-22T10:17:48Z">
        <w:r>
          <w:rPr/>
          <w:delText>:</w:delText>
        </w:r>
      </w:del>
      <w:ins w:id="211" w:author="Prose edit" w:date="2026-10-22T10:17:48Z">
        <w:r>
          <w:rPr/>
          <w:t>;</w:t>
        </w:r>
      </w:ins>
      <w:r>
        <w:rPr/>
        <w:t xml:space="preserve"> </w:t>
      </w:r>
      <w:del w:id="212" w:author="Prose edit" w:date="2026-10-22T10:17:48Z">
        <w:r>
          <w:rPr/>
          <w:delText>peak</w:delText>
        </w:r>
      </w:del>
      <w:ins w:id="213" w:author="Prose edit" w:date="2026-10-22T10:17:48Z">
        <w:r>
          <w:rPr/>
          <w:t>on</w:t>
        </w:r>
      </w:ins>
      <w:r>
        <w:rPr/>
        <w:t xml:space="preserve"> </w:t>
      </w:r>
      <w:del w:id="214" w:author="Prose edit" w:date="2026-10-22T10:17:48Z">
        <w:r>
          <w:rPr/>
          <w:delText>RAM</w:delText>
        </w:r>
      </w:del>
      <w:ins w:id="215" w:author="Prose edit" w:date="2026-10-22T10:17:48Z">
        <w:r>
          <w:rPr/>
          <w:t>the</w:t>
        </w:r>
      </w:ins>
      <w:r>
        <w:rPr/>
        <w:t xml:space="preserve"> </w:t>
      </w:r>
      <w:del w:id="216" w:author="Prose edit" w:date="2026-10-22T10:17:48Z">
        <w:r>
          <w:rPr/>
          <w:delText>stays</w:delText>
        </w:r>
      </w:del>
      <w:ins w:id="217" w:author="Prose edit" w:date="2026-10-22T10:17:48Z">
        <w:r>
          <w:rPr/>
          <w:t>benchmark</w:t>
        </w:r>
      </w:ins>
      <w:r>
        <w:rPr/>
        <w:t xml:space="preserve"> </w:t>
      </w:r>
      <w:del w:id="218" w:author="Prose edit" w:date="2026-10-22T10:17:48Z">
        <w:r>
          <w:rPr/>
          <w:delText>low enough for a personal computer</w:delText>
        </w:r>
      </w:del>
      <w:ins w:id="219" w:author="Prose edit" w:date="2026-10-22T10:17:48Z">
        <w:r>
          <w:rPr/>
          <w:t>workstation</w:t>
        </w:r>
      </w:ins>
      <w:r>
        <w:rPr/>
        <w:t>,</w:t>
      </w:r>
      <w:del w:id="220" w:author="Prose edit" w:date="2026-10-22T10:17:48Z">
        <w:r>
          <w:rPr/>
          <w:delText xml:space="preserve"> and</w:delText>
        </w:r>
      </w:del>
      <w:r>
        <w:rPr/>
        <w:t xml:space="preserve"> warm-run annotation of a whole genome </w:t>
      </w:r>
      <w:del w:id="221" w:author="Prose edit" w:date="2026-10-22T10:17:48Z">
        <w:r>
          <w:rPr/>
          <w:delText>completes</w:delText>
        </w:r>
      </w:del>
      <w:ins w:id="222" w:author="Prose edit" w:date="2026-10-22T10:17:48Z">
        <w:r>
          <w:rPr/>
          <w:t>completed</w:t>
        </w:r>
      </w:ins>
      <w:commentRangeEnd w:id="32"/>
      <w:r>
        <w:rPr>
          <w:rStyle w:val="CommentReference"/>
        </w:rPr>
        <w:commentReference w:id="32"/>
      </w:r>
      <w:r>
        <w:rPr/>
        <w:t xml:space="preserve"> in tens of seconds.</w:t>
      </w:r>
      <w:r>
        <w:rPr/>
        <w:t xml:space="preserve"> </w:t>
      </w:r>
      <w:commentRangeStart w:id="33"/>
      <w:del w:id="223" w:author="Deslop" w:date="2026-10-22T10:17:48Z">
        <w:r>
          <w:rPr/>
          <w:delText>Detailed</w:delText>
        </w:r>
      </w:del>
      <w:ins w:id="224" w:author="Deslop" w:date="2026-10-22T10:17:48Z">
        <w:r>
          <w:rPr/>
          <w:t>Section 5.1 presents the detailed</w:t>
        </w:r>
      </w:ins>
      <w:r>
        <w:rPr/>
        <w:t xml:space="preserve"> speed and memory benchmarks</w:t>
      </w:r>
      <w:del w:id="225" w:author="Deslop" w:date="2026-10-22T10:17:48Z">
        <w:r>
          <w:rPr/>
          <w:delText xml:space="preserve"> —</w:delText>
        </w:r>
      </w:del>
      <w:ins w:id="226" w:author="Deslop" w:date="2026-10-22T10:17:48Z">
        <w:r>
          <w:rPr/>
          <w:t>,</w:t>
        </w:r>
      </w:ins>
      <w:r>
        <w:rPr/>
        <w:t xml:space="preserve"> including the comparison against the Generation I OakVar-based system</w:t>
      </w:r>
      <w:del w:id="227" w:author="Deslop" w:date="2026-10-22T10:17:48Z">
        <w:r>
          <w:rPr/>
          <w:delText xml:space="preserve"> — are presented in Section 5.1</w:delText>
        </w:r>
      </w:del>
      <w:commentRangeEnd w:id="33"/>
      <w:r>
        <w:rPr>
          <w:rStyle w:val="CommentReference"/>
        </w:rPr>
        <w:commentReference w:id="33"/>
      </w:r>
      <w:r>
        <w:rPr/>
        <w:t>.</w:t>
      </w:r>
    </w:p>
    <w:p>
      <w:pPr>
        <w:pStyle w:val="Heading1"/>
      </w:pPr>
      <w:r>
        <w:rPr>
          <w:b/>
        </w:rPr>
        <w:t>3.</w:t>
      </w:r>
      <w:r>
        <w:rPr>
          <w:b/>
        </w:rPr>
        <w:t xml:space="preserve"> Annotation Modules and Polygenic Scoring</w:t>
      </w:r>
    </w:p>
    <w:p>
      <w:r>
        <w:rPr/>
        <w:t>Just-DNA-Lite ships with a set of expert-curated annotation modules developed by geneticist Olga Borysova, illustrating the platform's module system across several trait domains.</w:t>
      </w:r>
      <w:r>
        <w:rPr/>
        <w:t xml:space="preserve"> These modules </w:t>
      </w:r>
      <w:commentRangeStart w:id="34"/>
      <w:del w:id="228" w:author="Deslop" w:date="2026-10-22T10:17:48Z">
        <w:r>
          <w:rPr/>
          <w:delText>represent</w:delText>
        </w:r>
      </w:del>
      <w:ins w:id="229" w:author="Deslop" w:date="2026-10-22T10:17:48Z">
        <w:r>
          <w:rPr/>
          <w:t>are</w:t>
        </w:r>
      </w:ins>
      <w:commentRangeEnd w:id="34"/>
      <w:r>
        <w:rPr>
          <w:rStyle w:val="CommentReference"/>
        </w:rPr>
        <w:commentReference w:id="34"/>
      </w:r>
      <w:r>
        <w:rPr/>
        <w:t xml:space="preserve"> the default set; the platform is designed so that users, researchers within the ROGEN consortium, and the broader community can easily add their own modules, either by hand or with AI assistance (Section 4).</w:t>
      </w:r>
      <w:r>
        <w:rPr/>
        <w:t xml:space="preserve"> The modules annotate user variants against published variant-trait association databases; they do not perform clinical interpretation or generate diagnoses.</w:t>
      </w:r>
    </w:p>
    <w:p>
      <w:r>
        <w:rPr/>
        <w:t>These default modules originate in the first generation of the platform, the OakVar-based Just-DNA-Seq (Kulaga et al., 2024).</w:t>
      </w:r>
      <w:r>
        <w:rPr/>
        <w:t xml:space="preserve"> That system was built around longevity and longevity-associated traits, which is why the default set centres on that domain; for the second generation we ported most modules largely unchanged, to serve as worked examples of the no-code module format rather than as a definitive trait catalogue.</w:t>
      </w:r>
    </w:p>
    <w:p>
      <w:r>
        <w:rPr>
          <w:b/>
        </w:rPr>
        <w:t>Table 1.</w:t>
      </w:r>
      <w:commentRangeStart w:id="130"/>
      <w:r>
        <w:rPr/>
        <w:t xml:space="preserve"> Default annotation modules shipped with Just-DNA-Lite.</w:t>
      </w:r>
      <w:commentRangeEnd w:id="130"/>
      <w:r>
        <w:rPr>
          <w:rStyle w:val="CommentReference"/>
        </w:rPr>
        <w:commentReference w:id="130"/>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Description</w:t>
            </w:r>
          </w:p>
        </w:tc>
        <w:tc>
          <w:tcPr>
            <w:tcW w:type="dxa" w:w="2880"/>
          </w:tcPr>
          <w:p>
            <w:r>
              <w:rPr>
                <w:b/>
              </w:rPr>
              <w:t>Curator</w:t>
            </w:r>
          </w:p>
        </w:tc>
      </w:tr>
      <w:tr>
        <w:tc>
          <w:tcPr>
            <w:tcW w:type="dxa" w:w="2880"/>
          </w:tcPr>
          <w:p>
            <w:r>
              <w:rPr/>
              <w:t>Longevity Map</w:t>
            </w:r>
          </w:p>
        </w:tc>
        <w:tc>
          <w:tcPr>
            <w:tcW w:type="dxa" w:w="2880"/>
          </w:tcPr>
          <w:p>
            <w:r>
              <w:rPr/>
              <w:t>Variant-trait associations from the LongevityMap database</w:t>
            </w:r>
          </w:p>
        </w:tc>
        <w:tc>
          <w:tcPr>
            <w:tcW w:type="dxa" w:w="2880"/>
          </w:tcPr>
          <w:p>
            <w:r>
              <w:rPr/>
              <w:t>Expert (Olga Borysova)</w:t>
            </w:r>
          </w:p>
        </w:tc>
      </w:tr>
      <w:tr>
        <w:tc>
          <w:tcPr>
            <w:tcW w:type="dxa" w:w="2880"/>
          </w:tcPr>
          <w:p>
            <w:r>
              <w:rPr/>
              <w:t>Coronary Artery Disease</w:t>
            </w:r>
          </w:p>
        </w:tc>
        <w:tc>
          <w:tcPr>
            <w:tcW w:type="dxa" w:w="2880"/>
          </w:tcPr>
          <w:p>
            <w:r>
              <w:rPr/>
              <w:t>Variants associated with cardiovascular traits from GWAS literature</w:t>
            </w:r>
          </w:p>
        </w:tc>
        <w:tc>
          <w:tcPr>
            <w:tcW w:type="dxa" w:w="2880"/>
          </w:tcPr>
          <w:p>
            <w:r>
              <w:rPr/>
              <w:t>Expert</w:t>
            </w:r>
          </w:p>
        </w:tc>
      </w:tr>
      <w:tr>
        <w:tc>
          <w:tcPr>
            <w:tcW w:type="dxa" w:w="2880"/>
          </w:tcPr>
          <w:p>
            <w:r>
              <w:rPr/>
              <w:t>Lipid Metabolism</w:t>
            </w:r>
          </w:p>
        </w:tc>
        <w:tc>
          <w:tcPr>
            <w:tcW w:type="dxa" w:w="2880"/>
          </w:tcPr>
          <w:p>
            <w:r>
              <w:rPr/>
              <w:t>Variants associated with lipid metabolism traits</w:t>
            </w:r>
          </w:p>
        </w:tc>
        <w:tc>
          <w:tcPr>
            <w:tcW w:type="dxa" w:w="2880"/>
          </w:tcPr>
          <w:p>
            <w:r>
              <w:rPr/>
              <w:t>Expert</w:t>
            </w:r>
          </w:p>
        </w:tc>
      </w:tr>
      <w:tr>
        <w:tc>
          <w:tcPr>
            <w:tcW w:type="dxa" w:w="2880"/>
          </w:tcPr>
          <w:p>
            <w:r>
              <w:rPr/>
              <w:t>VO2 Max</w:t>
            </w:r>
          </w:p>
        </w:tc>
        <w:tc>
          <w:tcPr>
            <w:tcW w:type="dxa" w:w="2880"/>
          </w:tcPr>
          <w:p>
            <w:r>
              <w:rPr/>
              <w:t>Variants associated with oxygen uptake capacity from exercise genomics literature</w:t>
            </w:r>
          </w:p>
        </w:tc>
        <w:tc>
          <w:tcPr>
            <w:tcW w:type="dxa" w:w="2880"/>
          </w:tcPr>
          <w:p>
            <w:r>
              <w:rPr/>
              <w:t>Expert</w:t>
            </w:r>
          </w:p>
        </w:tc>
      </w:tr>
      <w:tr>
        <w:tc>
          <w:tcPr>
            <w:tcW w:type="dxa" w:w="2880"/>
          </w:tcPr>
          <w:p>
            <w:r>
              <w:rPr/>
              <w:t>Superhuman / Athletic Performance</w:t>
            </w:r>
          </w:p>
        </w:tc>
        <w:tc>
          <w:tcPr>
            <w:tcW w:type="dxa" w:w="2880"/>
          </w:tcPr>
          <w:p>
            <w:r>
              <w:rPr/>
              <w:t>Variants associated with elite athletic performance traits</w:t>
            </w:r>
          </w:p>
        </w:tc>
        <w:tc>
          <w:tcPr>
            <w:tcW w:type="dxa" w:w="2880"/>
          </w:tcPr>
          <w:p>
            <w:r>
              <w:rPr/>
              <w:t>Expert</w:t>
            </w:r>
          </w:p>
        </w:tc>
      </w:tr>
      <w:tr>
        <w:tc>
          <w:tcPr>
            <w:tcW w:type="dxa" w:w="2880"/>
          </w:tcPr>
          <w:p>
            <w:r>
              <w:rPr/>
              <w:t>Longevity Variants 2026</w:t>
            </w:r>
          </w:p>
        </w:tc>
        <w:tc>
          <w:tcPr>
            <w:tcW w:type="dxa" w:w="2880"/>
          </w:tcPr>
          <w:p>
            <w:r>
              <w:rPr/>
              <w:t>Variants from recent familial longevity and multimorbidity GWAS studies</w:t>
            </w:r>
          </w:p>
        </w:tc>
        <w:tc>
          <w:tcPr>
            <w:tcW w:type="dxa" w:w="2880"/>
          </w:tcPr>
          <w:p>
            <w:r>
              <w:rPr/>
              <w:t>AI-generated</w:t>
            </w:r>
          </w:p>
        </w:tc>
      </w:tr>
    </w:tbl>
    <w:p>
      <w:pPr>
        <w:pStyle w:val="Heading2"/>
      </w:pPr>
      <w:r>
        <w:rPr>
          <w:b/>
        </w:rPr>
        <w:t xml:space="preserve">3.1 Longevity </w:t>
      </w:r>
      <w:commentRangeStart w:id="35"/>
      <w:del w:id="230" w:author="Story" w:date="2026-10-22T10:17:48Z">
        <w:r>
          <w:rPr>
            <w:b/>
          </w:rPr>
          <w:delText>Variants</w:delText>
        </w:r>
      </w:del>
      <w:ins w:id="231" w:author="Story" w:date="2026-10-22T10:17:48Z">
        <w:r>
          <w:rPr>
            <w:b/>
          </w:rPr>
          <w:t>Map</w:t>
        </w:r>
      </w:ins>
      <w:r>
        <w:rPr>
          <w:b/>
        </w:rPr>
        <w:t xml:space="preserve"> Module (example)</w:t>
      </w:r>
    </w:p>
    <w:p>
      <w:r>
        <w:rPr/>
        <w:t xml:space="preserve">The Longevity </w:t>
      </w:r>
      <w:del w:id="232" w:author="Story" w:date="2026-10-22T10:17:48Z">
        <w:r>
          <w:rPr/>
          <w:delText>Variants</w:delText>
        </w:r>
      </w:del>
      <w:ins w:id="233" w:author="Story" w:date="2026-10-22T10:17:48Z">
        <w:r>
          <w:rPr/>
          <w:t>Map</w:t>
        </w:r>
      </w:ins>
      <w:r>
        <w:rPr/>
        <w:t xml:space="preserve"> module</w:t>
      </w:r>
      <w:ins w:id="234" w:author="Story" w:date="2026-10-22T10:17:48Z">
        <w:r>
          <w:rPr/>
          <w:t xml:space="preserve"> (Table 1), whose report is titled Longevity Variants,</w:t>
        </w:r>
      </w:ins>
      <w:commentRangeEnd w:id="35"/>
      <w:r>
        <w:rPr>
          <w:rStyle w:val="CommentReference"/>
        </w:rPr>
        <w:commentReference w:id="35"/>
      </w:r>
      <w:r>
        <w:rPr/>
        <w:t xml:space="preserve"> illustrates how existing variant-trait association databases can be wrapped into the platform's no-code module format.</w:t>
      </w:r>
      <w:commentRangeStart w:id="187"/>
      <w:r>
        <w:rPr/>
        <w:t xml:space="preserve"> It builds upon the LongevityMap database (Tacutu et al., 2017), which </w:t>
      </w:r>
      <w:commentRangeStart w:id="36"/>
      <w:del w:id="235" w:author="Prose edit" w:date="2026-10-22T10:17:48Z">
        <w:r>
          <w:rPr/>
          <w:delText>contains</w:delText>
        </w:r>
      </w:del>
      <w:ins w:id="236" w:author="Prose edit" w:date="2026-10-22T10:17:48Z">
        <w:r>
          <w:rPr/>
          <w:t>in Build 3 (June 2017) lists</w:t>
        </w:r>
      </w:ins>
      <w:r>
        <w:rPr/>
        <w:t xml:space="preserve"> 3,144 </w:t>
      </w:r>
      <w:del w:id="237" w:author="Prose edit" w:date="2026-10-22T10:17:48Z">
        <w:r>
          <w:rPr/>
          <w:delText>variant-trait associations</w:delText>
        </w:r>
      </w:del>
      <w:ins w:id="238" w:author="Prose edit" w:date="2026-10-22T10:17:48Z">
        <w:r>
          <w:rPr/>
          <w:t>variants</w:t>
        </w:r>
      </w:ins>
      <w:r>
        <w:rPr/>
        <w:t xml:space="preserve"> in 884 genes</w:t>
      </w:r>
      <w:commentRangeEnd w:id="187"/>
      <w:r>
        <w:rPr>
          <w:rStyle w:val="CommentReference"/>
        </w:rPr>
        <w:commentReference w:id="187"/>
      </w:r>
      <w:ins w:id="239" w:author="Prose edit" w:date="2026-10-22T10:17:48Z">
        <w:r>
          <w:rPr/>
          <w:t xml:space="preserve"> from 550 study entries, 275 of them reporting a significant association</w:t>
        </w:r>
      </w:ins>
      <w:commentRangeEnd w:id="36"/>
      <w:r>
        <w:rPr>
          <w:rStyle w:val="CommentReference"/>
        </w:rPr>
        <w:commentReference w:id="36"/>
      </w:r>
      <w:r>
        <w:rPr/>
        <w:t>.</w:t>
      </w:r>
      <w:commentRangeStart w:id="189"/>
      <w:r>
        <w:rPr/>
        <w:t xml:space="preserve"> Our contribution here is not re-annotation or re-validation of these variants, but (1) </w:t>
      </w:r>
      <w:commentRangeStart w:id="37"/>
      <w:commentRangeStart w:id="38"/>
      <w:ins w:id="240" w:author="Prose edit" w:date="2026-10-22T10:17:48Z">
        <w:r>
          <w:rPr/>
          <w:t xml:space="preserve">the </w:t>
        </w:r>
      </w:ins>
      <w:r>
        <w:rPr/>
        <w:t xml:space="preserve">curation and expansion </w:t>
      </w:r>
      <w:ins w:id="241" w:author="Prose edit" w:date="2026-10-22T10:17:48Z">
        <w:r>
          <w:rPr/>
          <w:t xml:space="preserve">published </w:t>
        </w:r>
      </w:ins>
      <w:r>
        <w:rPr/>
        <w:t xml:space="preserve">with </w:t>
      </w:r>
      <w:del w:id="242" w:author="Prose edit" w:date="2026-10-22T10:17:48Z">
        <w:r>
          <w:rPr/>
          <w:delText>post-2017</w:delText>
        </w:r>
      </w:del>
      <w:ins w:id="243" w:author="Prose edit" w:date="2026-10-22T10:17:48Z">
        <w:r>
          <w:rPr/>
          <w:t>Generation</w:t>
        </w:r>
      </w:ins>
      <w:r>
        <w:rPr/>
        <w:t xml:space="preserve"> </w:t>
      </w:r>
      <w:del w:id="244" w:author="Prose edit" w:date="2026-10-22T10:17:48Z">
        <w:r>
          <w:rPr/>
          <w:delText>literature</w:delText>
        </w:r>
      </w:del>
      <w:ins w:id="245" w:author="Prose edit" w:date="2026-10-22T10:17:48Z">
        <w:r>
          <w:rPr/>
          <w:t>I (Kulaga et al.</w:t>
        </w:r>
      </w:ins>
      <w:r>
        <w:rPr/>
        <w:t xml:space="preserve">, </w:t>
      </w:r>
      <w:del w:id="246" w:author="Prose edit" w:date="2026-10-22T10:17:48Z">
        <w:r>
          <w:rPr/>
          <w:delText>adding</w:delText>
        </w:r>
      </w:del>
      <w:ins w:id="247" w:author="Prose edit" w:date="2026-10-22T10:17:48Z">
        <w:r>
          <w:rPr/>
          <w:t>2024), which drew on meta-analyses published after 2017, added</w:t>
        </w:r>
      </w:ins>
      <w:r>
        <w:rPr/>
        <w:t xml:space="preserve"> 50 new entries and </w:t>
      </w:r>
      <w:del w:id="248" w:author="Prose edit" w:date="2026-10-22T10:17:48Z">
        <w:r>
          <w:rPr/>
          <w:delText>editing</w:delText>
        </w:r>
      </w:del>
      <w:ins w:id="249" w:author="Prose edit" w:date="2026-10-22T10:17:48Z">
        <w:r>
          <w:rPr/>
          <w:t>edited</w:t>
        </w:r>
      </w:ins>
      <w:commentRangeEnd w:id="38"/>
      <w:r>
        <w:rPr>
          <w:rStyle w:val="CommentReference"/>
        </w:rPr>
        <w:commentReference w:id="38"/>
      </w:r>
      <w:commentRangeEnd w:id="37"/>
      <w:r>
        <w:rPr>
          <w:rStyle w:val="CommentReference"/>
        </w:rPr>
        <w:commentReference w:id="37"/>
      </w:r>
      <w:r>
        <w:rPr/>
        <w:t xml:space="preserve"> 876 existing records; (2) assignment of weighted scores based on study quality, replication across populations, and statistical significance; and (3) pathway-based categorization for structured browsing.</w:t>
      </w:r>
      <w:commentRangeEnd w:id="189"/>
      <w:r>
        <w:rPr>
          <w:rStyle w:val="CommentReference"/>
        </w:rPr>
        <w:commentReference w:id="189"/>
      </w:r>
    </w:p>
    <w:p>
      <w:r>
        <w:rPr/>
        <w:t>The module's weighting scheme assigns two independent weight components whose product yields the displayed score.</w:t>
      </w:r>
      <w:r>
        <w:rPr/>
        <w:t xml:space="preserve"> The </w:t>
      </w:r>
      <w:commentRangeStart w:id="39"/>
      <w:ins w:id="250" w:author="Journal adaptation" w:date="2026-10-22T10:17:48Z">
        <w:r>
          <w:rPr/>
          <w:t>single-nucleotide polymorphism (</w:t>
        </w:r>
      </w:ins>
      <w:r>
        <w:rPr/>
        <w:t>SNP</w:t>
      </w:r>
      <w:ins w:id="251" w:author="Journal adaptation" w:date="2026-10-22T10:17:48Z">
        <w:r>
          <w:rPr/>
          <w:t>)</w:t>
        </w:r>
      </w:ins>
      <w:commentRangeEnd w:id="39"/>
      <w:r>
        <w:rPr>
          <w:rStyle w:val="CommentReference"/>
        </w:rPr>
        <w:commentReference w:id="39"/>
      </w:r>
      <w:r>
        <w:rPr/>
        <w:t xml:space="preserve"> weight (</w:t>
      </w:r>
      <w:r>
        <w:rPr>
          <w:i/>
        </w:rPr>
        <w:t>w</w:t>
      </w:r>
      <w:commentRangeStart w:id="169"/>
      <w:r>
        <w:rPr/>
        <w:t>_SNP) is an integrative parameter reflecting the strength of statistical evidence for a variant-trait association (number of independent significant studies, reported p-values, number of replicating populations).</w:t>
      </w:r>
      <w:commentRangeEnd w:id="169"/>
      <w:r>
        <w:rPr>
          <w:rStyle w:val="CommentReference"/>
        </w:rPr>
        <w:commentReference w:id="169"/>
      </w:r>
      <w:r>
        <w:rPr/>
        <w:t xml:space="preserve"> The genotype weight (</w:t>
      </w:r>
      <w:r>
        <w:rPr>
          <w:i/>
        </w:rPr>
        <w:t>w</w:t>
      </w:r>
      <w:r>
        <w:rPr/>
        <w:t>_genotype) captures the direction and magnitude of the reported association for a specific genotype: 0 for the reference genotype, ±0.5 or ±1.0 for heterozygous or homozygous carriers of the positively or negatively associated allele.</w:t>
      </w:r>
      <w:r>
        <w:rPr/>
        <w:t xml:space="preserve"> The displayed score is </w:t>
      </w:r>
      <w:r>
        <w:rPr>
          <w:i/>
        </w:rPr>
        <w:t>W</w:t>
      </w:r>
      <w:r>
        <w:rPr/>
        <w:t xml:space="preserve">_display = </w:t>
      </w:r>
      <w:r>
        <w:rPr>
          <w:i/>
        </w:rPr>
        <w:t>w</w:t>
      </w:r>
      <w:r>
        <w:rPr/>
        <w:t xml:space="preserve">_SNP × </w:t>
      </w:r>
      <w:r>
        <w:rPr>
          <w:i/>
        </w:rPr>
        <w:t>w</w:t>
      </w:r>
      <w:r>
        <w:rPr/>
        <w:t>_genotype.</w:t>
      </w:r>
      <w:r>
        <w:rPr/>
        <w:t xml:space="preserve"> For structured browsing, variants are grouped into 12 functional pathway categories (lipid transfer, insulin/IGF-1 signalling, antioxidant defence, mitochondrial function, sirtuins, mTOR, tumour suppressors, renin-angiotensin system, heat-shock proteins, inflammation, genome maintenance, and other pathways).</w:t>
      </w:r>
      <w:r>
        <w:rPr/>
        <w:t xml:space="preserve"> </w:t>
      </w:r>
      <w:commentRangeStart w:id="40"/>
      <w:commentRangeStart w:id="117"/>
      <w:del w:id="252" w:author="Deslop" w:date="2026-10-22T10:17:48Z">
        <w:r>
          <w:rPr/>
          <w:delText>This categorization demonstrates how the module format supports structured presentation of variant annotations without requiring code.</w:delText>
        </w:r>
      </w:del>
      <w:commentRangeEnd w:id="117"/>
      <w:r>
        <w:rPr>
          <w:rStyle w:val="CommentReference"/>
        </w:rPr>
        <w:commentReference w:id="117"/>
      </w:r>
      <w:commentRangeEnd w:id="40"/>
      <w:r>
        <w:rPr>
          <w:rStyle w:val="CommentReference"/>
        </w:rPr>
        <w:commentReference w:id="40"/>
      </w:r>
    </w:p>
    <w:p>
      <w:r>
        <w:rPr>
          <w:b/>
        </w:rPr>
        <w:t>Figure 2.</w:t>
      </w:r>
      <w:r>
        <w:rPr/>
        <w:t xml:space="preserve"> Just-DNA-Lite UI: the Longevity Variants report, showing pathway categorization, the per-variant SNP table, and colour-coded weights.</w:t>
      </w:r>
    </w:p>
    <w:p>
      <w:pPr>
        <w:pStyle w:val="Heading2"/>
      </w:pPr>
      <w:r>
        <w:rPr>
          <w:b/>
        </w:rPr>
        <w:t>3.2 Polygenic Risk Scores</w:t>
      </w:r>
    </w:p>
    <w:p>
      <w:commentRangeStart w:id="188"/>
      <w:r>
        <w:rPr/>
        <w:t xml:space="preserve">Polygenic risk scores (PRS) aggregate the effects of many </w:t>
      </w:r>
      <w:commentRangeStart w:id="41"/>
      <w:del w:id="253" w:author="Prose edit" w:date="2026-10-22T10:17:48Z">
        <w:r>
          <w:rPr/>
          <w:delText>common</w:delText>
        </w:r>
      </w:del>
      <w:ins w:id="254" w:author="Prose edit" w:date="2026-10-22T10:17:48Z">
        <w:r>
          <w:rPr/>
          <w:t>genetic</w:t>
        </w:r>
      </w:ins>
      <w:r>
        <w:rPr/>
        <w:t xml:space="preserve"> variants into a single weighted sum</w:t>
      </w:r>
      <w:del w:id="255" w:author="Prose edit" w:date="2026-10-22T10:17:48Z">
        <w:r>
          <w:rPr/>
          <w:delText>, providing a population-relative measure for a given trait</w:delText>
        </w:r>
      </w:del>
      <w:r>
        <w:rPr/>
        <w:t xml:space="preserve"> (Lambert et al., 2021)</w:t>
      </w:r>
      <w:ins w:id="256" w:author="Prose edit" w:date="2026-10-22T10:17:48Z">
        <w:r>
          <w:rPr/>
          <w:t>; comparing that sum with a reference population's distribution places an individual within it</w:t>
        </w:r>
      </w:ins>
      <w:commentRangeEnd w:id="41"/>
      <w:r>
        <w:rPr>
          <w:rStyle w:val="CommentReference"/>
        </w:rPr>
        <w:commentReference w:id="41"/>
      </w:r>
      <w:r>
        <w:rPr/>
        <w:t>.</w:t>
      </w:r>
      <w:commentRangeEnd w:id="188"/>
      <w:r>
        <w:rPr>
          <w:rStyle w:val="CommentReference"/>
        </w:rPr>
        <w:commentReference w:id="188"/>
      </w:r>
      <w:r>
        <w:rPr/>
        <w:t xml:space="preserve"> We developed the just-prs library (github.com/dna-seq/just-prs) as the PRS computation engine for Just-DNA-Lite.</w:t>
      </w:r>
      <w:commentRangeStart w:id="122"/>
      <w:r>
        <w:rPr/>
        <w:t xml:space="preserve"> Although it powers PRS inside the platform, just-prs is a self-contained, separable component: it can equally be used on its own as a Python library, a command-line tool, an MCP server and agent skill (Section 3.2.1), or as a lightweight standalone PRS web application.</w:t>
      </w:r>
      <w:commentRangeEnd w:id="122"/>
      <w:r>
        <w:rPr>
          <w:rStyle w:val="CommentReference"/>
        </w:rPr>
        <w:commentReference w:id="122"/>
      </w:r>
      <w:commentRangeStart w:id="191"/>
      <w:r>
        <w:rPr/>
        <w:t xml:space="preserve"> just-prs provides access to all 5,000+ scoring files in the PGS Catalog.</w:t>
      </w:r>
      <w:commentRangeEnd w:id="191"/>
      <w:r>
        <w:rPr>
          <w:rStyle w:val="CommentReference"/>
        </w:rPr>
        <w:commentReference w:id="191"/>
      </w:r>
    </w:p>
    <w:p>
      <w:commentRangeStart w:id="167"/>
      <w:r>
        <w:rPr/>
        <w:t>Unlike the Generation I approach, which used Monte Carlo sampling to estimate percentile distributions, just-prs uses precomputed percentile distributions derived from the 1000 Genomes Project phase 3 dataset, against five superpopulations (AFR, AMR, EAS, EUR, SAS).</w:t>
      </w:r>
      <w:commentRangeEnd w:id="167"/>
      <w:r>
        <w:rPr>
          <w:rStyle w:val="CommentReference"/>
        </w:rPr>
        <w:commentReference w:id="167"/>
      </w:r>
      <w:r>
        <w:rPr/>
        <w:t xml:space="preserve"> </w:t>
      </w:r>
      <w:commentRangeStart w:id="42"/>
      <w:del w:id="257" w:author="Prose edit" w:date="2026-10-22T10:17:48Z">
        <w:r>
          <w:rPr/>
          <w:delText>Users</w:delText>
        </w:r>
      </w:del>
      <w:ins w:id="258" w:author="Prose edit" w:date="2026-10-22T10:17:48Z">
        <w:r>
          <w:rPr/>
          <w:t>The</w:t>
        </w:r>
      </w:ins>
      <w:r>
        <w:rPr/>
        <w:t xml:space="preserve"> </w:t>
      </w:r>
      <w:del w:id="259" w:author="Prose edit" w:date="2026-10-22T10:17:48Z">
        <w:r>
          <w:rPr/>
          <w:delText>select</w:delText>
        </w:r>
      </w:del>
      <w:ins w:id="260" w:author="Prose edit" w:date="2026-10-22T10:17:48Z">
        <w:r>
          <w:rPr/>
          <w:t>web interface infers the closest superpopulation when a VCF is loaded and preselects it as</w:t>
        </w:r>
      </w:ins>
      <w:r>
        <w:rPr/>
        <w:t xml:space="preserve"> the reference population</w:t>
      </w:r>
      <w:del w:id="261" w:author="Prose edit" w:date="2026-10-22T10:17:48Z">
        <w:r>
          <w:rPr/>
          <w:delText xml:space="preserve"> closest to their ancestry</w:delText>
        </w:r>
      </w:del>
      <w:r>
        <w:rPr/>
        <w:t xml:space="preserve">, </w:t>
      </w:r>
      <w:del w:id="262" w:author="Prose edit" w:date="2026-10-22T10:17:48Z">
        <w:r>
          <w:rPr/>
          <w:delText>and</w:delText>
        </w:r>
      </w:del>
      <w:ins w:id="263" w:author="Prose edit" w:date="2026-10-22T10:17:48Z">
        <w:r>
          <w:rPr/>
          <w:t>which users can change;</w:t>
        </w:r>
      </w:ins>
      <w:r>
        <w:rPr/>
        <w:t xml:space="preserve"> the percentile reflects their position within that distribution</w:t>
      </w:r>
      <w:ins w:id="264" w:author="Prose edit" w:date="2026-10-22T10:17:48Z">
        <w:r>
          <w:rPr/>
          <w:t xml:space="preserve"> (Section 6.4)</w:t>
        </w:r>
      </w:ins>
      <w:commentRangeEnd w:id="42"/>
      <w:r>
        <w:rPr>
          <w:rStyle w:val="CommentReference"/>
        </w:rPr>
        <w:commentReference w:id="42"/>
      </w:r>
      <w:r>
        <w:rPr/>
        <w:t>.</w:t>
      </w:r>
    </w:p>
    <w:p>
      <w:commentRangeStart w:id="115"/>
      <w:r>
        <w:rPr/>
        <w:t xml:space="preserve">just-prs provides two scoring engines: </w:t>
      </w:r>
      <w:r>
        <w:rPr>
          <w:b/>
        </w:rPr>
        <w:t>DuckDB</w:t>
      </w:r>
      <w:r>
        <w:rPr/>
        <w:t xml:space="preserve"> (SQL-based, out-of-core scoring) and </w:t>
      </w:r>
      <w:commentRangeEnd w:id="115"/>
      <w:r>
        <w:rPr>
          <w:rStyle w:val="CommentReference"/>
        </w:rPr>
        <w:commentReference w:id="115"/>
      </w:r>
      <w:r>
        <w:rPr>
          <w:b/>
        </w:rPr>
        <w:t>Polars</w:t>
      </w:r>
      <w:r>
        <w:rPr/>
        <w:t xml:space="preserve"> (LazyFrame joins).</w:t>
      </w:r>
      <w:commentRangeStart w:id="146"/>
      <w:r>
        <w:rPr/>
        <w:t xml:space="preserve"> PLINK2 is </w:t>
      </w:r>
      <w:commentRangeStart w:id="43"/>
      <w:del w:id="265" w:author="Prose edit" w:date="2026-10-22T10:17:48Z">
        <w:r>
          <w:rPr/>
          <w:delText>used</w:delText>
        </w:r>
      </w:del>
      <w:ins w:id="266" w:author="Prose edit" w:date="2026-10-22T10:17:48Z">
        <w:r>
          <w:rPr/>
          <w:t>not</w:t>
        </w:r>
      </w:ins>
      <w:r>
        <w:rPr/>
        <w:t xml:space="preserve"> </w:t>
      </w:r>
      <w:del w:id="267" w:author="Prose edit" w:date="2026-10-22T10:17:48Z">
        <w:r>
          <w:rPr/>
          <w:delText>only</w:delText>
        </w:r>
      </w:del>
      <w:ins w:id="268" w:author="Prose edit" w:date="2026-10-22T10:17:48Z">
        <w:r>
          <w:rPr/>
          <w:t>a just-prs scoring engine; it served</w:t>
        </w:r>
      </w:ins>
      <w:r>
        <w:rPr/>
        <w:t xml:space="preserve"> as </w:t>
      </w:r>
      <w:del w:id="269" w:author="Prose edit" w:date="2026-10-22T10:17:48Z">
        <w:r>
          <w:rPr/>
          <w:delText>an</w:delText>
        </w:r>
      </w:del>
      <w:ins w:id="270" w:author="Prose edit" w:date="2026-10-22T10:17:48Z">
        <w:r>
          <w:rPr/>
          <w:t>the</w:t>
        </w:r>
      </w:ins>
      <w:r>
        <w:rPr/>
        <w:t xml:space="preserve"> external benchmark comparator to assess agreement with an established tool</w:t>
      </w:r>
      <w:commentRangeEnd w:id="146"/>
      <w:r>
        <w:rPr>
          <w:rStyle w:val="CommentReference"/>
        </w:rPr>
        <w:commentReference w:id="146"/>
      </w:r>
      <w:del w:id="271" w:author="Prose edit" w:date="2026-10-22T10:17:48Z">
        <w:r>
          <w:rPr/>
          <w:delText>;</w:delText>
        </w:r>
      </w:del>
      <w:ins w:id="272" w:author="Prose edit" w:date="2026-10-22T10:17:48Z">
        <w:r>
          <w:rPr/>
          <w:t>,</w:t>
        </w:r>
      </w:ins>
      <w:r>
        <w:rPr/>
        <w:t xml:space="preserve"> </w:t>
      </w:r>
      <w:del w:id="273" w:author="Prose edit" w:date="2026-10-22T10:17:48Z">
        <w:r>
          <w:rPr/>
          <w:delText>it is not provided as a</w:delText>
        </w:r>
      </w:del>
      <w:ins w:id="274" w:author="Prose edit" w:date="2026-10-22T10:17:48Z">
        <w:r>
          <w:rPr/>
          <w:t>and</w:t>
        </w:r>
      </w:ins>
      <w:r>
        <w:rPr/>
        <w:t xml:space="preserve"> just-prs </w:t>
      </w:r>
      <w:del w:id="275" w:author="Prose edit" w:date="2026-10-22T10:17:48Z">
        <w:r>
          <w:rPr/>
          <w:delText>scoring</w:delText>
        </w:r>
      </w:del>
      <w:ins w:id="276" w:author="Prose edit" w:date="2026-10-22T10:17:48Z">
        <w:r>
          <w:rPr/>
          <w:t>also</w:t>
        </w:r>
      </w:ins>
      <w:r>
        <w:rPr/>
        <w:t xml:space="preserve"> </w:t>
      </w:r>
      <w:del w:id="277" w:author="Prose edit" w:date="2026-10-22T10:17:48Z">
        <w:r>
          <w:rPr/>
          <w:delText>engine</w:delText>
        </w:r>
      </w:del>
      <w:ins w:id="278" w:author="Prose edit" w:date="2026-10-22T10:17:48Z">
        <w:r>
          <w:rPr/>
          <w:t>uses a PLINK2 binary for linkage-disequilibrium pruning when it builds its reference models</w:t>
        </w:r>
      </w:ins>
      <w:commentRangeEnd w:id="43"/>
      <w:r>
        <w:rPr>
          <w:rStyle w:val="CommentReference"/>
        </w:rPr>
        <w:commentReference w:id="43"/>
      </w:r>
      <w:r>
        <w:rPr/>
        <w:t>.</w:t>
      </w:r>
      <w:r>
        <w:rPr/>
        <w:t xml:space="preserve"> Section 5.2 reports runtime and numerical agreement.</w:t>
      </w:r>
      <w:commentRangeStart w:id="129"/>
      <w:r>
        <w:rPr/>
        <w:t xml:space="preserve"> In the web interface, users browse the PGS Catalog in a searchable grid, select scores, and click "Compute"; results show the score sum, matched-variant count, and percentile within the selected superpopulation.</w:t>
      </w:r>
      <w:commentRangeEnd w:id="129"/>
      <w:r>
        <w:rPr>
          <w:rStyle w:val="CommentReference"/>
        </w:rPr>
        <w:commentReference w:id="129"/>
      </w:r>
    </w:p>
    <w:p>
      <w:r>
        <w:rPr/>
        <w:t>For variant-only whole-genome VCFs, just-prs offers optional reference-homozygote restoration.</w:t>
      </w:r>
      <w:r>
        <w:rPr/>
        <w:t xml:space="preserve"> A reference-allele dataset resolves otherwise unscorable absent loci, allowing them to contribute as homozygous reference when the user selects this mode.</w:t>
      </w:r>
      <w:r>
        <w:rPr/>
        <w:t xml:space="preserve"> This can increase scoring-file coverage for many scores, under the assumption that the absent loci were callable and homozygous reference.</w:t>
      </w:r>
      <w:commentRangeStart w:id="131"/>
      <w:r>
        <w:rPr/>
        <w:t xml:space="preserve"> Restoration is off by default</w:t>
      </w:r>
      <w:commentRangeStart w:id="44"/>
      <w:commentRangeStart w:id="45"/>
      <w:ins w:id="279" w:author="Prose edit" w:date="2026-10-22T10:17:48Z">
        <w:r>
          <w:rPr/>
          <w:t xml:space="preserve"> in the just-prs library but on by default for whole-genome samples in the Just-DNA-Lite web interface</w:t>
        </w:r>
      </w:ins>
      <w:commentRangeEnd w:id="45"/>
      <w:r>
        <w:rPr>
          <w:rStyle w:val="CommentReference"/>
        </w:rPr>
        <w:commentReference w:id="45"/>
      </w:r>
      <w:commentRangeEnd w:id="44"/>
      <w:r>
        <w:rPr>
          <w:rStyle w:val="CommentReference"/>
        </w:rPr>
        <w:commentReference w:id="44"/>
      </w:r>
      <w:r>
        <w:rPr/>
        <w:t>; it is not applied to gVCF inputs, and array restoration is restricted to eligible chip positions with matching reference data.</w:t>
      </w:r>
      <w:commentRangeEnd w:id="131"/>
      <w:r>
        <w:rPr>
          <w:rStyle w:val="CommentReference"/>
        </w:rPr>
        <w:commentReference w:id="131"/>
      </w:r>
    </w:p>
    <w:p>
      <w:r>
        <w:rPr/>
        <w:t xml:space="preserve">The consumer-array workflow </w:t>
      </w:r>
      <w:commentRangeStart w:id="46"/>
      <w:ins w:id="280" w:author="Prose edit" w:date="2026-10-22T10:17:48Z">
        <w:r>
          <w:rPr/>
          <w:t xml:space="preserve">of the standalone just-prs library, which the Just-DNA-Lite upload does not yet offer, </w:t>
        </w:r>
      </w:ins>
      <w:commentRangeEnd w:id="46"/>
      <w:r>
        <w:rPr>
          <w:rStyle w:val="CommentReference"/>
        </w:rPr>
        <w:commentReference w:id="46"/>
      </w:r>
      <w:r>
        <w:rPr/>
        <w:t>accepts formats such as 23andMe and AncestryDNA and uses precomputed linkage disequilibrium (LD) proxy tables to estimate untyped scoring variants from typed proxies where suitable tables are available.</w:t>
      </w:r>
      <w:r>
        <w:rPr/>
        <w:t xml:space="preserve"> LD-based estimation and reference-homozygote restoration address different sources of missingness: the former uses correlations between loci, while the latter assigns reference genotypes to eligible absent loci.</w:t>
      </w:r>
      <w:r>
        <w:rPr/>
        <w:t xml:space="preserve"> Coverage and the assumptions used to recover missing information remain part of the result's interpretation.</w:t>
      </w:r>
    </w:p>
    <w:p>
      <w:r>
        <w:rPr>
          <w:b/>
        </w:rPr>
        <w:t>Figure 3.</w:t>
      </w:r>
      <w:r>
        <w:rPr>
          <w:b/>
        </w:rPr>
        <w:t xml:space="preserve"> PRS results in Just-DNA-Lite (just-prs trait view).</w:t>
      </w:r>
      <w:r>
        <w:rPr/>
        <w:t xml:space="preserve"> For a selected trait, all associated PGS Catalog models are computed and shown together as a consensus distribution with the user's percentile against a 1000 Genomes reference population, alongside per-model variant match rates and quality tiers.</w:t>
      </w:r>
      <w:commentRangeStart w:id="107"/>
      <w:r>
        <w:rPr/>
        <w:t xml:space="preserve"> Showing the models together</w:t>
      </w:r>
      <w:commentRangeStart w:id="47"/>
      <w:del w:id="281" w:author="Deslop" w:date="2026-10-22T10:17:48Z">
        <w:r>
          <w:rPr/>
          <w:delText xml:space="preserve"> —</w:delText>
        </w:r>
      </w:del>
      <w:ins w:id="282" w:author="Deslop" w:date="2026-10-22T10:17:48Z">
        <w:r>
          <w:rPr/>
          <w:t>,</w:t>
        </w:r>
      </w:ins>
      <w:r>
        <w:rPr/>
        <w:t xml:space="preserve"> including where they disagree</w:t>
      </w:r>
      <w:del w:id="283" w:author="Deslop" w:date="2026-10-22T10:17:48Z">
        <w:r>
          <w:rPr/>
          <w:delText xml:space="preserve"> —</w:delText>
        </w:r>
      </w:del>
      <w:ins w:id="284" w:author="Deslop" w:date="2026-10-22T10:17:48Z">
        <w:r>
          <w:rPr/>
          <w:t>,</w:t>
        </w:r>
      </w:ins>
      <w:commentRangeEnd w:id="47"/>
      <w:r>
        <w:rPr>
          <w:rStyle w:val="CommentReference"/>
        </w:rPr>
        <w:commentReference w:id="47"/>
      </w:r>
      <w:r>
        <w:rPr/>
        <w:t xml:space="preserve"> is deliberate (see Section 6.3).</w:t>
      </w:r>
      <w:commentRangeEnd w:id="107"/>
      <w:r>
        <w:rPr>
          <w:rStyle w:val="CommentReference"/>
        </w:rPr>
        <w:commentReference w:id="107"/>
      </w:r>
    </w:p>
    <w:p>
      <w:r>
        <w:rPr/>
        <w:t>&lt;!-- AUTHOR TODO: Replace the existing images/just_prs_trait_consensus.jpg with a current screenshot for Figure 3.</w:t>
      </w:r>
      <w:r>
        <w:rPr/>
        <w:t xml:space="preserve"> The existing image shows an absolute-risk percentage for intelligence and inconsistent quality labels.</w:t>
      </w:r>
      <w:r>
        <w:rPr/>
        <w:t xml:space="preserve"> Capture a current trait view with the reference population, model IDs, coverage, and settings visible, then embed it here and align the caption with the final image.</w:t>
      </w:r>
      <w:r>
        <w:rPr/>
        <w:t xml:space="preserve"> --&gt;</w:t>
      </w:r>
    </w:p>
    <w:p>
      <w:r>
        <w:rPr/>
        <w:t>###</w:t>
      </w:r>
      <w:commentRangeStart w:id="48"/>
      <w:ins w:id="285" w:author="Prose edit" w:date="2026-10-22T10:17:48Z">
        <w:r>
          <w:rPr/>
          <w:t>#</w:t>
        </w:r>
      </w:ins>
      <w:commentRangeEnd w:id="48"/>
      <w:r>
        <w:rPr>
          <w:rStyle w:val="CommentReference"/>
        </w:rPr>
        <w:commentReference w:id="48"/>
      </w:r>
      <w:r>
        <w:rPr/>
        <w:t xml:space="preserve"> </w:t>
      </w:r>
      <w:commentRangeStart w:id="182"/>
      <w:r>
        <w:rPr>
          <w:b/>
        </w:rPr>
        <w:t>3.2.1 Standalone PRS Use and MCP Access</w:t>
      </w:r>
      <w:commentRangeEnd w:id="182"/>
      <w:r>
        <w:rPr>
          <w:rStyle w:val="CommentReference"/>
        </w:rPr>
        <w:commentReference w:id="182"/>
      </w:r>
    </w:p>
    <w:p>
      <w:r>
        <w:rPr/>
        <w:t xml:space="preserve">just-prs </w:t>
      </w:r>
      <w:commentRangeStart w:id="49"/>
      <w:del w:id="286" w:author="Deslop" w:date="2026-10-22T10:17:48Z">
        <w:r>
          <w:rPr/>
          <w:delText>serves</w:delText>
        </w:r>
      </w:del>
      <w:ins w:id="287" w:author="Deslop" w:date="2026-10-22T10:17:48Z">
        <w:r>
          <w:rPr/>
          <w:t>is</w:t>
        </w:r>
      </w:ins>
      <w:r>
        <w:rPr/>
        <w:t xml:space="preserve"> both</w:t>
      </w:r>
      <w:del w:id="288" w:author="Deslop" w:date="2026-10-22T10:17:48Z">
        <w:r>
          <w:rPr/>
          <w:delText xml:space="preserve"> as</w:delText>
        </w:r>
      </w:del>
      <w:r>
        <w:rPr/>
        <w:t xml:space="preserve"> a component of Just-DNA-Lite and</w:t>
      </w:r>
      <w:del w:id="289" w:author="Deslop" w:date="2026-10-22T10:17:48Z">
        <w:r>
          <w:rPr/>
          <w:delText xml:space="preserve"> as</w:delText>
        </w:r>
      </w:del>
      <w:commentRangeEnd w:id="49"/>
      <w:r>
        <w:rPr>
          <w:rStyle w:val="CommentReference"/>
        </w:rPr>
        <w:commentReference w:id="49"/>
      </w:r>
      <w:r>
        <w:rPr/>
        <w:t xml:space="preserve"> an independent tool.</w:t>
      </w:r>
      <w:r>
        <w:rPr/>
        <w:t xml:space="preserve"> Users who only want polygenic scores can use its Python API, command-line interface, dedicated web UI, or </w:t>
      </w:r>
      <w:r>
        <w:rPr>
          <w:rFonts w:ascii="Consolas" w:hAnsi="Consolas"/>
        </w:rPr>
        <w:t>just-prs-mcp</w:t>
      </w:r>
      <w:r>
        <w:rPr/>
        <w:t xml:space="preserve"> server without running the annotation-module workflow.</w:t>
      </w:r>
      <w:r>
        <w:rPr/>
        <w:t xml:space="preserve"> These entry points reuse the library's scoring, catalogue, and reference-panel logic.</w:t>
      </w:r>
    </w:p>
    <w:p>
      <w:commentRangeStart w:id="136"/>
      <w:r>
        <w:rPr/>
        <w:t>The platform also provides an MCP interface</w:t>
      </w:r>
      <w:commentRangeStart w:id="50"/>
      <w:commentRangeStart w:id="51"/>
      <w:ins w:id="290" w:author="Prose edit" w:date="2026-10-22T10:17:48Z">
        <w:r>
          <w:rPr/>
          <w:t>,</w:t>
        </w:r>
      </w:ins>
      <w:commentRangeEnd w:id="51"/>
      <w:r>
        <w:rPr>
          <w:rStyle w:val="CommentReference"/>
        </w:rPr>
        <w:commentReference w:id="51"/>
      </w:r>
      <w:commentRangeEnd w:id="50"/>
      <w:r>
        <w:rPr>
          <w:rStyle w:val="CommentReference"/>
        </w:rPr>
        <w:commentReference w:id="50"/>
      </w:r>
      <w:r>
        <w:rPr/>
        <w:t xml:space="preserve"> for calling Just-DNA-Lite's broader genome-analysis workflow programmatically.</w:t>
      </w:r>
      <w:commentRangeEnd w:id="136"/>
      <w:r>
        <w:rPr>
          <w:rStyle w:val="CommentReference"/>
        </w:rPr>
        <w:commentReference w:id="136"/>
      </w:r>
      <w:r>
        <w:rPr/>
        <w:t xml:space="preserve"> This interface serves users working with the full platform, while </w:t>
      </w:r>
      <w:r>
        <w:rPr>
          <w:rFonts w:ascii="Consolas" w:hAnsi="Consolas"/>
        </w:rPr>
        <w:t>just-prs-mcp</w:t>
      </w:r>
      <w:r>
        <w:rPr/>
        <w:t xml:space="preserve"> provides independent access to PRS operations.</w:t>
      </w:r>
      <w:r>
        <w:rPr/>
        <w:t xml:space="preserve"> Both let AI assistants call the underlying software through typed tools rather than write their own analysis routines.</w:t>
      </w:r>
    </w:p>
    <w:p>
      <w:r>
        <w:rPr/>
        <w:t>The PRS tools support catalogue search, model-metadata inspection, genome-build and ancestry detection, input normalization, scoring, reference-population comparison, and result-quality assessment.</w:t>
      </w:r>
      <w:r>
        <w:rPr/>
        <w:t xml:space="preserve"> Trait reports bring multiple models together with their identifiers, variant coverage, and population context.</w:t>
      </w:r>
      <w:r>
        <w:rPr/>
        <w:t xml:space="preserve"> This gives users a report they can inspect alongside the assistant's explanation.</w:t>
      </w:r>
    </w:p>
    <w:p>
      <w:r>
        <w:rPr/>
        <w:t>The tools return PGS IDs, variant-match rates, model quality tiers, reference populations, percentiles, and agreement or disagreement among models for a trait.</w:t>
      </w:r>
      <w:r>
        <w:rPr/>
        <w:t xml:space="preserve"> These fields make the computational context available to the assistant, although their presence does not ensure that an assistant will explain them correctly.</w:t>
      </w:r>
      <w:r>
        <w:rPr/>
        <w:t xml:space="preserve"> The server runs locally, but a remotely hosted assistant may receive tool outputs containing genomic results.</w:t>
      </w:r>
      <w:r>
        <w:rPr/>
        <w:t xml:space="preserve"> Local scoring and private conversational processing therefore require separate consideration (Section 6.2).</w:t>
      </w:r>
    </w:p>
    <w:p>
      <w:commentRangeStart w:id="52"/>
      <w:commentRangeStart w:id="212"/>
      <w:del w:id="291" w:author="Story" w:date="2026-10-22T10:17:48Z">
        <w:r>
          <w:rPr/>
          <w:delText>The</w:delText>
        </w:r>
      </w:del>
      <w:ins w:id="292" w:author="Story" w:date="2026-10-22T10:17:48Z">
        <w:r>
          <w:rPr/>
          <w:t>All of these entry points, and the Just-DNA-Lite</w:t>
        </w:r>
      </w:ins>
      <w:r>
        <w:rPr/>
        <w:t xml:space="preserve"> web application,</w:t>
      </w:r>
      <w:del w:id="293" w:author="Story" w:date="2026-10-22T10:17:48Z">
        <w:r>
          <w:rPr/>
          <w:delText xml:space="preserve"> Python library, command line, standalone PRS interface, and MCP client</w:delText>
        </w:r>
      </w:del>
      <w:r>
        <w:rPr/>
        <w:t xml:space="preserve"> share the scoring implementation</w:t>
      </w:r>
      <w:del w:id="294" w:author="Story" w:date="2026-10-22T10:17:48Z">
        <w:r>
          <w:rPr/>
          <w:delText>.</w:delText>
        </w:r>
      </w:del>
      <w:commentRangeEnd w:id="212"/>
      <w:r>
        <w:rPr>
          <w:rStyle w:val="CommentReference"/>
        </w:rPr>
        <w:commentReference w:id="212"/>
      </w:r>
      <w:ins w:id="295" w:author="Story" w:date="2026-10-22T10:17:48Z">
        <w:r>
          <w:rPr/>
          <w:t>;</w:t>
        </w:r>
      </w:ins>
      <w:r>
        <w:rPr/>
        <w:t xml:space="preserve"> </w:t>
      </w:r>
      <w:del w:id="296" w:author="Story" w:date="2026-10-22T10:17:48Z">
        <w:r>
          <w:rPr/>
          <w:delText>Equivalent</w:delText>
        </w:r>
      </w:del>
      <w:ins w:id="297" w:author="Story" w:date="2026-10-22T10:17:48Z">
        <w:r>
          <w:rPr/>
          <w:t>equivalent</w:t>
        </w:r>
      </w:ins>
      <w:r>
        <w:rPr/>
        <w:t xml:space="preserve"> inputs, engine selection, reference data, and settings are required for equivalent results</w:t>
      </w:r>
      <w:del w:id="298" w:author="Story" w:date="2026-10-22T10:17:48Z">
        <w:r>
          <w:rPr/>
          <w:delText>;</w:delText>
        </w:r>
      </w:del>
      <w:ins w:id="299" w:author="Story" w:date="2026-10-22T10:17:48Z">
        <w:r>
          <w:rPr/>
          <w:t>, and</w:t>
        </w:r>
      </w:ins>
      <w:commentRangeEnd w:id="52"/>
      <w:r>
        <w:rPr>
          <w:rStyle w:val="CommentReference"/>
        </w:rPr>
        <w:commentReference w:id="52"/>
      </w:r>
      <w:r>
        <w:rPr/>
        <w:t xml:space="preserve"> the engine benchmark in Section 5.2 does not independently test every interface or the accuracy of assistant-generated explanations.</w:t>
      </w:r>
    </w:p>
    <w:p>
      <w:pPr>
        <w:pStyle w:val="Heading2"/>
      </w:pPr>
      <w:r>
        <w:rPr>
          <w:b/>
        </w:rPr>
        <w:t>3.3 Additional Trait Annotation Modules</w:t>
      </w:r>
    </w:p>
    <w:p>
      <w:r>
        <w:rPr/>
        <w:t xml:space="preserve">The platform includes several additional modules that annotate variants against published GWAS and meta-analysis databases: </w:t>
      </w:r>
      <w:r>
        <w:rPr>
          <w:b/>
        </w:rPr>
        <w:t>cardiovascular-associated variants</w:t>
      </w:r>
      <w:r>
        <w:rPr/>
        <w:t xml:space="preserve"> (SNPs selected on meta-study p-values and cross-population replication), </w:t>
      </w:r>
      <w:r>
        <w:rPr>
          <w:b/>
        </w:rPr>
        <w:t>lipid metabolism</w:t>
      </w:r>
      <w:r>
        <w:rPr/>
        <w:t xml:space="preserve"> (same evidence-based inclusion criteria), and </w:t>
      </w:r>
      <w:r>
        <w:rPr>
          <w:b/>
        </w:rPr>
        <w:t>VO2 max and athletic performance</w:t>
      </w:r>
      <w:r>
        <w:rPr/>
        <w:t xml:space="preserve"> (exercise genomics literature).</w:t>
      </w:r>
      <w:r>
        <w:rPr/>
        <w:t xml:space="preserve"> All modules work by joining the user's VCF against curated variant-trait databases, adding annotation columns (weight, state, gene, conclusion) to matching variants.</w:t>
      </w:r>
      <w:commentRangeStart w:id="121"/>
      <w:r>
        <w:rPr/>
        <w:t xml:space="preserve"> They do not calculate individual risk, generate diagnoses, or make clinical recommendations.</w:t>
      </w:r>
      <w:commentRangeEnd w:id="121"/>
      <w:r>
        <w:rPr>
          <w:rStyle w:val="CommentReference"/>
        </w:rPr>
        <w:commentReference w:id="121"/>
      </w:r>
    </w:p>
    <w:p>
      <w:pPr>
        <w:pStyle w:val="Heading2"/>
      </w:pPr>
      <w:r>
        <w:rPr>
          <w:b/>
        </w:rPr>
        <w:t>3.4 Growing the Module Ecosystem</w:t>
      </w:r>
    </w:p>
    <w:p>
      <w:r>
        <w:rPr/>
        <w:t>The default set is extensible through the same module contract used by the application and registry.</w:t>
      </w:r>
      <w:r>
        <w:rPr/>
        <w:t xml:space="preserve"> Researchers can prepare variant tables and metadata, compile them into portable artifacts, and distribute versions through configured repositories or </w:t>
      </w:r>
      <w:r>
        <w:rPr>
          <w:rFonts w:ascii="Consolas" w:hAnsi="Consolas"/>
        </w:rPr>
        <w:t>just-dna-registry</w:t>
      </w:r>
      <w:r>
        <w:rPr/>
        <w:t>.</w:t>
      </w:r>
      <w:r>
        <w:rPr/>
        <w:t xml:space="preserve"> Users can then select the resulting modules without modifying the annotation engine.</w:t>
      </w:r>
      <w:r>
        <w:rPr/>
        <w:t xml:space="preserve"> This separates content updates from application releases, while leaving evidence review and scientific curation with module contributors.</w:t>
      </w:r>
      <w:r>
        <w:rPr/>
        <w:t xml:space="preserve"> AI-assisted drafting provides another route to the same artifacts (Section 4).</w:t>
      </w:r>
    </w:p>
    <w:p>
      <w:pPr>
        <w:pStyle w:val="Heading1"/>
      </w:pPr>
      <w:r>
        <w:rPr>
          <w:b/>
        </w:rPr>
        <w:t>4.</w:t>
      </w:r>
      <w:r>
        <w:rPr>
          <w:b/>
        </w:rPr>
        <w:t xml:space="preserve"> AI-Assisted Module Creation (platform feature)</w:t>
      </w:r>
    </w:p>
    <w:p>
      <w:r>
        <w:rPr/>
        <w:t>Building annotation modules by hand is labour-intensive: it requires reading the primary literature, identifying relevant variants, looking up rsIDs and genomic positions, assigning effect weights based on study quality and replication, and formatting the output.</w:t>
      </w:r>
      <w:r>
        <w:rPr/>
        <w:t xml:space="preserve"> Just-DNA-Lite integrates an AI-assisted module-creation capability directly in the web interface, so that the platform can grow its own annotation content: a user can create a new module from within the app, without </w:t>
      </w:r>
      <w:commentRangeStart w:id="53"/>
      <w:ins w:id="300" w:author="Prose edit" w:date="2026-10-22T10:17:48Z">
        <w:r>
          <w:rPr/>
          <w:t>installing other software.</w:t>
        </w:r>
      </w:ins>
      <w:ins w:id="301" w:author="Prose edit" w:date="2026-10-22T10:17:48Z">
        <w:r>
          <w:rPr/>
          <w:t xml:space="preserve"> Drafting relies on </w:t>
        </w:r>
      </w:ins>
      <w:r>
        <w:rPr/>
        <w:t xml:space="preserve">external </w:t>
      </w:r>
      <w:del w:id="302" w:author="Prose edit" w:date="2026-10-22T10:17:48Z">
        <w:r>
          <w:rPr/>
          <w:delText>tooling</w:delText>
        </w:r>
      </w:del>
      <w:ins w:id="303" w:author="Prose edit" w:date="2026-10-22T10:17:48Z">
        <w:r>
          <w:rPr/>
          <w:t>services: it needs a Gemini API key (OpenAI and Anthropic keys are optional) and queries the hosted BioContext knowledge base, so the prompt and any attached documents leave the user's machine, although the module creator does not read the genome</w:t>
        </w:r>
      </w:ins>
      <w:commentRangeEnd w:id="53"/>
      <w:r>
        <w:rPr>
          <w:rStyle w:val="CommentReference"/>
        </w:rPr>
        <w:commentReference w:id="53"/>
      </w:r>
      <w:r>
        <w:rPr/>
        <w:t>.</w:t>
      </w:r>
      <w:r>
        <w:rPr/>
        <w:t xml:space="preserve"> The user provides a free-text prompt in a chat interface and optionally attaches source documents; the system researches the variants against biomedical databases, drafts the module specification, and returns it for review.</w:t>
      </w:r>
    </w:p>
    <w:p>
      <w:commentRangeStart w:id="54"/>
      <w:commentRangeStart w:id="109"/>
      <w:del w:id="304" w:author="Deslop" w:date="2026-10-22T10:17:48Z">
        <w:r>
          <w:rPr/>
          <w:delText>Whatever produces</w:delText>
        </w:r>
      </w:del>
      <w:ins w:id="305" w:author="Deslop" w:date="2026-10-22T10:17:48Z">
        <w:r>
          <w:rPr/>
          <w:t>However</w:t>
        </w:r>
      </w:ins>
      <w:r>
        <w:rPr/>
        <w:t xml:space="preserve"> the draft</w:t>
      </w:r>
      <w:ins w:id="306" w:author="Deslop" w:date="2026-10-22T10:17:48Z">
        <w:r>
          <w:rPr/>
          <w:t xml:space="preserve"> is produced</w:t>
        </w:r>
      </w:ins>
      <w:r>
        <w:rPr/>
        <w:t xml:space="preserve">, </w:t>
      </w:r>
      <w:del w:id="307" w:author="Deslop" w:date="2026-10-22T10:17:48Z">
        <w:r>
          <w:rPr/>
          <w:delText>what</w:delText>
        </w:r>
      </w:del>
      <w:ins w:id="308" w:author="Deslop" w:date="2026-10-22T10:17:48Z">
        <w:r>
          <w:rPr/>
          <w:t>the</w:t>
        </w:r>
      </w:ins>
      <w:r>
        <w:rPr/>
        <w:t xml:space="preserve"> </w:t>
      </w:r>
      <w:del w:id="309" w:author="Deslop" w:date="2026-10-22T10:17:48Z">
        <w:r>
          <w:rPr/>
          <w:delText>it</w:delText>
        </w:r>
      </w:del>
      <w:ins w:id="310" w:author="Deslop" w:date="2026-10-22T10:17:48Z">
        <w:r>
          <w:rPr/>
          <w:t>output</w:t>
        </w:r>
      </w:ins>
      <w:r>
        <w:rPr/>
        <w:t xml:space="preserve"> </w:t>
      </w:r>
      <w:del w:id="311" w:author="Deslop" w:date="2026-10-22T10:17:48Z">
        <w:r>
          <w:rPr/>
          <w:delText>emits</w:delText>
        </w:r>
      </w:del>
      <w:ins w:id="312" w:author="Deslop" w:date="2026-10-22T10:17:48Z">
        <w:r>
          <w:rPr/>
          <w:t>consists</w:t>
        </w:r>
      </w:ins>
      <w:r>
        <w:rPr/>
        <w:t xml:space="preserve"> </w:t>
      </w:r>
      <w:del w:id="313" w:author="Deslop" w:date="2026-10-22T10:17:48Z">
        <w:r>
          <w:rPr/>
          <w:delText>is</w:delText>
        </w:r>
      </w:del>
      <w:ins w:id="314" w:author="Deslop" w:date="2026-10-22T10:17:48Z">
        <w:r>
          <w:rPr/>
          <w:t>of</w:t>
        </w:r>
      </w:ins>
      <w:r>
        <w:rPr/>
        <w:t xml:space="preserve"> the platform's standard, deterministic module artifacts (</w:t>
      </w:r>
      <w:commentRangeEnd w:id="109"/>
      <w:r>
        <w:rPr>
          <w:rStyle w:val="CommentReference"/>
        </w:rPr>
        <w:commentReference w:id="109"/>
      </w:r>
      <w:r>
        <w:rPr>
          <w:rFonts w:ascii="Consolas" w:hAnsi="Consolas"/>
        </w:rPr>
        <w:t>module_spec.yaml</w:t>
      </w:r>
      <w:r>
        <w:rPr/>
        <w:t xml:space="preserve">, </w:t>
      </w:r>
      <w:r>
        <w:rPr>
          <w:rFonts w:ascii="Consolas" w:hAnsi="Consolas"/>
        </w:rPr>
        <w:t>variants.csv</w:t>
      </w:r>
      <w:r>
        <w:rPr/>
        <w:t xml:space="preserve">, </w:t>
      </w:r>
      <w:r>
        <w:rPr>
          <w:rFonts w:ascii="Consolas" w:hAnsi="Consolas"/>
        </w:rPr>
        <w:t>studies.csv</w:t>
      </w:r>
      <w:r>
        <w:rPr/>
        <w:t xml:space="preserve">, </w:t>
      </w:r>
      <w:r>
        <w:rPr>
          <w:rFonts w:ascii="Consolas" w:hAnsi="Consolas"/>
        </w:rPr>
        <w:t>MODULE.md</w:t>
      </w:r>
      <w:r>
        <w:rPr/>
        <w:t>, and a thumbnail),</w:t>
      </w:r>
      <w:ins w:id="315" w:author="Deslop" w:date="2026-10-22T10:17:48Z">
        <w:r>
          <w:rPr/>
          <w:t xml:space="preserve"> which are</w:t>
        </w:r>
      </w:ins>
      <w:r>
        <w:rPr/>
        <w:t xml:space="preserve"> loaded into an editing slot in the UI where the user can review every file, make manual edits, iterate through follow-up messages, and then register the module with one click.</w:t>
      </w:r>
      <w:commentRangeStart w:id="108"/>
      <w:r>
        <w:rPr/>
        <w:t xml:space="preserve"> The </w:t>
      </w:r>
      <w:ins w:id="316" w:author="Deslop" w:date="2026-10-22T10:17:48Z">
        <w:r>
          <w:rPr/>
          <w:t xml:space="preserve">platform depends on the </w:t>
        </w:r>
      </w:ins>
      <w:r>
        <w:rPr/>
        <w:t>artifact contract</w:t>
      </w:r>
      <w:del w:id="317" w:author="Deslop" w:date="2026-10-22T10:17:48Z">
        <w:r>
          <w:rPr/>
          <w:delText>,</w:delText>
        </w:r>
      </w:del>
      <w:r>
        <w:rPr/>
        <w:t xml:space="preserve"> </w:t>
      </w:r>
      <w:del w:id="318" w:author="Deslop" w:date="2026-10-22T10:17:48Z">
        <w:r>
          <w:rPr/>
          <w:delText>not</w:delText>
        </w:r>
      </w:del>
      <w:ins w:id="319" w:author="Deslop" w:date="2026-10-22T10:17:48Z">
        <w:r>
          <w:rPr/>
          <w:t>rather than on</w:t>
        </w:r>
      </w:ins>
      <w:r>
        <w:rPr/>
        <w:t xml:space="preserve"> the drafting method,</w:t>
      </w:r>
      <w:del w:id="320" w:author="Deslop" w:date="2026-10-22T10:17:48Z">
        <w:r>
          <w:rPr/>
          <w:delText xml:space="preserve"> is what the platform depends on —</w:delText>
        </w:r>
      </w:del>
      <w:commentRangeEnd w:id="108"/>
      <w:r>
        <w:rPr>
          <w:rStyle w:val="CommentReference"/>
        </w:rPr>
        <w:commentReference w:id="108"/>
      </w:r>
      <w:commentRangeEnd w:id="54"/>
      <w:r>
        <w:rPr>
          <w:rStyle w:val="CommentReference"/>
        </w:rPr>
        <w:commentReference w:id="54"/>
      </w:r>
      <w:r>
        <w:rPr/>
        <w:t xml:space="preserve"> which is why the same slot accepts a module written entirely by hand.</w:t>
      </w:r>
    </w:p>
    <w:p>
      <w:commentRangeStart w:id="55"/>
      <w:commentRangeStart w:id="110"/>
      <w:del w:id="321" w:author="Deslop" w:date="2026-10-22T10:17:48Z">
        <w:r>
          <w:rPr/>
          <w:delText>Importantly, generated</w:delText>
        </w:r>
      </w:del>
      <w:ins w:id="322" w:author="Deslop" w:date="2026-10-22T10:17:48Z">
        <w:r>
          <w:rPr/>
          <w:t>Generated</w:t>
        </w:r>
      </w:ins>
      <w:commentRangeStart w:id="147"/>
      <w:r>
        <w:rPr/>
        <w:t xml:space="preserve"> modules enter the platform through exactly the same path as hand-authored ones: they are deterministic specification files that are checked by the module validator (schema compliance, genotype sorting, weight/state consistency, wild-type presence) and compiled to Parquet before they can be registered.</w:t>
      </w:r>
      <w:commentRangeEnd w:id="147"/>
      <w:r>
        <w:rPr>
          <w:rStyle w:val="CommentReference"/>
        </w:rPr>
        <w:commentReference w:id="147"/>
      </w:r>
      <w:commentRangeEnd w:id="110"/>
      <w:r>
        <w:rPr>
          <w:rStyle w:val="CommentReference"/>
        </w:rPr>
        <w:commentReference w:id="110"/>
      </w:r>
      <w:r>
        <w:rPr/>
        <w:t xml:space="preserve"> Provenance is made explicit</w:t>
      </w:r>
      <w:del w:id="323" w:author="Deslop" w:date="2026-10-22T10:17:48Z">
        <w:r>
          <w:rPr/>
          <w:delText xml:space="preserve"> —</w:delText>
        </w:r>
      </w:del>
      <w:ins w:id="324" w:author="Deslop" w:date="2026-10-22T10:17:48Z">
        <w:r>
          <w:rPr/>
          <w:t>:</w:t>
        </w:r>
      </w:ins>
      <w:commentRangeStart w:id="135"/>
      <w:r>
        <w:rPr/>
        <w:t xml:space="preserve"> each module's metadata carries a </w:t>
      </w:r>
      <w:r>
        <w:rPr>
          <w:rFonts w:ascii="Consolas" w:hAnsi="Consolas"/>
        </w:rPr>
        <w:t>curator</w:t>
      </w:r>
      <w:r>
        <w:rPr/>
        <w:t xml:space="preserve"> field </w:t>
      </w:r>
      <w:del w:id="325" w:author="Deslop" w:date="2026-10-22T10:17:48Z">
        <w:r>
          <w:rPr/>
          <w:delText>distinguishing</w:delText>
        </w:r>
      </w:del>
      <w:ins w:id="326" w:author="Deslop" w:date="2026-10-22T10:17:48Z">
        <w:r>
          <w:rPr/>
          <w:t>that distinguishes</w:t>
        </w:r>
      </w:ins>
      <w:r>
        <w:rPr/>
        <w:t xml:space="preserve"> expert-curated from AI-generated content</w:t>
      </w:r>
      <w:commentRangeEnd w:id="135"/>
      <w:r>
        <w:rPr>
          <w:rStyle w:val="CommentReference"/>
        </w:rPr>
        <w:commentReference w:id="135"/>
      </w:r>
      <w:del w:id="327" w:author="Deslop" w:date="2026-10-22T10:17:48Z">
        <w:r>
          <w:rPr/>
          <w:delText xml:space="preserve"> —</w:delText>
        </w:r>
      </w:del>
      <w:ins w:id="328" w:author="Deslop" w:date="2026-10-22T10:17:48Z">
        <w:r>
          <w:rPr/>
          <w:t>,</w:t>
        </w:r>
      </w:ins>
      <w:commentRangeEnd w:id="55"/>
      <w:r>
        <w:rPr>
          <w:rStyle w:val="CommentReference"/>
        </w:rPr>
        <w:commentReference w:id="55"/>
      </w:r>
      <w:r>
        <w:rPr/>
        <w:t xml:space="preserve"> so that AI-generated modules are surfaced to users as automated first drafts that benefit from expert review rather than as validated findings (see Section 6.1).</w:t>
      </w:r>
    </w:p>
    <w:p>
      <w:commentRangeStart w:id="116"/>
      <w:r>
        <w:rPr/>
        <w:t xml:space="preserve">The companion </w:t>
      </w:r>
      <w:commentRangeStart w:id="56"/>
      <w:del w:id="329" w:author="Deslop" w:date="2026-10-22T10:17:48Z">
        <w:r>
          <w:rPr/>
          <w:delText>manuscript</w:delText>
        </w:r>
      </w:del>
      <w:ins w:id="330" w:author="Deslop" w:date="2026-10-22T10:17:48Z">
        <w:r>
          <w:rPr/>
          <w:t>paper</w:t>
        </w:r>
      </w:ins>
      <w:commentRangeEnd w:id="56"/>
      <w:r>
        <w:rPr>
          <w:rStyle w:val="CommentReference"/>
        </w:rPr>
        <w:commentReference w:id="56"/>
      </w:r>
      <w:r>
        <w:rPr/>
        <w:t xml:space="preserve">, </w:t>
      </w:r>
      <w:r>
        <w:rPr>
          <w:i/>
        </w:rPr>
        <w:t>Creating and Sharing Genomic Annotation Modules with AI: The Just-DNA Ecosystem</w:t>
      </w:r>
      <w:commentRangeEnd w:id="116"/>
      <w:r>
        <w:rPr>
          <w:rStyle w:val="CommentReference"/>
        </w:rPr>
        <w:commentReference w:id="116"/>
      </w:r>
      <w:r>
        <w:rPr/>
        <w:t>, describes the authoring workflow and its evaluation.</w:t>
      </w:r>
      <w:r>
        <w:rPr/>
        <w:t xml:space="preserve"> Here, AI-assisted creation is an integration feature; the runtime benchmarks do not evaluate draft accuracy or compare authoring models and agent arrangements.</w:t>
      </w:r>
      <w:r>
        <w:rPr/>
        <w:t xml:space="preserve"> Schema validation establishes structural compliance, not the correctness of the extracted associations.</w:t>
      </w:r>
    </w:p>
    <w:p>
      <w:r>
        <w:rPr>
          <w:b/>
        </w:rPr>
        <w:t>Figure 4.</w:t>
      </w:r>
      <w:commentRangeStart w:id="100"/>
      <w:r>
        <w:rPr/>
        <w:t xml:space="preserve"> The in-app AI Module Creator: the user attaches a research paper and describes the desired module; the generated module then appears in the editing slot with all files for review and one-click registration.</w:t>
      </w:r>
      <w:commentRangeEnd w:id="100"/>
      <w:r>
        <w:rPr>
          <w:rStyle w:val="CommentReference"/>
        </w:rPr>
        <w:commentReference w:id="100"/>
      </w:r>
    </w:p>
    <w:p>
      <w:pPr>
        <w:pStyle w:val="Heading1"/>
      </w:pPr>
      <w:r>
        <w:rPr>
          <w:b/>
        </w:rPr>
        <w:t>5.</w:t>
      </w:r>
      <w:r>
        <w:rPr>
          <w:b/>
        </w:rPr>
        <w:t xml:space="preserve"> Benchmarking and Validation</w:t>
      </w:r>
    </w:p>
    <w:p>
      <w:pPr>
        <w:pStyle w:val="Heading2"/>
      </w:pPr>
      <w:r>
        <w:rPr>
          <w:b/>
        </w:rPr>
        <w:t>5.1 Annotation Speed</w:t>
      </w:r>
    </w:p>
    <w:p>
      <w:commentRangeStart w:id="57"/>
      <w:commentRangeStart w:id="159"/>
      <w:commentRangeStart w:id="209"/>
      <w:del w:id="331" w:author="Story" w:date="2026-10-22T10:17:48Z">
        <w:r>
          <w:rPr/>
          <w:delText>We</w:delText>
        </w:r>
      </w:del>
      <w:ins w:id="332" w:author="Story" w:date="2026-10-22T10:17:48Z">
        <w:r>
          <w:rPr/>
          <w:t>On</w:t>
        </w:r>
      </w:ins>
      <w:r>
        <w:rPr/>
        <w:t xml:space="preserve"> </w:t>
      </w:r>
      <w:del w:id="333" w:author="Story" w:date="2026-10-22T10:17:48Z">
        <w:r>
          <w:rPr/>
          <w:delText>benchmarked</w:delText>
        </w:r>
      </w:del>
      <w:ins w:id="334" w:author="Story" w:date="2026-10-22T10:17:48Z">
        <w:r>
          <w:rPr/>
          <w:t>one public whole-genome VCF, warm runs of</w:t>
        </w:r>
      </w:ins>
      <w:r>
        <w:rPr/>
        <w:t xml:space="preserve"> Just-DNA-Lite </w:t>
      </w:r>
      <w:ins w:id="335" w:author="Story" w:date="2026-10-22T10:17:48Z">
        <w:r>
          <w:rPr/>
          <w:t xml:space="preserve">averaged 38.9 seconds, </w:t>
        </w:r>
      </w:ins>
      <w:r>
        <w:rPr/>
        <w:t>against</w:t>
      </w:r>
      <w:ins w:id="336" w:author="Story" w:date="2026-10-22T10:17:48Z">
        <w:r>
          <w:rPr/>
          <w:t xml:space="preserve"> a mean of 6,705 seconds for</w:t>
        </w:r>
      </w:ins>
      <w:r>
        <w:rPr/>
        <w:t xml:space="preserve"> the Generation I OakVar-based system on the same hardware</w:t>
      </w:r>
      <w:ins w:id="337" w:author="Story" w:date="2026-10-22T10:17:48Z">
        <w:r>
          <w:rPr/>
          <w:t xml:space="preserve"> (Table 2), and reported peak memory remained below 750 MB for the runs in Table 3.</w:t>
        </w:r>
      </w:ins>
      <w:ins w:id="338" w:author="Story" w:date="2026-10-22T10:17:48Z">
        <w:r>
          <w:rPr/>
          <w:t xml:space="preserve"> Warm runs reuse the local caches that the first run, the cold start, initialises</w:t>
        </w:r>
      </w:ins>
      <w:commentRangeEnd w:id="57"/>
      <w:r>
        <w:rPr>
          <w:rStyle w:val="CommentReference"/>
        </w:rPr>
        <w:commentReference w:id="57"/>
      </w:r>
      <w:r>
        <w:rPr/>
        <w:t>.</w:t>
      </w:r>
      <w:commentRangeEnd w:id="209"/>
      <w:r>
        <w:rPr>
          <w:rStyle w:val="CommentReference"/>
        </w:rPr>
        <w:commentReference w:id="209"/>
      </w:r>
      <w:commentRangeEnd w:id="159"/>
      <w:r>
        <w:rPr>
          <w:rStyle w:val="CommentReference"/>
        </w:rPr>
        <w:commentReference w:id="159"/>
      </w:r>
      <w:commentRangeStart w:id="202"/>
      <w:r>
        <w:rPr/>
        <w:t xml:space="preserve"> The input was a single whole-genome VCF containing 6,138,868 variant records (4,729,824 SNPs and 1,414,226 indels), produced by DeepVariant </w:t>
      </w:r>
      <w:commentRangeStart w:id="58"/>
      <w:commentRangeStart w:id="59"/>
      <w:del w:id="339" w:author="Prose edit" w:date="2026-10-22T10:17:48Z">
        <w:r>
          <w:rPr/>
          <w:delText xml:space="preserve">v1.4.0 </w:delText>
        </w:r>
      </w:del>
      <w:commentRangeEnd w:id="59"/>
      <w:r>
        <w:rPr>
          <w:rStyle w:val="CommentReference"/>
        </w:rPr>
        <w:commentReference w:id="59"/>
      </w:r>
      <w:commentRangeEnd w:id="58"/>
      <w:r>
        <w:rPr>
          <w:rStyle w:val="CommentReference"/>
        </w:rPr>
        <w:commentReference w:id="58"/>
      </w:r>
      <w:r>
        <w:rPr/>
        <w:t>against GRCh38 at ~162× mean coverage.</w:t>
      </w:r>
      <w:commentRangeEnd w:id="202"/>
      <w:r>
        <w:rPr>
          <w:rStyle w:val="CommentReference"/>
        </w:rPr>
        <w:commentReference w:id="202"/>
      </w:r>
      <w:commentRangeStart w:id="101"/>
      <w:commentRangeStart w:id="137"/>
      <w:commentRangeStart w:id="172"/>
      <w:r>
        <w:rPr/>
        <w:t xml:space="preserve"> This is the co-author genome released publicly on Zenodo (record 18370498, CC0) — the same genome used for the PRS benchmark in Section 5.2 — so the benchmark is fully reproducible end-to-end; the benchmark scripts are provided in the repository, and the pipeline can equally be run on any standard whole-genome VCF.</w:t>
      </w:r>
      <w:commentRangeEnd w:id="172"/>
      <w:r>
        <w:rPr>
          <w:rStyle w:val="CommentReference"/>
        </w:rPr>
        <w:commentReference w:id="172"/>
      </w:r>
      <w:commentRangeEnd w:id="137"/>
      <w:r>
        <w:rPr>
          <w:rStyle w:val="CommentReference"/>
        </w:rPr>
        <w:commentReference w:id="137"/>
      </w:r>
      <w:commentRangeEnd w:id="101"/>
      <w:r>
        <w:rPr>
          <w:rStyle w:val="CommentReference"/>
        </w:rPr>
        <w:commentReference w:id="101"/>
      </w:r>
    </w:p>
    <w:p>
      <w:r>
        <w:rPr>
          <w:b/>
        </w:rPr>
        <w:t>Table 2.</w:t>
      </w:r>
      <w:r>
        <w:rPr/>
        <w:t xml:space="preserve"> Annotation speed benchmark: Just-DNA-Lite vs OakVar (Generation 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Run type</w:t>
            </w:r>
          </w:p>
        </w:tc>
        <w:tc>
          <w:tcPr>
            <w:tcW w:type="dxa" w:w="1728"/>
          </w:tcPr>
          <w:p>
            <w:r>
              <w:rPr>
                <w:b/>
                <w:i/>
              </w:rPr>
              <w:t>n</w:t>
            </w:r>
          </w:p>
        </w:tc>
        <w:tc>
          <w:tcPr>
            <w:tcW w:type="dxa" w:w="1728"/>
          </w:tcPr>
          <w:p>
            <w:r>
              <w:rPr>
                <w:b/>
              </w:rPr>
              <w:t>Mean ± SEM (s)</w:t>
            </w:r>
          </w:p>
        </w:tc>
        <w:tc>
          <w:tcPr>
            <w:tcW w:type="dxa" w:w="1728"/>
          </w:tcPr>
          <w:p>
            <w:r>
              <w:rPr>
                <w:b/>
              </w:rPr>
              <w:t>SD (s)</w:t>
            </w:r>
          </w:p>
        </w:tc>
        <w:tc>
          <w:tcPr>
            <w:tcW w:type="dxa" w:w="1728"/>
          </w:tcPr>
          <w:p>
            <w:r>
              <w:rPr>
                <w:b/>
              </w:rPr>
              <w:t>Speedup vs OakVar</w:t>
            </w:r>
          </w:p>
        </w:tc>
      </w:tr>
      <w:tr>
        <w:tc>
          <w:tcPr>
            <w:tcW w:type="dxa" w:w="1728"/>
          </w:tcPr>
          <w:p>
            <w:r>
              <w:rPr>
                <w:b/>
              </w:rPr>
              <w:t>Just-DNA-Lite (</w:t>
            </w:r>
            <w:commentRangeStart w:id="60"/>
            <w:del w:id="340" w:author="Story" w:date="2026-10-22T10:17:48Z">
              <w:r>
                <w:rPr>
                  <w:b/>
                </w:rPr>
                <w:delText>normal</w:delText>
              </w:r>
            </w:del>
            <w:ins w:id="341" w:author="Story" w:date="2026-10-22T10:17:48Z">
              <w:r>
                <w:rPr>
                  <w:b/>
                </w:rPr>
                <w:t>warm</w:t>
              </w:r>
            </w:ins>
            <w:commentRangeEnd w:id="60"/>
            <w:r>
              <w:rPr>
                <w:rStyle w:val="CommentReference"/>
              </w:rPr>
              <w:commentReference w:id="60"/>
            </w:r>
            <w:r>
              <w:rPr>
                <w:b/>
              </w:rPr>
              <w:t>)</w:t>
            </w:r>
          </w:p>
        </w:tc>
        <w:tc>
          <w:tcPr>
            <w:tcW w:type="dxa" w:w="1728"/>
          </w:tcPr>
          <w:p>
            <w:r>
              <w:rPr/>
              <w:t>11</w:t>
            </w:r>
          </w:p>
        </w:tc>
        <w:tc>
          <w:tcPr>
            <w:tcW w:type="dxa" w:w="1728"/>
          </w:tcPr>
          <w:p>
            <w:r>
              <w:rPr>
                <w:b/>
              </w:rPr>
              <w:t>38.9 ± 3.3</w:t>
            </w:r>
          </w:p>
        </w:tc>
        <w:tc>
          <w:tcPr>
            <w:tcW w:type="dxa" w:w="1728"/>
          </w:tcPr>
          <w:p>
            <w:r>
              <w:rPr/>
              <w:t>10.9</w:t>
            </w:r>
          </w:p>
        </w:tc>
        <w:tc>
          <w:tcPr>
            <w:tcW w:type="dxa" w:w="1728"/>
          </w:tcPr>
          <w:p>
            <w:r>
              <w:rPr>
                <w:b/>
              </w:rPr>
              <w:t>~172×</w:t>
            </w:r>
          </w:p>
        </w:tc>
      </w:tr>
      <w:tr>
        <w:tc>
          <w:tcPr>
            <w:tcW w:type="dxa" w:w="1728"/>
          </w:tcPr>
          <w:p>
            <w:r>
              <w:rPr/>
              <w:t>Just-DNA-Lite (cold start)</w:t>
            </w:r>
          </w:p>
        </w:tc>
        <w:tc>
          <w:tcPr>
            <w:tcW w:type="dxa" w:w="1728"/>
          </w:tcPr>
          <w:p>
            <w:r>
              <w:rPr/>
              <w:t>3</w:t>
            </w:r>
          </w:p>
        </w:tc>
        <w:tc>
          <w:tcPr>
            <w:tcW w:type="dxa" w:w="1728"/>
          </w:tcPr>
          <w:p>
            <w:r>
              <w:rPr/>
              <w:t>203.3 ± 9.0</w:t>
            </w:r>
          </w:p>
        </w:tc>
        <w:tc>
          <w:tcPr>
            <w:tcW w:type="dxa" w:w="1728"/>
          </w:tcPr>
          <w:p>
            <w:r>
              <w:rPr/>
              <w:t>15.5</w:t>
            </w:r>
          </w:p>
        </w:tc>
        <w:tc>
          <w:tcPr>
            <w:tcW w:type="dxa" w:w="1728"/>
          </w:tcPr>
          <w:p>
            <w:r>
              <w:rPr/>
              <w:t>~33×</w:t>
            </w:r>
          </w:p>
        </w:tc>
      </w:tr>
      <w:tr>
        <w:tc>
          <w:tcPr>
            <w:tcW w:type="dxa" w:w="1728"/>
          </w:tcPr>
          <w:p>
            <w:r>
              <w:rPr/>
              <w:t>Just-DNA-Lite (</w:t>
            </w:r>
            <w:commentRangeStart w:id="61"/>
            <w:del w:id="342" w:author="Prose edit" w:date="2026-10-22T10:17:48Z">
              <w:r>
                <w:rPr/>
                <w:delText>GVCF</w:delText>
              </w:r>
            </w:del>
            <w:ins w:id="343" w:author="Prose edit" w:date="2026-10-22T10:17:48Z">
              <w:r>
                <w:rPr/>
                <w:t>gVCF</w:t>
              </w:r>
            </w:ins>
            <w:commentRangeEnd w:id="61"/>
            <w:r>
              <w:rPr>
                <w:rStyle w:val="CommentReference"/>
              </w:rPr>
              <w:commentReference w:id="61"/>
            </w:r>
            <w:r>
              <w:rPr/>
              <w:t>)</w:t>
            </w:r>
          </w:p>
        </w:tc>
        <w:tc>
          <w:tcPr>
            <w:tcW w:type="dxa" w:w="1728"/>
          </w:tcPr>
          <w:p>
            <w:r>
              <w:rPr/>
              <w:t>1</w:t>
            </w:r>
          </w:p>
        </w:tc>
        <w:tc>
          <w:tcPr>
            <w:tcW w:type="dxa" w:w="1728"/>
          </w:tcPr>
          <w:p>
            <w:r>
              <w:rPr/>
              <w:t>868</w:t>
            </w:r>
          </w:p>
        </w:tc>
        <w:tc>
          <w:tcPr>
            <w:tcW w:type="dxa" w:w="1728"/>
          </w:tcPr>
          <w:p>
            <w:r>
              <w:rPr/>
              <w:t>—</w:t>
            </w:r>
          </w:p>
        </w:tc>
        <w:tc>
          <w:tcPr>
            <w:tcW w:type="dxa" w:w="1728"/>
          </w:tcPr>
          <w:p>
            <w:r>
              <w:rPr/>
              <w:t>~7.7×</w:t>
            </w:r>
          </w:p>
        </w:tc>
      </w:tr>
      <w:tr>
        <w:tc>
          <w:tcPr>
            <w:tcW w:type="dxa" w:w="1728"/>
          </w:tcPr>
          <w:p>
            <w:r>
              <w:rPr/>
              <w:t>OakVar (Gen I)</w:t>
            </w:r>
          </w:p>
        </w:tc>
        <w:tc>
          <w:tcPr>
            <w:tcW w:type="dxa" w:w="1728"/>
          </w:tcPr>
          <w:p>
            <w:r>
              <w:rPr/>
              <w:t>3</w:t>
            </w:r>
          </w:p>
        </w:tc>
        <w:tc>
          <w:tcPr>
            <w:tcW w:type="dxa" w:w="1728"/>
          </w:tcPr>
          <w:p>
            <w:r>
              <w:rPr/>
              <w:t>6705 ± 583</w:t>
            </w:r>
          </w:p>
        </w:tc>
        <w:tc>
          <w:tcPr>
            <w:tcW w:type="dxa" w:w="1728"/>
          </w:tcPr>
          <w:p>
            <w:r>
              <w:rPr/>
              <w:t>~1010</w:t>
            </w:r>
          </w:p>
        </w:tc>
        <w:tc>
          <w:tcPr>
            <w:tcW w:type="dxa" w:w="1728"/>
          </w:tcPr>
          <w:p>
            <w:r>
              <w:rPr/>
              <w:t>1× (ref.)</w:t>
            </w:r>
          </w:p>
        </w:tc>
      </w:tr>
    </w:tbl>
    <w:p>
      <w:r>
        <w:rPr>
          <w:b/>
        </w:rPr>
        <w:t>Table 3.</w:t>
      </w:r>
      <w:r>
        <w:rPr/>
        <w:t xml:space="preserve"> Resource consumption during Just-DNA-Lite annotation.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Run type</w:t>
            </w:r>
          </w:p>
        </w:tc>
        <w:tc>
          <w:tcPr>
            <w:tcW w:type="dxa" w:w="2160"/>
          </w:tcPr>
          <w:p>
            <w:r>
              <w:rPr>
                <w:b/>
              </w:rPr>
              <w:t>Duration (s)</w:t>
            </w:r>
          </w:p>
        </w:tc>
        <w:tc>
          <w:tcPr>
            <w:tcW w:type="dxa" w:w="2160"/>
          </w:tcPr>
          <w:p>
            <w:r>
              <w:rPr>
                <w:b/>
              </w:rPr>
              <w:t>Peak RAM (MB)</w:t>
            </w:r>
          </w:p>
        </w:tc>
        <w:tc>
          <w:tcPr>
            <w:tcW w:type="dxa" w:w="2160"/>
          </w:tcPr>
          <w:p>
            <w:r>
              <w:rPr>
                <w:b/>
              </w:rPr>
              <w:t>Avg CPU (%)</w:t>
            </w:r>
          </w:p>
        </w:tc>
      </w:tr>
      <w:tr>
        <w:tc>
          <w:tcPr>
            <w:tcW w:type="dxa" w:w="2160"/>
          </w:tcPr>
          <w:p>
            <w:commentRangeStart w:id="62"/>
            <w:del w:id="344" w:author="Prose edit" w:date="2026-10-22T10:17:48Z">
              <w:r>
                <w:rPr/>
                <w:delText>GVCF</w:delText>
              </w:r>
            </w:del>
            <w:ins w:id="345" w:author="Prose edit" w:date="2026-10-22T10:17:48Z">
              <w:r>
                <w:rPr/>
                <w:t>gVCF</w:t>
              </w:r>
            </w:ins>
            <w:commentRangeEnd w:id="62"/>
            <w:r>
              <w:rPr>
                <w:rStyle w:val="CommentReference"/>
              </w:rPr>
              <w:commentReference w:id="62"/>
            </w:r>
            <w:r>
              <w:rPr/>
              <w:t xml:space="preserve"> (longest)</w:t>
            </w:r>
          </w:p>
        </w:tc>
        <w:tc>
          <w:tcPr>
            <w:tcW w:type="dxa" w:w="2160"/>
          </w:tcPr>
          <w:p>
            <w:r>
              <w:rPr/>
              <w:t>868</w:t>
            </w:r>
          </w:p>
        </w:tc>
        <w:tc>
          <w:tcPr>
            <w:tcW w:type="dxa" w:w="2160"/>
          </w:tcPr>
          <w:p>
            <w:r>
              <w:rPr/>
              <w:t>748</w:t>
            </w:r>
          </w:p>
        </w:tc>
        <w:tc>
          <w:tcPr>
            <w:tcW w:type="dxa" w:w="2160"/>
          </w:tcPr>
          <w:p>
            <w:r>
              <w:rPr/>
              <w:t>182</w:t>
            </w:r>
          </w:p>
        </w:tc>
      </w:tr>
      <w:tr>
        <w:tc>
          <w:tcPr>
            <w:tcW w:type="dxa" w:w="2160"/>
          </w:tcPr>
          <w:p>
            <w:r>
              <w:rPr/>
              <w:t>Cold start</w:t>
            </w:r>
          </w:p>
        </w:tc>
        <w:tc>
          <w:tcPr>
            <w:tcW w:type="dxa" w:w="2160"/>
          </w:tcPr>
          <w:p>
            <w:r>
              <w:rPr/>
              <w:t>216</w:t>
            </w:r>
          </w:p>
        </w:tc>
        <w:tc>
          <w:tcPr>
            <w:tcW w:type="dxa" w:w="2160"/>
          </w:tcPr>
          <w:p>
            <w:r>
              <w:rPr/>
              <w:t>644</w:t>
            </w:r>
          </w:p>
        </w:tc>
        <w:tc>
          <w:tcPr>
            <w:tcW w:type="dxa" w:w="2160"/>
          </w:tcPr>
          <w:p>
            <w:r>
              <w:rPr/>
              <w:t>278</w:t>
            </w:r>
          </w:p>
        </w:tc>
      </w:tr>
      <w:tr>
        <w:tc>
          <w:tcPr>
            <w:tcW w:type="dxa" w:w="2160"/>
          </w:tcPr>
          <w:p>
            <w:commentRangeStart w:id="63"/>
            <w:del w:id="346" w:author="Story" w:date="2026-10-22T10:17:48Z">
              <w:r>
                <w:rPr/>
                <w:delText>Normal</w:delText>
              </w:r>
            </w:del>
            <w:ins w:id="347" w:author="Story" w:date="2026-10-22T10:17:48Z">
              <w:r>
                <w:rPr/>
                <w:t>Warm</w:t>
              </w:r>
            </w:ins>
            <w:commentRangeEnd w:id="63"/>
            <w:r>
              <w:rPr>
                <w:rStyle w:val="CommentReference"/>
              </w:rPr>
              <w:commentReference w:id="63"/>
            </w:r>
            <w:r>
              <w:rPr/>
              <w:t xml:space="preserve"> (average)</w:t>
            </w:r>
          </w:p>
        </w:tc>
        <w:tc>
          <w:tcPr>
            <w:tcW w:type="dxa" w:w="2160"/>
          </w:tcPr>
          <w:p>
            <w:r>
              <w:rPr/>
              <w:t>39</w:t>
            </w:r>
          </w:p>
        </w:tc>
        <w:tc>
          <w:tcPr>
            <w:tcW w:type="dxa" w:w="2160"/>
          </w:tcPr>
          <w:p>
            <w:r>
              <w:rPr/>
              <w:t>400–600</w:t>
            </w:r>
          </w:p>
        </w:tc>
        <w:tc>
          <w:tcPr>
            <w:tcW w:type="dxa" w:w="2160"/>
          </w:tcPr>
          <w:p>
            <w:r>
              <w:rPr/>
              <w:t>—</w:t>
            </w:r>
          </w:p>
        </w:tc>
      </w:tr>
    </w:tbl>
    <w:p>
      <w:r>
        <w:rPr>
          <w:b/>
        </w:rPr>
        <w:t>Table 4.</w:t>
      </w:r>
      <w:r>
        <w:rPr/>
        <w:t xml:space="preserve"> Benchmark hardware and input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rPr/>
              <w:t>CPU</w:t>
            </w:r>
          </w:p>
        </w:tc>
        <w:tc>
          <w:tcPr>
            <w:tcW w:type="dxa" w:w="4320"/>
          </w:tcPr>
          <w:p>
            <w:r>
              <w:rPr/>
              <w:t>Intel Xeon E5-2667 v4 @ 3.20 GHz (8C/16T)</w:t>
            </w:r>
          </w:p>
        </w:tc>
      </w:tr>
      <w:tr>
        <w:tc>
          <w:tcPr>
            <w:tcW w:type="dxa" w:w="4320"/>
          </w:tcPr>
          <w:p>
            <w:r>
              <w:rPr/>
              <w:t>RAM</w:t>
            </w:r>
          </w:p>
        </w:tc>
        <w:tc>
          <w:tcPr>
            <w:tcW w:type="dxa" w:w="4320"/>
          </w:tcPr>
          <w:p>
            <w:r>
              <w:rPr/>
              <w:t>128 GB</w:t>
            </w:r>
          </w:p>
        </w:tc>
      </w:tr>
      <w:tr>
        <w:tc>
          <w:tcPr>
            <w:tcW w:type="dxa" w:w="4320"/>
          </w:tcPr>
          <w:p>
            <w:r>
              <w:rPr/>
              <w:t>Storage</w:t>
            </w:r>
          </w:p>
        </w:tc>
        <w:tc>
          <w:tcPr>
            <w:tcW w:type="dxa" w:w="4320"/>
          </w:tcPr>
          <w:p>
            <w:r>
              <w:rPr/>
              <w:t>HDD JBOD array</w:t>
            </w:r>
          </w:p>
        </w:tc>
      </w:tr>
      <w:tr>
        <w:tc>
          <w:tcPr>
            <w:tcW w:type="dxa" w:w="4320"/>
          </w:tcPr>
          <w:p>
            <w:r>
              <w:rPr/>
              <w:t>OS</w:t>
            </w:r>
          </w:p>
        </w:tc>
        <w:tc>
          <w:tcPr>
            <w:tcW w:type="dxa" w:w="4320"/>
          </w:tcPr>
          <w:p>
            <w:r>
              <w:rPr/>
              <w:t>Linux 6.8.0</w:t>
            </w:r>
          </w:p>
        </w:tc>
      </w:tr>
      <w:tr>
        <w:tc>
          <w:tcPr>
            <w:tcW w:type="dxa" w:w="4320"/>
          </w:tcPr>
          <w:p>
            <w:r>
              <w:rPr/>
              <w:t>Input VCF</w:t>
            </w:r>
          </w:p>
        </w:tc>
        <w:tc>
          <w:tcPr>
            <w:tcW w:type="dxa" w:w="4320"/>
          </w:tcPr>
          <w:p>
            <w:r>
              <w:rPr/>
              <w:t>6,138,868 records (4.7M SNPs, 1.4M indels); public genome, Zenodo 18370498 (CC0)</w:t>
            </w:r>
          </w:p>
        </w:tc>
      </w:tr>
      <w:tr>
        <w:tc>
          <w:tcPr>
            <w:tcW w:type="dxa" w:w="4320"/>
          </w:tcPr>
          <w:p>
            <w:r>
              <w:rPr/>
              <w:t>Variant caller</w:t>
            </w:r>
          </w:p>
        </w:tc>
        <w:tc>
          <w:tcPr>
            <w:tcW w:type="dxa" w:w="4320"/>
          </w:tcPr>
          <w:p>
            <w:r>
              <w:rPr/>
              <w:t xml:space="preserve">DeepVariant </w:t>
            </w:r>
            <w:commentRangeStart w:id="64"/>
            <w:commentRangeStart w:id="65"/>
            <w:del w:id="348" w:author="Prose edit" w:date="2026-10-22T10:17:48Z">
              <w:r>
                <w:rPr/>
                <w:delText xml:space="preserve">v1.4.0 </w:delText>
              </w:r>
            </w:del>
            <w:commentRangeEnd w:id="65"/>
            <w:r>
              <w:rPr>
                <w:rStyle w:val="CommentReference"/>
              </w:rPr>
              <w:commentReference w:id="65"/>
            </w:r>
            <w:commentRangeEnd w:id="64"/>
            <w:r>
              <w:rPr>
                <w:rStyle w:val="CommentReference"/>
              </w:rPr>
              <w:commentReference w:id="64"/>
            </w:r>
          </w:p>
        </w:tc>
      </w:tr>
      <w:tr>
        <w:tc>
          <w:tcPr>
            <w:tcW w:type="dxa" w:w="4320"/>
          </w:tcPr>
          <w:p>
            <w:r>
              <w:rPr/>
              <w:t>Genome build</w:t>
            </w:r>
          </w:p>
        </w:tc>
        <w:tc>
          <w:tcPr>
            <w:tcW w:type="dxa" w:w="4320"/>
          </w:tcPr>
          <w:p>
            <w:r>
              <w:rPr/>
              <w:t>GRCh38</w:t>
            </w:r>
          </w:p>
        </w:tc>
      </w:tr>
      <w:tr>
        <w:tc>
          <w:tcPr>
            <w:tcW w:type="dxa" w:w="4320"/>
          </w:tcPr>
          <w:p>
            <w:r>
              <w:rPr/>
              <w:t>Coverage</w:t>
            </w:r>
          </w:p>
        </w:tc>
        <w:tc>
          <w:tcPr>
            <w:tcW w:type="dxa" w:w="4320"/>
          </w:tcPr>
          <w:p>
            <w:r>
              <w:rPr/>
              <w:t>~162× mean</w:t>
            </w:r>
          </w:p>
        </w:tc>
      </w:tr>
    </w:tbl>
    <w:p>
      <w:r>
        <w:rPr/>
        <w:t xml:space="preserve">The approximately 172-fold speedup is the ratio of the </w:t>
      </w:r>
      <w:commentRangeStart w:id="66"/>
      <w:commentRangeStart w:id="67"/>
      <w:del w:id="349" w:author="Prose edit" w:date="2026-10-22T10:17:48Z">
        <w:r>
          <w:rPr/>
          <w:delText>reported</w:delText>
        </w:r>
      </w:del>
      <w:ins w:id="350" w:author="Prose edit" w:date="2026-10-22T10:17:48Z">
        <w:r>
          <w:rPr/>
          <w:t>mean</w:t>
        </w:r>
      </w:ins>
      <w:r>
        <w:rPr/>
        <w:t xml:space="preserve"> </w:t>
      </w:r>
      <w:del w:id="351" w:author="Prose edit" w:date="2026-10-22T10:17:48Z">
        <w:r>
          <w:rPr/>
          <w:delText>mean</w:delText>
        </w:r>
      </w:del>
      <w:ins w:id="352" w:author="Prose edit" w:date="2026-10-22T10:17:48Z">
        <w:r>
          <w:rPr/>
          <w:t>of the three</w:t>
        </w:r>
      </w:ins>
      <w:r>
        <w:rPr/>
        <w:t xml:space="preserve"> Generation I </w:t>
      </w:r>
      <w:del w:id="353" w:author="Prose edit" w:date="2026-10-22T10:17:48Z">
        <w:r>
          <w:rPr/>
          <w:delText>runtime</w:delText>
        </w:r>
      </w:del>
      <w:ins w:id="354" w:author="Prose edit" w:date="2026-10-22T10:17:48Z">
        <w:r>
          <w:rPr/>
          <w:t>runtimes, recorded in 2023 (Supplementary S2),</w:t>
        </w:r>
      </w:ins>
      <w:r>
        <w:rPr/>
        <w:t xml:space="preserve"> to the mean warm-run Just-DNA-Lite runtime</w:t>
      </w:r>
      <w:ins w:id="355" w:author="Prose edit" w:date="2026-10-22T10:17:48Z">
        <w:r>
          <w:rPr/>
          <w:t>; against the cold-start mean the ratio is about 33-fold (Table 2)</w:t>
        </w:r>
      </w:ins>
      <w:commentRangeEnd w:id="67"/>
      <w:r>
        <w:rPr>
          <w:rStyle w:val="CommentReference"/>
        </w:rPr>
        <w:commentReference w:id="67"/>
      </w:r>
      <w:commentRangeEnd w:id="66"/>
      <w:r>
        <w:rPr>
          <w:rStyle w:val="CommentReference"/>
        </w:rPr>
        <w:commentReference w:id="66"/>
      </w:r>
      <w:r>
        <w:rPr/>
        <w:t>.</w:t>
      </w:r>
      <w:r>
        <w:rPr/>
        <w:t xml:space="preserve"> It applies to these configurations and this input, rather than to OakVar generally.</w:t>
      </w:r>
      <w:r>
        <w:rPr/>
        <w:t xml:space="preserve"> The benchmark used HDD storage and a workstation with 128 GB RAM; it does not directly establish performance on a laptop or the gains from SSD storage.</w:t>
      </w:r>
      <w:r>
        <w:rPr/>
        <w:t xml:space="preserve"> </w:t>
      </w:r>
      <w:commentRangeStart w:id="68"/>
      <w:commentRangeStart w:id="69"/>
      <w:commentRangeStart w:id="125"/>
      <w:del w:id="356" w:author="Prose edit" w:date="2026-10-22T10:17:48Z">
        <w:r>
          <w:rPr/>
          <w:delText>Reported</w:delText>
        </w:r>
      </w:del>
      <w:r>
        <w:rPr/>
        <w:t xml:space="preserve"> </w:t>
      </w:r>
      <w:del w:id="357" w:author="Prose edit" w:date="2026-10-22T10:17:48Z">
        <w:r>
          <w:rPr/>
          <w:delText>peak</w:delText>
        </w:r>
      </w:del>
      <w:ins w:id="358" w:author="Prose edit" w:date="2026-10-22T10:17:48Z">
        <w:r>
          <w:rPr/>
          <w:t>Resident</w:t>
        </w:r>
      </w:ins>
      <w:r>
        <w:rPr/>
        <w:t xml:space="preserve"> memory</w:t>
      </w:r>
      <w:ins w:id="359" w:author="Prose edit" w:date="2026-10-22T10:17:48Z">
        <w:r>
          <w:rPr/>
          <w:t xml:space="preserve"> measured at the start and end of each pipeline step</w:t>
        </w:r>
      </w:ins>
      <w:r>
        <w:rPr/>
        <w:t xml:space="preserve"> remained below 750 MB for the runs in Table 3</w:t>
      </w:r>
      <w:ins w:id="360" w:author="Prose edit" w:date="2026-10-22T10:17:48Z">
        <w:r>
          <w:rPr/>
          <w:t>; memory allocated and released within a step is not captured by this measurement</w:t>
        </w:r>
      </w:ins>
      <w:commentRangeEnd w:id="69"/>
      <w:r>
        <w:rPr>
          <w:rStyle w:val="CommentReference"/>
        </w:rPr>
        <w:commentReference w:id="69"/>
      </w:r>
      <w:commentRangeEnd w:id="68"/>
      <w:r>
        <w:rPr>
          <w:rStyle w:val="CommentReference"/>
        </w:rPr>
        <w:commentReference w:id="68"/>
      </w:r>
      <w:r>
        <w:rPr/>
        <w:t>.</w:t>
      </w:r>
      <w:commentRangeEnd w:id="125"/>
      <w:r>
        <w:rPr>
          <w:rStyle w:val="CommentReference"/>
        </w:rPr>
        <w:commentReference w:id="125"/>
      </w:r>
      <w:r>
        <w:rPr/>
        <w:t xml:space="preserve"> Streaming joins and column-pruned reads are architectural differences, but this comparison does not isolate their individual contributions to runtime.</w:t>
      </w:r>
    </w:p>
    <w:p>
      <w:pPr>
        <w:pStyle w:val="Heading2"/>
      </w:pPr>
      <w:commentRangeStart w:id="217"/>
      <w:r>
        <w:rPr>
          <w:b/>
        </w:rPr>
        <w:t>5.2 PRS Computation</w:t>
      </w:r>
      <w:commentRangeEnd w:id="217"/>
      <w:r>
        <w:rPr>
          <w:rStyle w:val="CommentReference"/>
        </w:rPr>
        <w:commentReference w:id="217"/>
      </w:r>
    </w:p>
    <w:p>
      <w:commentRangeStart w:id="180"/>
      <w:commentRangeStart w:id="203"/>
      <w:r>
        <w:rPr/>
        <w:t xml:space="preserve">We benchmarked just-prs's DuckDB and Polars engines against the external tool PLINK2 on 100 PGS Catalog scores using </w:t>
      </w:r>
      <w:commentRangeStart w:id="70"/>
      <w:commentRangeStart w:id="71"/>
      <w:del w:id="361" w:author="Prose edit" w:date="2026-10-22T10:17:48Z">
        <w:r>
          <w:rPr/>
          <w:delText>a</w:delText>
        </w:r>
      </w:del>
      <w:ins w:id="362" w:author="Prose edit" w:date="2026-10-22T10:17:48Z">
        <w:r>
          <w:rPr/>
          <w:t>the</w:t>
        </w:r>
      </w:ins>
      <w:r>
        <w:rPr/>
        <w:t xml:space="preserve"> </w:t>
      </w:r>
      <w:del w:id="363" w:author="Prose edit" w:date="2026-10-22T10:17:48Z">
        <w:r>
          <w:rPr/>
          <w:delText>personal</w:delText>
        </w:r>
      </w:del>
      <w:ins w:id="364" w:author="Prose edit" w:date="2026-10-22T10:17:48Z">
        <w:r>
          <w:rPr/>
          <w:t>same</w:t>
        </w:r>
      </w:ins>
      <w:r>
        <w:rPr/>
        <w:t xml:space="preserve"> whole-genome VCF</w:t>
      </w:r>
      <w:commentRangeEnd w:id="203"/>
      <w:r>
        <w:rPr>
          <w:rStyle w:val="CommentReference"/>
        </w:rPr>
        <w:commentReference w:id="203"/>
      </w:r>
      <w:ins w:id="365" w:author="Prose edit" w:date="2026-10-22T10:17:48Z">
        <w:r>
          <w:rPr/>
          <w:t xml:space="preserve"> as in Section 5.1</w:t>
        </w:r>
      </w:ins>
      <w:commentRangeEnd w:id="71"/>
      <w:r>
        <w:rPr>
          <w:rStyle w:val="CommentReference"/>
        </w:rPr>
        <w:commentReference w:id="71"/>
      </w:r>
      <w:commentRangeEnd w:id="70"/>
      <w:r>
        <w:rPr>
          <w:rStyle w:val="CommentReference"/>
        </w:rPr>
        <w:commentReference w:id="70"/>
      </w:r>
      <w:r>
        <w:rPr/>
        <w:t xml:space="preserve"> (4,661,444 biallelic variants, GRCh38; Zenodo 18370498).</w:t>
      </w:r>
      <w:commentRangeEnd w:id="180"/>
      <w:r>
        <w:rPr>
          <w:rStyle w:val="CommentReference"/>
        </w:rPr>
        <w:commentReference w:id="180"/>
      </w:r>
      <w:commentRangeStart w:id="102"/>
      <w:commentRangeStart w:id="201"/>
      <w:r>
        <w:rPr/>
        <w:t xml:space="preserve"> The benchmark script is </w:t>
      </w:r>
      <w:r>
        <w:rPr>
          <w:rFonts w:ascii="Consolas" w:hAnsi="Consolas"/>
        </w:rPr>
        <w:t>benchmarks/benchmark_engines.py</w:t>
      </w:r>
      <w:r>
        <w:rPr/>
        <w:t xml:space="preserve"> in the just-prs repository.</w:t>
      </w:r>
      <w:commentRangeEnd w:id="201"/>
      <w:r>
        <w:rPr>
          <w:rStyle w:val="CommentReference"/>
        </w:rPr>
        <w:commentReference w:id="201"/>
      </w:r>
      <w:commentRangeEnd w:id="102"/>
      <w:r>
        <w:rPr>
          <w:rStyle w:val="CommentReference"/>
        </w:rPr>
        <w:commentReference w:id="102"/>
      </w:r>
      <w:r>
        <w:rPr/>
        <w:t xml:space="preserve"> Each observation represents a different scoring model applied to the same individual.</w:t>
      </w:r>
    </w:p>
    <w:p>
      <w:r>
        <w:rPr>
          <w:b/>
        </w:rPr>
        <w:t>Table 5.</w:t>
      </w:r>
      <w:r>
        <w:rPr/>
        <w:t xml:space="preserve"> Runtime comparison of PRS computation engines (seconds per PGS ID).</w:t>
      </w:r>
      <w:commentRangeStart w:id="204"/>
      <w:r>
        <w:rPr/>
        <w:t xml:space="preserve"> "Excl.</w:t>
      </w:r>
      <w:r>
        <w:rPr/>
        <w:t xml:space="preserve"> large" excludes 7 PGS IDs with ≥ 1M variants.</w:t>
      </w:r>
      <w:commentRangeEnd w:id="204"/>
      <w:r>
        <w:rPr>
          <w:rStyle w:val="CommentReference"/>
        </w:rPr>
        <w:commentReference w:id="204"/>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Engine</w:t>
            </w:r>
          </w:p>
        </w:tc>
        <w:tc>
          <w:tcPr>
            <w:tcW w:type="dxa" w:w="1440"/>
          </w:tcPr>
          <w:p>
            <w:r>
              <w:rPr>
                <w:b/>
                <w:i/>
              </w:rPr>
              <w:t>N</w:t>
            </w:r>
            <w:r>
              <w:rPr>
                <w:b/>
              </w:rPr>
              <w:t xml:space="preserve"> scored</w:t>
            </w:r>
          </w:p>
        </w:tc>
        <w:tc>
          <w:tcPr>
            <w:tcW w:type="dxa" w:w="1440"/>
          </w:tcPr>
          <w:p>
            <w:r>
              <w:rPr>
                <w:b/>
              </w:rPr>
              <w:t>Median (all)</w:t>
            </w:r>
          </w:p>
        </w:tc>
        <w:tc>
          <w:tcPr>
            <w:tcW w:type="dxa" w:w="1440"/>
          </w:tcPr>
          <w:p>
            <w:r>
              <w:rPr>
                <w:b/>
              </w:rPr>
              <w:t>Mean (all)</w:t>
            </w:r>
          </w:p>
        </w:tc>
        <w:tc>
          <w:tcPr>
            <w:tcW w:type="dxa" w:w="1440"/>
          </w:tcPr>
          <w:p>
            <w:r>
              <w:rPr>
                <w:b/>
              </w:rPr>
              <w:t>Median (excl.</w:t>
            </w:r>
            <w:r>
              <w:rPr>
                <w:b/>
              </w:rPr>
              <w:t xml:space="preserve"> large)</w:t>
            </w:r>
          </w:p>
        </w:tc>
        <w:tc>
          <w:tcPr>
            <w:tcW w:type="dxa" w:w="1440"/>
          </w:tcPr>
          <w:p>
            <w:r>
              <w:rPr>
                <w:b/>
              </w:rPr>
              <w:t>Speedup vs PLINK2</w:t>
            </w:r>
          </w:p>
        </w:tc>
      </w:tr>
      <w:tr>
        <w:tc>
          <w:tcPr>
            <w:tcW w:type="dxa" w:w="1440"/>
          </w:tcPr>
          <w:p>
            <w:r>
              <w:rPr>
                <w:b/>
              </w:rPr>
              <w:t>DuckDB</w:t>
            </w:r>
          </w:p>
        </w:tc>
        <w:tc>
          <w:tcPr>
            <w:tcW w:type="dxa" w:w="1440"/>
          </w:tcPr>
          <w:p>
            <w:r>
              <w:rPr/>
              <w:t>100</w:t>
            </w:r>
          </w:p>
        </w:tc>
        <w:tc>
          <w:tcPr>
            <w:tcW w:type="dxa" w:w="1440"/>
          </w:tcPr>
          <w:p>
            <w:r>
              <w:rPr>
                <w:b/>
              </w:rPr>
              <w:t>0.049</w:t>
            </w:r>
          </w:p>
        </w:tc>
        <w:tc>
          <w:tcPr>
            <w:tcW w:type="dxa" w:w="1440"/>
          </w:tcPr>
          <w:p>
            <w:r>
              <w:rPr/>
              <w:t>0.394</w:t>
            </w:r>
          </w:p>
        </w:tc>
        <w:tc>
          <w:tcPr>
            <w:tcW w:type="dxa" w:w="1440"/>
          </w:tcPr>
          <w:p>
            <w:r>
              <w:rPr/>
              <w:t>0.048</w:t>
            </w:r>
          </w:p>
        </w:tc>
        <w:tc>
          <w:tcPr>
            <w:tcW w:type="dxa" w:w="1440"/>
          </w:tcPr>
          <w:p>
            <w:r>
              <w:rPr>
                <w:b/>
              </w:rPr>
              <w:t>12.3×</w:t>
            </w:r>
          </w:p>
        </w:tc>
      </w:tr>
      <w:tr>
        <w:tc>
          <w:tcPr>
            <w:tcW w:type="dxa" w:w="1440"/>
          </w:tcPr>
          <w:p>
            <w:r>
              <w:rPr>
                <w:b/>
              </w:rPr>
              <w:t>Polars</w:t>
            </w:r>
          </w:p>
        </w:tc>
        <w:tc>
          <w:tcPr>
            <w:tcW w:type="dxa" w:w="1440"/>
          </w:tcPr>
          <w:p>
            <w:r>
              <w:rPr/>
              <w:t>100</w:t>
            </w:r>
          </w:p>
        </w:tc>
        <w:tc>
          <w:tcPr>
            <w:tcW w:type="dxa" w:w="1440"/>
          </w:tcPr>
          <w:p>
            <w:r>
              <w:rPr/>
              <w:t>0.106</w:t>
            </w:r>
          </w:p>
        </w:tc>
        <w:tc>
          <w:tcPr>
            <w:tcW w:type="dxa" w:w="1440"/>
          </w:tcPr>
          <w:p>
            <w:r>
              <w:rPr/>
              <w:t>0.466</w:t>
            </w:r>
          </w:p>
        </w:tc>
        <w:tc>
          <w:tcPr>
            <w:tcW w:type="dxa" w:w="1440"/>
          </w:tcPr>
          <w:p>
            <w:r>
              <w:rPr/>
              <w:t>0.105</w:t>
            </w:r>
          </w:p>
        </w:tc>
        <w:tc>
          <w:tcPr>
            <w:tcW w:type="dxa" w:w="1440"/>
          </w:tcPr>
          <w:p>
            <w:r>
              <w:rPr/>
              <w:t>5.7×</w:t>
            </w:r>
          </w:p>
        </w:tc>
      </w:tr>
      <w:tr>
        <w:tc>
          <w:tcPr>
            <w:tcW w:type="dxa" w:w="1440"/>
          </w:tcPr>
          <w:p>
            <w:r>
              <w:rPr/>
              <w:t>PLINK2</w:t>
            </w:r>
          </w:p>
        </w:tc>
        <w:tc>
          <w:tcPr>
            <w:tcW w:type="dxa" w:w="1440"/>
          </w:tcPr>
          <w:p>
            <w:r>
              <w:rPr/>
              <w:t>96^a^</w:t>
            </w:r>
          </w:p>
        </w:tc>
        <w:tc>
          <w:tcPr>
            <w:tcW w:type="dxa" w:w="1440"/>
          </w:tcPr>
          <w:p>
            <w:r>
              <w:rPr/>
              <w:t>0.603</w:t>
            </w:r>
          </w:p>
        </w:tc>
        <w:tc>
          <w:tcPr>
            <w:tcW w:type="dxa" w:w="1440"/>
          </w:tcPr>
          <w:p>
            <w:r>
              <w:rPr/>
              <w:t>0.703</w:t>
            </w:r>
          </w:p>
        </w:tc>
        <w:tc>
          <w:tcPr>
            <w:tcW w:type="dxa" w:w="1440"/>
          </w:tcPr>
          <w:p>
            <w:r>
              <w:rPr/>
              <w:t>0.603</w:t>
            </w:r>
          </w:p>
        </w:tc>
        <w:tc>
          <w:tcPr>
            <w:tcW w:type="dxa" w:w="1440"/>
          </w:tcPr>
          <w:p>
            <w:r>
              <w:rPr/>
              <w:t>1× (ref.)</w:t>
            </w:r>
          </w:p>
        </w:tc>
      </w:tr>
    </w:tbl>
    <w:p>
      <w:commentRangeStart w:id="200"/>
      <w:r>
        <w:rPr/>
        <w:t>^a^ PLINK2 failed on 4 genome-wide PGS IDs (6.6–6.9M variants) due to 4-part ID matching constraints; just-prs engines scored all 100.</w:t>
      </w:r>
      <w:commentRangeEnd w:id="200"/>
      <w:r>
        <w:rPr>
          <w:rStyle w:val="CommentReference"/>
        </w:rPr>
        <w:commentReference w:id="200"/>
      </w:r>
    </w:p>
    <w:p>
      <w:r>
        <w:rPr>
          <w:b/>
        </w:rPr>
        <w:t>Table 6.</w:t>
      </w:r>
      <w:r>
        <w:rPr/>
        <w:t xml:space="preserve"> Score concordance between engines.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Engine pair</w:t>
            </w:r>
          </w:p>
        </w:tc>
        <w:tc>
          <w:tcPr>
            <w:tcW w:type="dxa" w:w="2160"/>
          </w:tcPr>
          <w:p>
            <w:r>
              <w:rPr>
                <w:b/>
                <w:i/>
              </w:rPr>
              <w:t>N</w:t>
            </w:r>
            <w:r>
              <w:rPr>
                <w:b/>
              </w:rPr>
              <w:t xml:space="preserve"> PGS</w:t>
            </w:r>
          </w:p>
        </w:tc>
        <w:tc>
          <w:tcPr>
            <w:tcW w:type="dxa" w:w="2160"/>
          </w:tcPr>
          <w:p>
            <w:r>
              <w:rPr>
                <w:b/>
              </w:rPr>
              <w:t xml:space="preserve">Pearson </w:t>
            </w:r>
            <w:r>
              <w:rPr>
                <w:b/>
                <w:i/>
              </w:rPr>
              <w:t>r</w:t>
            </w:r>
          </w:p>
        </w:tc>
        <w:tc>
          <w:tcPr>
            <w:tcW w:type="dxa" w:w="2160"/>
          </w:tcPr>
          <w:p>
            <w:r>
              <w:rPr>
                <w:b/>
              </w:rPr>
              <w:t>Max |Δ score|</w:t>
            </w:r>
          </w:p>
        </w:tc>
      </w:tr>
      <w:tr>
        <w:tc>
          <w:tcPr>
            <w:tcW w:type="dxa" w:w="2160"/>
          </w:tcPr>
          <w:p>
            <w:r>
              <w:rPr/>
              <w:t>DuckDB ↔ Polars</w:t>
            </w:r>
          </w:p>
        </w:tc>
        <w:tc>
          <w:tcPr>
            <w:tcW w:type="dxa" w:w="2160"/>
          </w:tcPr>
          <w:p>
            <w:r>
              <w:rPr/>
              <w:t>100</w:t>
            </w:r>
          </w:p>
        </w:tc>
        <w:tc>
          <w:tcPr>
            <w:tcW w:type="dxa" w:w="2160"/>
          </w:tcPr>
          <w:p>
            <w:r>
              <w:rPr>
                <w:b/>
              </w:rPr>
              <w:t>1.000000</w:t>
            </w:r>
          </w:p>
        </w:tc>
        <w:tc>
          <w:tcPr>
            <w:tcW w:type="dxa" w:w="2160"/>
          </w:tcPr>
          <w:p>
            <w:r>
              <w:rPr/>
              <w:t>&lt; 1.1 × 10⁻¹³</w:t>
            </w:r>
          </w:p>
        </w:tc>
      </w:tr>
      <w:tr>
        <w:tc>
          <w:tcPr>
            <w:tcW w:type="dxa" w:w="2160"/>
          </w:tcPr>
          <w:p>
            <w:r>
              <w:rPr/>
              <w:t>DuckDB ↔ PLINK2</w:t>
            </w:r>
          </w:p>
        </w:tc>
        <w:tc>
          <w:tcPr>
            <w:tcW w:type="dxa" w:w="2160"/>
          </w:tcPr>
          <w:p>
            <w:r>
              <w:rPr/>
              <w:t>96</w:t>
            </w:r>
          </w:p>
        </w:tc>
        <w:tc>
          <w:tcPr>
            <w:tcW w:type="dxa" w:w="2160"/>
          </w:tcPr>
          <w:p>
            <w:r>
              <w:rPr/>
              <w:t>0.999859</w:t>
            </w:r>
          </w:p>
        </w:tc>
        <w:tc>
          <w:tcPr>
            <w:tcW w:type="dxa" w:w="2160"/>
          </w:tcPr>
          <w:p>
            <w:r>
              <w:rPr/>
              <w:t>21.4</w:t>
            </w:r>
          </w:p>
        </w:tc>
      </w:tr>
      <w:tr>
        <w:tc>
          <w:tcPr>
            <w:tcW w:type="dxa" w:w="2160"/>
          </w:tcPr>
          <w:p>
            <w:r>
              <w:rPr/>
              <w:t>Polars ↔ PLINK2</w:t>
            </w:r>
          </w:p>
        </w:tc>
        <w:tc>
          <w:tcPr>
            <w:tcW w:type="dxa" w:w="2160"/>
          </w:tcPr>
          <w:p>
            <w:r>
              <w:rPr/>
              <w:t>96</w:t>
            </w:r>
          </w:p>
        </w:tc>
        <w:tc>
          <w:tcPr>
            <w:tcW w:type="dxa" w:w="2160"/>
          </w:tcPr>
          <w:p>
            <w:r>
              <w:rPr/>
              <w:t>0.999859</w:t>
            </w:r>
          </w:p>
        </w:tc>
        <w:tc>
          <w:tcPr>
            <w:tcW w:type="dxa" w:w="2160"/>
          </w:tcPr>
          <w:p>
            <w:r>
              <w:rPr/>
              <w:t>21.4</w:t>
            </w:r>
          </w:p>
        </w:tc>
      </w:tr>
    </w:tbl>
    <w:p>
      <w:r>
        <w:rPr/>
        <w:t>DuckDB and Polars agreed to within 1.1 × 10⁻¹³ on this input.</w:t>
      </w:r>
      <w:commentRangeStart w:id="127"/>
      <w:r>
        <w:rPr/>
        <w:t xml:space="preserve"> Scores closely agreed with the external PLINK2 comparator (Pearson r = 0.999859; maximum absolute score difference 21.4).</w:t>
      </w:r>
      <w:commentRangeEnd w:id="127"/>
      <w:r>
        <w:rPr>
          <w:rStyle w:val="CommentReference"/>
        </w:rPr>
        <w:commentReference w:id="127"/>
      </w:r>
      <w:commentRangeStart w:id="166"/>
      <w:r>
        <w:rPr/>
        <w:t xml:space="preserve"> The workflows differ in variant identification: just-prs resolves scoring variants by genomic position with allele-orientation handling, whereas the PLINK2 benchmark used exact chr:pos:ref:alt identifiers.</w:t>
      </w:r>
      <w:commentRangeEnd w:id="166"/>
      <w:r>
        <w:rPr>
          <w:rStyle w:val="CommentReference"/>
        </w:rPr>
        <w:commentReference w:id="166"/>
      </w:r>
      <w:r>
        <w:rPr/>
        <w:t xml:space="preserve"> This allows just-prs to match variants that the benchmark's exact-identifier route misses and explains why score differences can remain despite the same weighted-sum calculation.</w:t>
      </w:r>
      <w:r>
        <w:rPr/>
        <w:t xml:space="preserve"> The comparison concerns this PLINK2 configuration, not a general limitation of the tool.</w:t>
      </w:r>
      <w:r>
        <w:rPr/>
        <w:t xml:space="preserve"> Correlation here measures agreement across scores for one genome; it does not measure rankings across individuals.</w:t>
      </w:r>
      <w:r>
        <w:rPr/>
        <w:t xml:space="preserve"> Supplementary S3 distinguishes per-call Python heap measurements from PLINK2 process memory.</w:t>
      </w:r>
    </w:p>
    <w:p>
      <w:commentRangeStart w:id="210"/>
      <w:r>
        <w:rPr/>
        <w:t>Reported variant-match rates in this benchmark were approximately 50 to 54%.</w:t>
      </w:r>
      <w:commentRangeEnd w:id="210"/>
      <w:r>
        <w:rPr>
          <w:rStyle w:val="CommentReference"/>
        </w:rPr>
        <w:commentReference w:id="210"/>
      </w:r>
      <w:r>
        <w:rPr/>
        <w:t xml:space="preserve"> These values describe the benchmark configuration, rather than the maximum coverage supported by just-prs.</w:t>
      </w:r>
      <w:r>
        <w:rPr/>
        <w:t xml:space="preserve"> Reference-homozygote restoration can recover eligible absent loci for many scores, and the array workflow supports LD-proxy estimation (Section 3.2); their coverage gains are not quantified by this engine comparison.</w:t>
      </w:r>
      <w:r>
        <w:rPr/>
        <w:t xml:space="preserve"> Missingness and allele matching also affect comparison with reference distributions.</w:t>
      </w:r>
      <w:r>
        <w:rPr/>
        <w:t xml:space="preserve"> The reported speedups are ratios of engine-level median runtimes, with 100 completed scores for DuckDB and Polars and 96 for PLINK2.</w:t>
      </w:r>
    </w:p>
    <w:p>
      <w:commentRangeStart w:id="211"/>
      <w:r>
        <w:rPr/>
        <w:t>Annotation reliability depends on both the source evidence and its representation in the module.</w:t>
      </w:r>
      <w:commentRangeEnd w:id="211"/>
      <w:r>
        <w:rPr>
          <w:rStyle w:val="CommentReference"/>
        </w:rPr>
        <w:commentReference w:id="211"/>
      </w:r>
      <w:r>
        <w:rPr/>
        <w:t xml:space="preserve"> Published associations do not by themselves validate extraction, allele orientation, genotype matching, or report wording.</w:t>
      </w:r>
      <w:commentRangeStart w:id="165"/>
      <w:r>
        <w:rPr/>
        <w:t xml:space="preserve"> The present benchmarks measure runtime and score agreement; they do not constitute a systematic accuracy evaluation of the annotation modules.</w:t>
      </w:r>
      <w:commentRangeEnd w:id="165"/>
      <w:r>
        <w:rPr>
          <w:rStyle w:val="CommentReference"/>
        </w:rPr>
        <w:commentReference w:id="165"/>
      </w:r>
    </w:p>
    <w:p>
      <w:pPr>
        <w:pStyle w:val="Heading1"/>
      </w:pPr>
      <w:r>
        <w:rPr>
          <w:b/>
        </w:rPr>
        <w:t>6.</w:t>
      </w:r>
      <w:r>
        <w:rPr>
          <w:b/>
        </w:rPr>
        <w:t xml:space="preserve"> Discussion</w:t>
      </w:r>
    </w:p>
    <w:p>
      <w:pPr>
        <w:pStyle w:val="Heading2"/>
      </w:pPr>
      <w:r>
        <w:rPr>
          <w:b/>
        </w:rPr>
        <w:t>6.1 Limitations of Variant Annotation</w:t>
      </w:r>
    </w:p>
    <w:p>
      <w:r>
        <w:rPr/>
        <w:t>Variant annotation tools surface statistical associations from published literature, and several inherent limitations apply.</w:t>
      </w:r>
      <w:r>
        <w:rPr/>
        <w:t xml:space="preserve"> Heritability is a population-level statistic, not individual determinism, and estimates change with environment, study design, and cohort.</w:t>
      </w:r>
      <w:r>
        <w:rPr/>
        <w:t xml:space="preserve"> A polygenic risk score is a linear weighted sum that reflects where an individual falls in a reference population's distribution; real biology is not linear, and gene-gene and gene-environment interactions, feedback loops, developmental windows, and compensatory mechanisms are not captured.</w:t>
      </w:r>
      <w:commentRangeStart w:id="192"/>
      <w:r>
        <w:rPr/>
        <w:t xml:space="preserve"> Most PGS Catalog scoring files were derived from predominantly European cohorts, so associations may not transfer to other ancestries (Section 6.4).</w:t>
      </w:r>
      <w:commentRangeEnd w:id="192"/>
      <w:r>
        <w:rPr>
          <w:rStyle w:val="CommentReference"/>
        </w:rPr>
        <w:commentReference w:id="192"/>
      </w:r>
      <w:r>
        <w:rPr/>
        <w:t xml:space="preserve"> Most variants surfaced are statistical associations from GWAS</w:t>
      </w:r>
      <w:commentRangeStart w:id="72"/>
      <w:del w:id="366" w:author="Deslop" w:date="2026-10-22T10:17:48Z">
        <w:r>
          <w:rPr/>
          <w:delText>,</w:delText>
        </w:r>
      </w:del>
      <w:r>
        <w:rPr/>
        <w:t xml:space="preserve"> </w:t>
      </w:r>
      <w:del w:id="367" w:author="Deslop" w:date="2026-10-22T10:17:48Z">
        <w:r>
          <w:rPr/>
          <w:delText>not</w:delText>
        </w:r>
      </w:del>
      <w:ins w:id="368" w:author="Deslop" w:date="2026-10-22T10:17:48Z">
        <w:r>
          <w:rPr/>
          <w:t>without an</w:t>
        </w:r>
      </w:ins>
      <w:r>
        <w:rPr/>
        <w:t xml:space="preserve"> established causal </w:t>
      </w:r>
      <w:del w:id="369" w:author="Deslop" w:date="2026-10-22T10:17:48Z">
        <w:r>
          <w:rPr/>
          <w:delText>mechanisms</w:delText>
        </w:r>
      </w:del>
      <w:ins w:id="370" w:author="Deslop" w:date="2026-10-22T10:17:48Z">
        <w:r>
          <w:rPr/>
          <w:t>mechanism</w:t>
        </w:r>
      </w:ins>
      <w:commentRangeEnd w:id="72"/>
      <w:r>
        <w:rPr>
          <w:rStyle w:val="CommentReference"/>
        </w:rPr>
        <w:commentReference w:id="72"/>
      </w:r>
      <w:commentRangeStart w:id="193"/>
      <w:r>
        <w:rPr/>
        <w:t>; many GWAS hits are tagging SNPs, and effect sizes typically shrink in replication.</w:t>
      </w:r>
      <w:commentRangeEnd w:id="193"/>
      <w:r>
        <w:rPr>
          <w:rStyle w:val="CommentReference"/>
        </w:rPr>
        <w:commentReference w:id="193"/>
      </w:r>
    </w:p>
    <w:p>
      <w:r>
        <w:rPr/>
        <w:t>AI-generated modules carry additional uncertainty: they are automated drafts produced by language models reading published papers, and they will contain mistakes; users should treat them as lower confidence than expert-curated modules and review the underlying evidence.</w:t>
      </w:r>
      <w:r>
        <w:rPr/>
        <w:t xml:space="preserve"> Just-DNA-Lite is a research tool, not a clinical pipeline.</w:t>
      </w:r>
      <w:r>
        <w:rPr/>
        <w:t xml:space="preserve"> Raw VCFs contain false positives, and automated annotations have inherent error rates.</w:t>
      </w:r>
      <w:r>
        <w:rPr/>
        <w:t xml:space="preserve"> The platform joins the user's variants against published databases and computes polygenic risk scores, adding contextual information from those sources; it does not interpret results in a clinical context.</w:t>
      </w:r>
    </w:p>
    <w:p>
      <w:pPr>
        <w:pStyle w:val="Heading2"/>
      </w:pPr>
      <w:r>
        <w:rPr>
          <w:b/>
        </w:rPr>
        <w:t>6.2 Local Processing and Data Privacy</w:t>
      </w:r>
    </w:p>
    <w:p>
      <w:r>
        <w:rPr/>
        <w:t>Core annotation and PRS computation use local genome files, cached reference datasets, and local result storage.</w:t>
      </w:r>
      <w:commentRangeStart w:id="176"/>
      <w:r>
        <w:rPr/>
        <w:t xml:space="preserve"> Downloading reference data does not require uploading the user's genome.</w:t>
      </w:r>
      <w:commentRangeEnd w:id="176"/>
      <w:r>
        <w:rPr>
          <w:rStyle w:val="CommentReference"/>
        </w:rPr>
        <w:commentReference w:id="176"/>
      </w:r>
      <w:r>
        <w:rPr/>
        <w:t xml:space="preserve"> This architecture reduces the need to disclose genomic data to a hosted analysis service, but local execution is not a guarantee against disclosure through other parts of a workflow.</w:t>
      </w:r>
    </w:p>
    <w:p>
      <w:commentRangeStart w:id="175"/>
      <w:r>
        <w:rPr/>
        <w:t>Optional AI explanations and MCP clients require a separate assessment: when an assistant uses an external model provider, prompts and tool outputs may transmit sensitive results even if the raw VCF remains local.</w:t>
      </w:r>
      <w:commentRangeEnd w:id="175"/>
      <w:r>
        <w:rPr>
          <w:rStyle w:val="CommentReference"/>
        </w:rPr>
        <w:commentReference w:id="175"/>
      </w:r>
      <w:r>
        <w:rPr/>
        <w:t xml:space="preserve"> Privacy therefore depends on the deployment, the selected services, and the information shared with them.</w:t>
      </w:r>
      <w:r>
        <w:rPr/>
        <w:t xml:space="preserve"> The platform's local architecture alone does not establish regulatory compliance.</w:t>
      </w:r>
    </w:p>
    <w:p>
      <w:pPr>
        <w:pStyle w:val="Heading2"/>
      </w:pPr>
      <w:r>
        <w:rPr>
          <w:b/>
        </w:rPr>
        <w:t>6.3 Platform Philosophy: Transparency and the Right to Read Your Own Genome</w:t>
      </w:r>
    </w:p>
    <w:p>
      <w:r>
        <w:rPr/>
        <w:t xml:space="preserve">Just-DNA-Lite is built on a simple conviction: people </w:t>
      </w:r>
      <w:commentRangeStart w:id="73"/>
      <w:del w:id="371" w:author="Prose edit" w:date="2026-10-22T10:17:48Z">
        <w:r>
          <w:rPr/>
          <w:delText>have</w:delText>
        </w:r>
      </w:del>
      <w:ins w:id="372" w:author="Prose edit" w:date="2026-10-22T10:17:48Z">
        <w:r>
          <w:rPr/>
          <w:t>should</w:t>
        </w:r>
      </w:ins>
      <w:r>
        <w:rPr/>
        <w:t xml:space="preserve"> </w:t>
      </w:r>
      <w:del w:id="373" w:author="Prose edit" w:date="2026-10-22T10:17:48Z">
        <w:r>
          <w:rPr/>
          <w:delText>the</w:delText>
        </w:r>
      </w:del>
      <w:ins w:id="374" w:author="Prose edit" w:date="2026-10-22T10:17:48Z">
        <w:r>
          <w:rPr/>
          <w:t>be</w:t>
        </w:r>
      </w:ins>
      <w:r>
        <w:rPr/>
        <w:t xml:space="preserve"> </w:t>
      </w:r>
      <w:del w:id="375" w:author="Prose edit" w:date="2026-10-22T10:17:48Z">
        <w:r>
          <w:rPr/>
          <w:delText>right</w:delText>
        </w:r>
      </w:del>
      <w:ins w:id="376" w:author="Prose edit" w:date="2026-10-22T10:17:48Z">
        <w:r>
          <w:rPr/>
          <w:t>able</w:t>
        </w:r>
      </w:ins>
      <w:commentRangeStart w:id="173"/>
      <w:r>
        <w:rPr/>
        <w:t xml:space="preserve"> to read and explore their own genomic data, and researchers </w:t>
      </w:r>
      <w:del w:id="377" w:author="Prose edit" w:date="2026-10-22T10:17:48Z">
        <w:r>
          <w:rPr/>
          <w:delText>have</w:delText>
        </w:r>
      </w:del>
      <w:ins w:id="378" w:author="Prose edit" w:date="2026-10-22T10:17:48Z">
        <w:r>
          <w:rPr/>
          <w:t>should</w:t>
        </w:r>
      </w:ins>
      <w:r>
        <w:rPr/>
        <w:t xml:space="preserve"> </w:t>
      </w:r>
      <w:del w:id="379" w:author="Prose edit" w:date="2026-10-22T10:17:48Z">
        <w:r>
          <w:rPr/>
          <w:delText>the</w:delText>
        </w:r>
      </w:del>
      <w:ins w:id="380" w:author="Prose edit" w:date="2026-10-22T10:17:48Z">
        <w:r>
          <w:rPr/>
          <w:t>be</w:t>
        </w:r>
      </w:ins>
      <w:r>
        <w:rPr/>
        <w:t xml:space="preserve"> </w:t>
      </w:r>
      <w:del w:id="381" w:author="Prose edit" w:date="2026-10-22T10:17:48Z">
        <w:r>
          <w:rPr/>
          <w:delText>right</w:delText>
        </w:r>
      </w:del>
      <w:ins w:id="382" w:author="Prose edit" w:date="2026-10-22T10:17:48Z">
        <w:r>
          <w:rPr/>
          <w:t>able</w:t>
        </w:r>
      </w:ins>
      <w:r>
        <w:rPr/>
        <w:t xml:space="preserve"> to work with </w:t>
      </w:r>
      <w:del w:id="383" w:author="Prose edit" w:date="2026-10-22T10:17:48Z">
        <w:r>
          <w:rPr/>
          <w:delText xml:space="preserve">public </w:delText>
        </w:r>
      </w:del>
      <w:r>
        <w:rPr/>
        <w:t xml:space="preserve">genomes </w:t>
      </w:r>
      <w:del w:id="384" w:author="Prose edit" w:date="2026-10-22T10:17:48Z">
        <w:r>
          <w:rPr/>
          <w:delText>without</w:delText>
        </w:r>
      </w:del>
      <w:ins w:id="385" w:author="Prose edit" w:date="2026-10-22T10:17:48Z">
        <w:r>
          <w:rPr/>
          <w:t>that</w:t>
        </w:r>
      </w:ins>
      <w:r>
        <w:rPr/>
        <w:t xml:space="preserve"> </w:t>
      </w:r>
      <w:del w:id="386" w:author="Prose edit" w:date="2026-10-22T10:17:48Z">
        <w:r>
          <w:rPr/>
          <w:delText>a</w:delText>
        </w:r>
      </w:del>
      <w:ins w:id="387" w:author="Prose edit" w:date="2026-10-22T10:17:48Z">
        <w:r>
          <w:rPr/>
          <w:t>their</w:t>
        </w:r>
      </w:ins>
      <w:r>
        <w:rPr/>
        <w:t xml:space="preserve"> </w:t>
      </w:r>
      <w:del w:id="388" w:author="Prose edit" w:date="2026-10-22T10:17:48Z">
        <w:r>
          <w:rPr/>
          <w:delText>gatekeeper's</w:delText>
        </w:r>
      </w:del>
      <w:ins w:id="389" w:author="Prose edit" w:date="2026-10-22T10:17:48Z">
        <w:r>
          <w:rPr/>
          <w:t>owners</w:t>
        </w:r>
      </w:ins>
      <w:r>
        <w:rPr/>
        <w:t xml:space="preserve"> </w:t>
      </w:r>
      <w:del w:id="390" w:author="Prose edit" w:date="2026-10-22T10:17:48Z">
        <w:r>
          <w:rPr/>
          <w:delText>permission</w:delText>
        </w:r>
      </w:del>
      <w:commentRangeEnd w:id="173"/>
      <w:r>
        <w:rPr>
          <w:rStyle w:val="CommentReference"/>
        </w:rPr>
        <w:commentReference w:id="173"/>
      </w:r>
      <w:ins w:id="391" w:author="Prose edit" w:date="2026-10-22T10:17:48Z">
        <w:r>
          <w:rPr/>
          <w:t>have deliberately made public, under the terms those owners chose.</w:t>
        </w:r>
      </w:ins>
      <w:ins w:id="392" w:author="Prose edit" w:date="2026-10-22T10:17:48Z">
        <w:r>
          <w:rPr/>
          <w:t xml:space="preserve"> The law already recognises part of this</w:t>
        </w:r>
      </w:ins>
      <w:r>
        <w:rPr/>
        <w:t>.</w:t>
      </w:r>
      <w:commentRangeStart w:id="194"/>
      <w:r>
        <w:rPr/>
        <w:t xml:space="preserve"> The GDPR's right of access (Article 15) </w:t>
      </w:r>
      <w:del w:id="393" w:author="Prose edit" w:date="2026-10-22T10:17:48Z">
        <w:r>
          <w:rPr/>
          <w:delText xml:space="preserve">already </w:delText>
        </w:r>
      </w:del>
      <w:r>
        <w:rPr/>
        <w:t>entitles individuals to</w:t>
      </w:r>
      <w:del w:id="394" w:author="Prose edit" w:date="2026-10-22T10:17:48Z">
        <w:r>
          <w:rPr/>
          <w:delText xml:space="preserve"> obtain</w:delText>
        </w:r>
      </w:del>
      <w:r>
        <w:rPr/>
        <w:t xml:space="preserve"> a copy of </w:t>
      </w:r>
      <w:del w:id="395" w:author="Prose edit" w:date="2026-10-22T10:17:48Z">
        <w:r>
          <w:rPr/>
          <w:delText>their</w:delText>
        </w:r>
      </w:del>
      <w:ins w:id="396" w:author="Prose edit" w:date="2026-10-22T10:17:48Z">
        <w:r>
          <w:rPr/>
          <w:t>the</w:t>
        </w:r>
      </w:ins>
      <w:r>
        <w:rPr/>
        <w:t xml:space="preserve"> personal data</w:t>
      </w:r>
      <w:commentRangeEnd w:id="194"/>
      <w:r>
        <w:rPr>
          <w:rStyle w:val="CommentReference"/>
        </w:rPr>
        <w:commentReference w:id="194"/>
      </w:r>
      <w:ins w:id="397" w:author="Prose edit" w:date="2026-10-22T10:17:48Z">
        <w:r>
          <w:rPr/>
          <w:t xml:space="preserve"> a controller holds about them, which can include sequencing data held by a provider</w:t>
        </w:r>
      </w:ins>
      <w:r>
        <w:rPr/>
        <w:t>, and the</w:t>
      </w:r>
      <w:del w:id="398" w:author="Prose edit" w:date="2026-10-22T10:17:48Z">
        <w:r>
          <w:rPr/>
          <w:delText xml:space="preserve"> emerging</w:delText>
        </w:r>
      </w:del>
      <w:r>
        <w:rPr/>
        <w:t xml:space="preserve"> European Health Data Space </w:t>
      </w:r>
      <w:del w:id="399" w:author="Prose edit" w:date="2026-10-22T10:17:48Z">
        <w:r>
          <w:rPr/>
          <w:delText>is</w:delText>
        </w:r>
      </w:del>
      <w:ins w:id="400" w:author="Prose edit" w:date="2026-10-22T10:17:48Z">
        <w:r>
          <w:rPr/>
          <w:t>Regulation</w:t>
        </w:r>
      </w:ins>
      <w:r>
        <w:rPr/>
        <w:t xml:space="preserve"> </w:t>
      </w:r>
      <w:del w:id="401" w:author="Prose edit" w:date="2026-10-22T10:17:48Z">
        <w:r>
          <w:rPr/>
          <w:delText>designed</w:delText>
        </w:r>
      </w:del>
      <w:ins w:id="402" w:author="Prose edit" w:date="2026-10-22T10:17:48Z">
        <w:r>
          <w:rPr/>
          <w:t>(EU)</w:t>
        </w:r>
      </w:ins>
      <w:r>
        <w:rPr/>
        <w:t xml:space="preserve"> </w:t>
      </w:r>
      <w:del w:id="403" w:author="Prose edit" w:date="2026-10-22T10:17:48Z">
        <w:r>
          <w:rPr/>
          <w:delText>to</w:delText>
        </w:r>
      </w:del>
      <w:ins w:id="404" w:author="Prose edit" w:date="2026-10-22T10:17:48Z">
        <w:r>
          <w:rPr/>
          <w:t>2025/327</w:t>
        </w:r>
      </w:ins>
      <w:r>
        <w:rPr/>
        <w:t xml:space="preserve"> </w:t>
      </w:r>
      <w:del w:id="405" w:author="Prose edit" w:date="2026-10-22T10:17:48Z">
        <w:r>
          <w:rPr/>
          <w:delText>give</w:delText>
        </w:r>
      </w:del>
      <w:ins w:id="406" w:author="Prose edit" w:date="2026-10-22T10:17:48Z">
        <w:r>
          <w:rPr/>
          <w:t>adds</w:t>
        </w:r>
      </w:ins>
      <w:r>
        <w:rPr/>
        <w:t xml:space="preserve"> </w:t>
      </w:r>
      <w:del w:id="407" w:author="Prose edit" w:date="2026-10-22T10:17:48Z">
        <w:r>
          <w:rPr/>
          <w:delText>people</w:delText>
        </w:r>
      </w:del>
      <w:ins w:id="408" w:author="Prose edit" w:date="2026-10-22T10:17:48Z">
        <w:r>
          <w:rPr/>
          <w:t>rights of</w:t>
        </w:r>
      </w:ins>
      <w:r>
        <w:rPr/>
        <w:t xml:space="preserve"> access to </w:t>
      </w:r>
      <w:del w:id="409" w:author="Prose edit" w:date="2026-10-22T10:17:48Z">
        <w:r>
          <w:rPr/>
          <w:delText>and control over their own</w:delText>
        </w:r>
      </w:del>
      <w:ins w:id="410" w:author="Prose edit" w:date="2026-10-22T10:17:48Z">
        <w:r>
          <w:rPr/>
          <w:t>electronic</w:t>
        </w:r>
      </w:ins>
      <w:r>
        <w:rPr/>
        <w:t xml:space="preserve"> health </w:t>
      </w:r>
      <w:del w:id="411" w:author="Prose edit" w:date="2026-10-22T10:17:48Z">
        <w:r>
          <w:rPr/>
          <w:delText>information</w:delText>
        </w:r>
      </w:del>
      <w:ins w:id="412" w:author="Prose edit" w:date="2026-10-22T10:17:48Z">
        <w:r>
          <w:rPr/>
          <w:t>records from 2029</w:t>
        </w:r>
      </w:ins>
      <w:r>
        <w:rPr/>
        <w:t>.</w:t>
      </w:r>
      <w:r>
        <w:rPr/>
        <w:t xml:space="preserve"> A tool that runs locally </w:t>
      </w:r>
      <w:del w:id="413" w:author="Prose edit" w:date="2026-10-22T10:17:48Z">
        <w:r>
          <w:rPr/>
          <w:delText>and</w:delText>
        </w:r>
      </w:del>
      <w:ins w:id="414" w:author="Prose edit" w:date="2026-10-22T10:17:48Z">
        <w:r>
          <w:rPr/>
          <w:t>lets</w:t>
        </w:r>
      </w:ins>
      <w:r>
        <w:rPr/>
        <w:t xml:space="preserve"> </w:t>
      </w:r>
      <w:commentRangeStart w:id="119"/>
      <w:del w:id="415" w:author="Prose edit" w:date="2026-10-22T10:17:48Z">
        <w:r>
          <w:rPr/>
          <w:delText>shows</w:delText>
        </w:r>
      </w:del>
      <w:ins w:id="416" w:author="Prose edit" w:date="2026-10-22T10:17:48Z">
        <w:r>
          <w:rPr/>
          <w:t>people</w:t>
        </w:r>
      </w:ins>
      <w:r>
        <w:rPr/>
        <w:t xml:space="preserve"> </w:t>
      </w:r>
      <w:del w:id="417" w:author="Prose edit" w:date="2026-10-22T10:17:48Z">
        <w:r>
          <w:rPr/>
          <w:delText>you</w:delText>
        </w:r>
      </w:del>
      <w:ins w:id="418" w:author="Prose edit" w:date="2026-10-22T10:17:48Z">
        <w:r>
          <w:rPr/>
          <w:t>use</w:t>
        </w:r>
      </w:ins>
      <w:r>
        <w:rPr/>
        <w:t xml:space="preserve"> </w:t>
      </w:r>
      <w:del w:id="419" w:author="Prose edit" w:date="2026-10-22T10:17:48Z">
        <w:r>
          <w:rPr/>
          <w:delText>everything</w:delText>
        </w:r>
      </w:del>
      <w:ins w:id="420" w:author="Prose edit" w:date="2026-10-22T10:17:48Z">
        <w:r>
          <w:rPr/>
          <w:t>the</w:t>
        </w:r>
      </w:ins>
      <w:r>
        <w:rPr/>
        <w:t xml:space="preserve"> </w:t>
      </w:r>
      <w:del w:id="421" w:author="Prose edit" w:date="2026-10-22T10:17:48Z">
        <w:r>
          <w:rPr/>
          <w:delText>in</w:delText>
        </w:r>
      </w:del>
      <w:ins w:id="422" w:author="Prose edit" w:date="2026-10-22T10:17:48Z">
        <w:r>
          <w:rPr/>
          <w:t>data</w:t>
        </w:r>
      </w:ins>
      <w:r>
        <w:rPr/>
        <w:t xml:space="preserve"> </w:t>
      </w:r>
      <w:del w:id="423" w:author="Prose edit" w:date="2026-10-22T10:17:48Z">
        <w:r>
          <w:rPr/>
          <w:delText>your</w:delText>
        </w:r>
      </w:del>
      <w:ins w:id="424" w:author="Prose edit" w:date="2026-10-22T10:17:48Z">
        <w:r>
          <w:rPr/>
          <w:t>they</w:t>
        </w:r>
      </w:ins>
      <w:r>
        <w:rPr/>
        <w:t xml:space="preserve"> </w:t>
      </w:r>
      <w:del w:id="425" w:author="Prose edit" w:date="2026-10-22T10:17:48Z">
        <w:r>
          <w:rPr/>
          <w:delText>own genome is,</w:delText>
        </w:r>
      </w:del>
      <w:ins w:id="426" w:author="Prose edit" w:date="2026-10-22T10:17:48Z">
        <w:r>
          <w:rPr/>
          <w:t>obtain</w:t>
        </w:r>
      </w:ins>
      <w:r>
        <w:rPr/>
        <w:t xml:space="preserve"> in this </w:t>
      </w:r>
      <w:del w:id="427" w:author="Prose edit" w:date="2026-10-22T10:17:48Z">
        <w:r>
          <w:rPr/>
          <w:delText>light,</w:delText>
        </w:r>
      </w:del>
      <w:commentRangeEnd w:id="119"/>
      <w:r>
        <w:rPr>
          <w:rStyle w:val="CommentReference"/>
        </w:rPr>
        <w:commentReference w:id="119"/>
      </w:r>
      <w:ins w:id="428" w:author="Prose edit" w:date="2026-10-22T10:17:48Z">
        <w:r>
          <w:rPr/>
          <w:t>way</w:t>
        </w:r>
      </w:ins>
      <w:r>
        <w:rPr/>
        <w:t xml:space="preserve"> </w:t>
      </w:r>
      <w:del w:id="429" w:author="Prose edit" w:date="2026-10-22T10:17:48Z">
        <w:r>
          <w:rPr/>
          <w:delText>an</w:delText>
        </w:r>
      </w:del>
      <w:ins w:id="430" w:author="Prose edit" w:date="2026-10-22T10:17:48Z">
        <w:r>
          <w:rPr/>
          <w:t>without</w:t>
        </w:r>
      </w:ins>
      <w:r>
        <w:rPr/>
        <w:t xml:space="preserve"> </w:t>
      </w:r>
      <w:del w:id="431" w:author="Prose edit" w:date="2026-10-22T10:17:48Z">
        <w:r>
          <w:rPr/>
          <w:delText>instrument</w:delText>
        </w:r>
      </w:del>
      <w:ins w:id="432" w:author="Prose edit" w:date="2026-10-22T10:17:48Z">
        <w:r>
          <w:rPr/>
          <w:t>handing</w:t>
        </w:r>
      </w:ins>
      <w:r>
        <w:rPr/>
        <w:t xml:space="preserve"> </w:t>
      </w:r>
      <w:del w:id="433" w:author="Prose edit" w:date="2026-10-22T10:17:48Z">
        <w:r>
          <w:rPr/>
          <w:delText>of</w:delText>
        </w:r>
      </w:del>
      <w:ins w:id="434" w:author="Prose edit" w:date="2026-10-22T10:17:48Z">
        <w:r>
          <w:rPr/>
          <w:t>it</w:t>
        </w:r>
      </w:ins>
      <w:r>
        <w:rPr/>
        <w:t xml:space="preserve"> </w:t>
      </w:r>
      <w:del w:id="435" w:author="Prose edit" w:date="2026-10-22T10:17:48Z">
        <w:r>
          <w:rPr/>
          <w:delText>an</w:delText>
        </w:r>
      </w:del>
      <w:ins w:id="436" w:author="Prose edit" w:date="2026-10-22T10:17:48Z">
        <w:r>
          <w:rPr/>
          <w:t>to</w:t>
        </w:r>
      </w:ins>
      <w:r>
        <w:rPr/>
        <w:t xml:space="preserve"> </w:t>
      </w:r>
      <w:del w:id="437" w:author="Prose edit" w:date="2026-10-22T10:17:48Z">
        <w:r>
          <w:rPr/>
          <w:delText>existing</w:delText>
        </w:r>
      </w:del>
      <w:ins w:id="438" w:author="Prose edit" w:date="2026-10-22T10:17:48Z">
        <w:r>
          <w:rPr/>
          <w:t>another</w:t>
        </w:r>
      </w:ins>
      <w:r>
        <w:rPr/>
        <w:t xml:space="preserve"> </w:t>
      </w:r>
      <w:del w:id="439" w:author="Prose edit" w:date="2026-10-22T10:17:48Z">
        <w:r>
          <w:rPr/>
          <w:delText>right</w:delText>
        </w:r>
      </w:del>
      <w:ins w:id="440" w:author="Prose edit" w:date="2026-10-22T10:17:48Z">
        <w:r>
          <w:rPr/>
          <w:t>service</w:t>
        </w:r>
      </w:ins>
      <w:commentRangeEnd w:id="73"/>
      <w:r>
        <w:rPr>
          <w:rStyle w:val="CommentReference"/>
        </w:rPr>
        <w:commentReference w:id="73"/>
      </w:r>
      <w:r>
        <w:rPr/>
        <w:t>.</w:t>
      </w:r>
    </w:p>
    <w:p>
      <w:r>
        <w:rPr/>
        <w:t>Genomic findings can be misinterpreted or provide false reassurance, particularly when analytical errors and ancestry differences are overlooked (Tandy-Connor et al., 2018; Manrai et al., 2016).</w:t>
      </w:r>
      <w:r>
        <w:rPr/>
        <w:t xml:space="preserve"> The interface presents model provenance, variant-match rates, ancestry context, and differences among scores to make these limitations inspectable.</w:t>
      </w:r>
      <w:r>
        <w:rPr/>
        <w:t xml:space="preserve"> Displaying this information is a design choice; whether it improves user understanding requires a usability study.</w:t>
      </w:r>
      <w:r>
        <w:rPr/>
        <w:t xml:space="preserve"> The project also maintains tutorials and has run hands-on workshops for non-specialists.</w:t>
      </w:r>
    </w:p>
    <w:p>
      <w:pPr>
        <w:pStyle w:val="Heading2"/>
      </w:pPr>
      <w:r>
        <w:rPr>
          <w:b/>
        </w:rPr>
        <w:t>6.4 Limitations</w:t>
      </w:r>
    </w:p>
    <w:p>
      <w:commentRangeStart w:id="123"/>
      <w:r>
        <w:rPr>
          <w:b/>
        </w:rPr>
        <w:t>Population stratification.</w:t>
      </w:r>
      <w:r>
        <w:rPr/>
        <w:t xml:space="preserve"> The 1000 Genomes-based percentile distributions provide population-specific reference points (AFR, AMR, EAS, EUR, SAS), but most modules and PGS scoring files derive from predominantly European cohorts; transferability to non-European populations is a known limitation of the source data, not specific to this platform.</w:t>
      </w:r>
      <w:commentRangeEnd w:id="123"/>
      <w:r>
        <w:rPr>
          <w:rStyle w:val="CommentReference"/>
        </w:rPr>
        <w:commentReference w:id="123"/>
      </w:r>
      <w:r>
        <w:rPr/>
        <w:t xml:space="preserve"> </w:t>
      </w:r>
      <w:r>
        <w:rPr>
          <w:b/>
        </w:rPr>
        <w:t>Ancestry selection.</w:t>
      </w:r>
      <w:r>
        <w:rPr/>
        <w:t xml:space="preserve"> </w:t>
      </w:r>
      <w:commentRangeStart w:id="74"/>
      <w:commentRangeStart w:id="132"/>
      <w:del w:id="441" w:author="Prose edit" w:date="2026-10-22T10:17:48Z">
        <w:r>
          <w:rPr/>
          <w:delText>Automatic</w:delText>
        </w:r>
      </w:del>
      <w:ins w:id="442" w:author="Prose edit" w:date="2026-10-22T10:17:48Z">
        <w:r>
          <w:rPr/>
          <w:t>The</w:t>
        </w:r>
      </w:ins>
      <w:r>
        <w:rPr/>
        <w:t xml:space="preserve"> </w:t>
      </w:r>
      <w:del w:id="443" w:author="Prose edit" w:date="2026-10-22T10:17:48Z">
        <w:r>
          <w:rPr/>
          <w:delText>ancestry</w:delText>
        </w:r>
      </w:del>
      <w:ins w:id="444" w:author="Prose edit" w:date="2026-10-22T10:17:48Z">
        <w:r>
          <w:rPr/>
          <w:t>web</w:t>
        </w:r>
      </w:ins>
      <w:r>
        <w:rPr/>
        <w:t xml:space="preserve"> </w:t>
      </w:r>
      <w:del w:id="445" w:author="Prose edit" w:date="2026-10-22T10:17:48Z">
        <w:r>
          <w:rPr/>
          <w:delText>inference</w:delText>
        </w:r>
      </w:del>
      <w:ins w:id="446" w:author="Prose edit" w:date="2026-10-22T10:17:48Z">
        <w:r>
          <w:rPr/>
          <w:t>interface</w:t>
        </w:r>
      </w:ins>
      <w:r>
        <w:rPr/>
        <w:t xml:space="preserve"> </w:t>
      </w:r>
      <w:del w:id="447" w:author="Prose edit" w:date="2026-10-22T10:17:48Z">
        <w:r>
          <w:rPr/>
          <w:delText>from</w:delText>
        </w:r>
      </w:del>
      <w:ins w:id="448" w:author="Prose edit" w:date="2026-10-22T10:17:48Z">
        <w:r>
          <w:rPr/>
          <w:t>infers</w:t>
        </w:r>
      </w:ins>
      <w:r>
        <w:rPr/>
        <w:t xml:space="preserve"> the</w:t>
      </w:r>
      <w:ins w:id="449" w:author="Prose edit" w:date="2026-10-22T10:17:48Z">
        <w:r>
          <w:rPr/>
          <w:t xml:space="preserve"> closest 1000 Genomes superpopulation when a</w:t>
        </w:r>
      </w:ins>
      <w:r>
        <w:rPr/>
        <w:t xml:space="preserve"> VCF is </w:t>
      </w:r>
      <w:del w:id="450" w:author="Prose edit" w:date="2026-10-22T10:17:48Z">
        <w:r>
          <w:rPr/>
          <w:delText>not</w:delText>
        </w:r>
      </w:del>
      <w:ins w:id="451" w:author="Prose edit" w:date="2026-10-22T10:17:48Z">
        <w:r>
          <w:rPr/>
          <w:t>loaded,</w:t>
        </w:r>
      </w:ins>
      <w:r>
        <w:rPr/>
        <w:t xml:space="preserve"> </w:t>
      </w:r>
      <w:del w:id="452" w:author="Prose edit" w:date="2026-10-22T10:17:48Z">
        <w:r>
          <w:rPr/>
          <w:delText>yet</w:delText>
        </w:r>
      </w:del>
      <w:ins w:id="453" w:author="Prose edit" w:date="2026-10-22T10:17:48Z">
        <w:r>
          <w:rPr/>
          <w:t>by</w:t>
        </w:r>
      </w:ins>
      <w:r>
        <w:rPr/>
        <w:t xml:space="preserve"> </w:t>
      </w:r>
      <w:del w:id="454" w:author="Prose edit" w:date="2026-10-22T10:17:48Z">
        <w:r>
          <w:rPr/>
          <w:delText>implemented</w:delText>
        </w:r>
      </w:del>
      <w:ins w:id="455" w:author="Prose edit" w:date="2026-10-22T10:17:48Z">
        <w:r>
          <w:rPr/>
          <w:t>projecting the genome onto reference principal components and classifying it among its 20 nearest reference neighbours, and returns an unknown call when fewer than 20% of the model's sites are present</w:t>
        </w:r>
      </w:ins>
      <w:r>
        <w:rPr/>
        <w:t>;</w:t>
      </w:r>
      <w:ins w:id="456" w:author="Prose edit" w:date="2026-10-22T10:17:48Z">
        <w:r>
          <w:rPr/>
          <w:t xml:space="preserve"> the inferred superpopulation sets the default percentile panel, which</w:t>
        </w:r>
      </w:ins>
      <w:r>
        <w:rPr/>
        <w:t xml:space="preserve"> users </w:t>
      </w:r>
      <w:del w:id="457" w:author="Prose edit" w:date="2026-10-22T10:17:48Z">
        <w:r>
          <w:rPr/>
          <w:delText>select</w:delText>
        </w:r>
      </w:del>
      <w:ins w:id="458" w:author="Prose edit" w:date="2026-10-22T10:17:48Z">
        <w:r>
          <w:rPr/>
          <w:t>can</w:t>
        </w:r>
      </w:ins>
      <w:r>
        <w:rPr/>
        <w:t xml:space="preserve"> </w:t>
      </w:r>
      <w:del w:id="459" w:author="Prose edit" w:date="2026-10-22T10:17:48Z">
        <w:r>
          <w:rPr/>
          <w:delText>the closest reference superpopulation</w:delText>
        </w:r>
      </w:del>
      <w:ins w:id="460" w:author="Prose edit" w:date="2026-10-22T10:17:48Z">
        <w:r>
          <w:rPr/>
          <w:t>override</w:t>
        </w:r>
      </w:ins>
      <w:commentRangeEnd w:id="74"/>
      <w:r>
        <w:rPr>
          <w:rStyle w:val="CommentReference"/>
        </w:rPr>
        <w:commentReference w:id="74"/>
      </w:r>
      <w:r>
        <w:rPr/>
        <w:t>.</w:t>
      </w:r>
      <w:commentRangeEnd w:id="132"/>
      <w:r>
        <w:rPr>
          <w:rStyle w:val="CommentReference"/>
        </w:rPr>
        <w:commentReference w:id="132"/>
      </w:r>
      <w:r>
        <w:rPr/>
        <w:t xml:space="preserve"> </w:t>
      </w:r>
      <w:r>
        <w:rPr>
          <w:b/>
        </w:rPr>
        <w:t>Input format.</w:t>
      </w:r>
      <w:r>
        <w:rPr/>
        <w:t xml:space="preserve"> </w:t>
      </w:r>
      <w:commentRangeStart w:id="75"/>
      <w:del w:id="461" w:author="Prose edit" w:date="2026-10-22T10:17:48Z">
        <w:r>
          <w:rPr/>
          <w:delText>The</w:delText>
        </w:r>
      </w:del>
      <w:ins w:id="462" w:author="Prose edit" w:date="2026-10-22T10:17:48Z">
        <w:r>
          <w:rPr/>
          <w:t>Just-DNA-Lite</w:t>
        </w:r>
      </w:ins>
      <w:r>
        <w:rPr/>
        <w:t xml:space="preserve"> </w:t>
      </w:r>
      <w:del w:id="463" w:author="Prose edit" w:date="2026-10-22T10:17:48Z">
        <w:r>
          <w:rPr/>
          <w:delText>platform</w:delText>
        </w:r>
      </w:del>
      <w:ins w:id="464" w:author="Prose edit" w:date="2026-10-22T10:17:48Z">
        <w:r>
          <w:rPr/>
          <w:t>currently</w:t>
        </w:r>
      </w:ins>
      <w:r>
        <w:rPr/>
        <w:t xml:space="preserve"> </w:t>
      </w:r>
      <w:del w:id="465" w:author="Prose edit" w:date="2026-10-22T10:17:48Z">
        <w:r>
          <w:rPr/>
          <w:delText>supports</w:delText>
        </w:r>
      </w:del>
      <w:ins w:id="466" w:author="Prose edit" w:date="2026-10-22T10:17:48Z">
        <w:r>
          <w:rPr/>
          <w:t>accepts GRCh38</w:t>
        </w:r>
      </w:ins>
      <w:r>
        <w:rPr/>
        <w:t xml:space="preserve"> WGS and WES VCFs</w:t>
      </w:r>
      <w:del w:id="467" w:author="Prose edit" w:date="2026-10-22T10:17:48Z">
        <w:r>
          <w:rPr/>
          <w:delText>;</w:delText>
        </w:r>
      </w:del>
      <w:ins w:id="468" w:author="Prose edit" w:date="2026-10-22T10:17:48Z">
        <w:r>
          <w:rPr/>
          <w:t>.</w:t>
        </w:r>
      </w:ins>
      <w:r>
        <w:rPr/>
        <w:t xml:space="preserve"> </w:t>
      </w:r>
      <w:commentRangeStart w:id="133"/>
      <w:del w:id="469" w:author="Prose edit" w:date="2026-10-22T10:17:48Z">
        <w:r>
          <w:rPr/>
          <w:delText>GRCh38</w:delText>
        </w:r>
      </w:del>
      <w:ins w:id="470" w:author="Prose edit" w:date="2026-10-22T10:17:48Z">
        <w:r>
          <w:rPr/>
          <w:t>The</w:t>
        </w:r>
      </w:ins>
      <w:r>
        <w:rPr/>
        <w:t xml:space="preserve"> </w:t>
      </w:r>
      <w:del w:id="471" w:author="Prose edit" w:date="2026-10-22T10:17:48Z">
        <w:r>
          <w:rPr/>
          <w:delText>is</w:delText>
        </w:r>
      </w:del>
      <w:ins w:id="472" w:author="Prose edit" w:date="2026-10-22T10:17:48Z">
        <w:r>
          <w:rPr/>
          <w:t>standalone</w:t>
        </w:r>
      </w:ins>
      <w:r>
        <w:rPr/>
        <w:t xml:space="preserve"> </w:t>
      </w:r>
      <w:del w:id="473" w:author="Prose edit" w:date="2026-10-22T10:17:48Z">
        <w:r>
          <w:rPr/>
          <w:delText>the</w:delText>
        </w:r>
      </w:del>
      <w:ins w:id="474" w:author="Prose edit" w:date="2026-10-22T10:17:48Z">
        <w:r>
          <w:rPr/>
          <w:t>just-prs</w:t>
        </w:r>
      </w:ins>
      <w:r>
        <w:rPr/>
        <w:t xml:space="preserve"> </w:t>
      </w:r>
      <w:del w:id="475" w:author="Prose edit" w:date="2026-10-22T10:17:48Z">
        <w:r>
          <w:rPr/>
          <w:delText>primary</w:delText>
        </w:r>
      </w:del>
      <w:ins w:id="476" w:author="Prose edit" w:date="2026-10-22T10:17:48Z">
        <w:r>
          <w:rPr/>
          <w:t>library</w:t>
        </w:r>
      </w:ins>
      <w:r>
        <w:rPr/>
        <w:t xml:space="preserve"> </w:t>
      </w:r>
      <w:del w:id="477" w:author="Prose edit" w:date="2026-10-22T10:17:48Z">
        <w:r>
          <w:rPr/>
          <w:delText>build,</w:delText>
        </w:r>
      </w:del>
      <w:ins w:id="478" w:author="Prose edit" w:date="2026-10-22T10:17:48Z">
        <w:r>
          <w:rPr/>
          <w:t>can</w:t>
        </w:r>
      </w:ins>
      <w:r>
        <w:rPr/>
        <w:t xml:space="preserve"> </w:t>
      </w:r>
      <w:del w:id="479" w:author="Prose edit" w:date="2026-10-22T10:17:48Z">
        <w:r>
          <w:rPr/>
          <w:delText>with</w:delText>
        </w:r>
      </w:del>
      <w:ins w:id="480" w:author="Prose edit" w:date="2026-10-22T10:17:48Z">
        <w:r>
          <w:rPr/>
          <w:t>lift</w:t>
        </w:r>
      </w:ins>
      <w:r>
        <w:rPr/>
        <w:t xml:space="preserve"> GRCh37/hg19 </w:t>
      </w:r>
      <w:del w:id="481" w:author="Prose edit" w:date="2026-10-22T10:17:48Z">
        <w:r>
          <w:rPr/>
          <w:delText>handled</w:delText>
        </w:r>
      </w:del>
      <w:ins w:id="482" w:author="Prose edit" w:date="2026-10-22T10:17:48Z">
        <w:r>
          <w:rPr/>
          <w:t>coordinates</w:t>
        </w:r>
      </w:ins>
      <w:r>
        <w:rPr/>
        <w:t xml:space="preserve"> </w:t>
      </w:r>
      <w:del w:id="483" w:author="Prose edit" w:date="2026-10-22T10:17:48Z">
        <w:r>
          <w:rPr/>
          <w:delText>via</w:delText>
        </w:r>
      </w:del>
      <w:ins w:id="484" w:author="Prose edit" w:date="2026-10-22T10:17:48Z">
        <w:r>
          <w:rPr/>
          <w:t>to GRCh38 when installed with its optional</w:t>
        </w:r>
      </w:ins>
      <w:r>
        <w:rPr/>
        <w:t xml:space="preserve"> liftover</w:t>
      </w:r>
      <w:del w:id="485" w:author="Prose edit" w:date="2026-10-22T10:17:48Z">
        <w:r>
          <w:rPr/>
          <w:delText>;</w:delText>
        </w:r>
      </w:del>
      <w:ins w:id="486" w:author="Prose edit" w:date="2026-10-22T10:17:48Z">
        <w:r>
          <w:rPr/>
          <w:t xml:space="preserve"> extra, and reads</w:t>
        </w:r>
      </w:ins>
      <w:r>
        <w:rPr/>
        <w:t xml:space="preserve"> consumer microarray </w:t>
      </w:r>
      <w:del w:id="487" w:author="Prose edit" w:date="2026-10-22T10:17:48Z">
        <w:r>
          <w:rPr/>
          <w:delText>data is supported</w:delText>
        </w:r>
      </w:del>
      <w:ins w:id="488" w:author="Prose edit" w:date="2026-10-22T10:17:48Z">
        <w:r>
          <w:rPr/>
          <w:t>files</w:t>
        </w:r>
      </w:ins>
      <w:r>
        <w:rPr/>
        <w:t xml:space="preserve"> experimentally</w:t>
      </w:r>
      <w:ins w:id="489" w:author="Prose edit" w:date="2026-10-22T10:17:48Z">
        <w:r>
          <w:rPr/>
          <w:t>,</w:t>
        </w:r>
      </w:ins>
      <w:r>
        <w:rPr/>
        <w:t xml:space="preserve"> </w:t>
      </w:r>
      <w:del w:id="490" w:author="Prose edit" w:date="2026-10-22T10:17:48Z">
        <w:r>
          <w:rPr/>
          <w:delText>(</w:delText>
        </w:r>
      </w:del>
      <w:r>
        <w:rPr/>
        <w:t>with far lower coverage</w:t>
      </w:r>
      <w:del w:id="491" w:author="Prose edit" w:date="2026-10-22T10:17:48Z">
        <w:r>
          <w:rPr/>
          <w:delText>,</w:delText>
        </w:r>
      </w:del>
      <w:ins w:id="492" w:author="Prose edit" w:date="2026-10-22T10:17:48Z">
        <w:r>
          <w:rPr/>
          <w:t>;</w:t>
        </w:r>
      </w:ins>
      <w:r>
        <w:rPr/>
        <w:t xml:space="preserve"> </w:t>
      </w:r>
      <w:del w:id="493" w:author="Prose edit" w:date="2026-10-22T10:17:48Z">
        <w:r>
          <w:rPr/>
          <w:delText>which</w:delText>
        </w:r>
      </w:del>
      <w:ins w:id="494" w:author="Prose edit" w:date="2026-10-22T10:17:48Z">
        <w:r>
          <w:rPr/>
          <w:t>neither route is yet available in</w:t>
        </w:r>
      </w:ins>
      <w:r>
        <w:rPr/>
        <w:t xml:space="preserve"> the </w:t>
      </w:r>
      <w:del w:id="495" w:author="Prose edit" w:date="2026-10-22T10:17:48Z">
        <w:r>
          <w:rPr/>
          <w:delText>platform</w:delText>
        </w:r>
      </w:del>
      <w:ins w:id="496" w:author="Prose edit" w:date="2026-10-22T10:17:48Z">
        <w:r>
          <w:rPr/>
          <w:t>Just-DNA-Lite</w:t>
        </w:r>
      </w:ins>
      <w:r>
        <w:rPr/>
        <w:t xml:space="preserve"> </w:t>
      </w:r>
      <w:del w:id="497" w:author="Prose edit" w:date="2026-10-22T10:17:48Z">
        <w:r>
          <w:rPr/>
          <w:delText>surfaces to users);</w:delText>
        </w:r>
      </w:del>
      <w:commentRangeEnd w:id="133"/>
      <w:r>
        <w:rPr>
          <w:rStyle w:val="CommentReference"/>
        </w:rPr>
        <w:commentReference w:id="133"/>
      </w:r>
      <w:ins w:id="498" w:author="Prose edit" w:date="2026-10-22T10:17:48Z">
        <w:r>
          <w:rPr/>
          <w:t>upload.</w:t>
        </w:r>
      </w:ins>
      <w:commentRangeEnd w:id="75"/>
      <w:r>
        <w:rPr>
          <w:rStyle w:val="CommentReference"/>
        </w:rPr>
        <w:commentReference w:id="75"/>
      </w:r>
      <w:r>
        <w:rPr/>
        <w:t xml:space="preserve"> T2T references are not yet supported.</w:t>
      </w:r>
      <w:r>
        <w:rPr/>
        <w:t xml:space="preserve"> </w:t>
      </w:r>
      <w:r>
        <w:rPr>
          <w:b/>
        </w:rPr>
        <w:t>Module quality variation.</w:t>
      </w:r>
      <w:r>
        <w:rPr/>
        <w:t xml:space="preserve"> Expert-curated modules inherit the limitations of their source databases; AI-generated modules have additional variability and require user review.</w:t>
      </w:r>
    </w:p>
    <w:p>
      <w:pPr>
        <w:pStyle w:val="Heading2"/>
      </w:pPr>
      <w:r>
        <w:rPr>
          <w:b/>
        </w:rPr>
        <w:t>6.5 Future Directions</w:t>
      </w:r>
    </w:p>
    <w:p>
      <w:r>
        <w:rPr/>
        <w:t xml:space="preserve">Several extensions are underway or planned: </w:t>
      </w:r>
      <w:commentRangeStart w:id="76"/>
      <w:commentRangeStart w:id="77"/>
      <w:ins w:id="499" w:author="Prose edit" w:date="2026-10-22T10:17:48Z">
        <w:r>
          <w:rPr/>
          <w:t xml:space="preserve">bringing the </w:t>
        </w:r>
      </w:ins>
      <w:r>
        <w:rPr/>
        <w:t xml:space="preserve">GRCh37/hg19 liftover </w:t>
      </w:r>
      <w:del w:id="500" w:author="Prose edit" w:date="2026-10-22T10:17:48Z">
        <w:r>
          <w:rPr/>
          <w:delText>(added),</w:delText>
        </w:r>
      </w:del>
      <w:ins w:id="501" w:author="Prose edit" w:date="2026-10-22T10:17:48Z">
        <w:r>
          <w:rPr/>
          <w:t>and</w:t>
        </w:r>
      </w:ins>
      <w:r>
        <w:rPr/>
        <w:t xml:space="preserve"> experimental consumer-microarray support</w:t>
      </w:r>
      <w:ins w:id="502" w:author="Prose edit" w:date="2026-10-22T10:17:48Z">
        <w:r>
          <w:rPr/>
          <w:t xml:space="preserve"> of the just-prs library into the Just-DNA-Lite upload</w:t>
        </w:r>
      </w:ins>
      <w:commentRangeEnd w:id="77"/>
      <w:r>
        <w:rPr>
          <w:rStyle w:val="CommentReference"/>
        </w:rPr>
        <w:commentReference w:id="77"/>
      </w:r>
      <w:commentRangeEnd w:id="76"/>
      <w:r>
        <w:rPr>
          <w:rStyle w:val="CommentReference"/>
        </w:rPr>
        <w:commentReference w:id="76"/>
      </w:r>
      <w:r>
        <w:rPr/>
        <w:t>, and eventual T2T reference support.</w:t>
      </w:r>
      <w:commentRangeStart w:id="120"/>
      <w:r>
        <w:rPr/>
        <w:t xml:space="preserve"> Multi-species support (companion-animal genomics) is </w:t>
      </w:r>
      <w:commentRangeStart w:id="78"/>
      <w:del w:id="503" w:author="Deslop" w:date="2026-10-22T10:17:48Z">
        <w:r>
          <w:rPr/>
          <w:delText>a</w:delText>
        </w:r>
      </w:del>
      <w:ins w:id="504" w:author="Deslop" w:date="2026-10-22T10:17:48Z">
        <w:r>
          <w:rPr/>
          <w:t>another</w:t>
        </w:r>
      </w:ins>
      <w:r>
        <w:rPr/>
        <w:t xml:space="preserve"> </w:t>
      </w:r>
      <w:del w:id="505" w:author="Deslop" w:date="2026-10-22T10:17:48Z">
        <w:r>
          <w:rPr/>
          <w:delText>compelling</w:delText>
        </w:r>
      </w:del>
      <w:ins w:id="506" w:author="Deslop" w:date="2026-10-22T10:17:48Z">
        <w:r>
          <w:rPr/>
          <w:t>possible</w:t>
        </w:r>
      </w:ins>
      <w:commentRangeEnd w:id="78"/>
      <w:r>
        <w:rPr>
          <w:rStyle w:val="CommentReference"/>
        </w:rPr>
        <w:commentReference w:id="78"/>
      </w:r>
      <w:r>
        <w:rPr/>
        <w:t xml:space="preserve"> direction.</w:t>
      </w:r>
      <w:commentRangeEnd w:id="120"/>
      <w:r>
        <w:rPr>
          <w:rStyle w:val="CommentReference"/>
        </w:rPr>
        <w:commentReference w:id="120"/>
      </w:r>
      <w:r>
        <w:rPr/>
        <w:t xml:space="preserve"> We are also considering methylation and transcriptomic ageing clocks, among the analyses users most frequently request.</w:t>
      </w:r>
      <w:r>
        <w:rPr/>
        <w:t xml:space="preserve"> Within the ROGEN consortium, population-calibrated polygenic risk scores are planned for a Romanian genomic cohort of approximately 5,000 individuals; that cohort has not yet been sequenced, and none of the work reported here uses cohort data.</w:t>
      </w:r>
      <w:r>
        <w:rPr/>
        <w:t xml:space="preserve"> Beyond technical extensions, the larger experiment is social: we encourage the community to build and share modules, and by design do not vet what others publish.</w:t>
      </w:r>
      <w:r>
        <w:rPr/>
        <w:t xml:space="preserve"> This openness has an unavoidable consequence</w:t>
      </w:r>
      <w:commentRangeStart w:id="79"/>
      <w:del w:id="507" w:author="Deslop" w:date="2026-10-22T10:17:48Z">
        <w:r>
          <w:rPr/>
          <w:delText xml:space="preserve"> —</w:delText>
        </w:r>
      </w:del>
      <w:ins w:id="508" w:author="Deslop" w:date="2026-10-22T10:17:48Z">
        <w:r>
          <w:rPr/>
          <w:t>:</w:t>
        </w:r>
      </w:ins>
      <w:r>
        <w:rPr/>
        <w:t xml:space="preserve"> community- and AI-generated modules will contain mistakes</w:t>
      </w:r>
      <w:ins w:id="509" w:author="Deslop" w:date="2026-10-22T10:17:48Z">
        <w:r>
          <w:rPr/>
          <w:t>.</w:t>
        </w:r>
      </w:ins>
      <w:r>
        <w:rPr/>
        <w:t xml:space="preserve"> </w:t>
      </w:r>
      <w:del w:id="510" w:author="Deslop" w:date="2026-10-22T10:17:48Z">
        <w:r>
          <w:rPr/>
          <w:delText>—</w:delText>
        </w:r>
      </w:del>
      <w:ins w:id="511" w:author="Deslop" w:date="2026-10-22T10:17:48Z">
        <w:r>
          <w:rPr/>
          <w:t>Instead</w:t>
        </w:r>
      </w:ins>
      <w:r>
        <w:rPr/>
        <w:t xml:space="preserve"> </w:t>
      </w:r>
      <w:del w:id="512" w:author="Deslop" w:date="2026-10-22T10:17:48Z">
        <w:r>
          <w:rPr/>
          <w:delText>which</w:delText>
        </w:r>
      </w:del>
      <w:ins w:id="513" w:author="Deslop" w:date="2026-10-22T10:17:48Z">
        <w:r>
          <w:rPr/>
          <w:t>of gatekeeping,</w:t>
        </w:r>
      </w:ins>
      <w:r>
        <w:rPr/>
        <w:t xml:space="preserve"> the platform mitigates </w:t>
      </w:r>
      <w:del w:id="514" w:author="Deslop" w:date="2026-10-22T10:17:48Z">
        <w:r>
          <w:rPr/>
          <w:delText>not</w:delText>
        </w:r>
      </w:del>
      <w:ins w:id="515" w:author="Deslop" w:date="2026-10-22T10:17:48Z">
        <w:r>
          <w:rPr/>
          <w:t>this</w:t>
        </w:r>
      </w:ins>
      <w:r>
        <w:rPr/>
        <w:t xml:space="preserve"> </w:t>
      </w:r>
      <w:del w:id="516" w:author="Deslop" w:date="2026-10-22T10:17:48Z">
        <w:r>
          <w:rPr/>
          <w:delText>by gatekeeping but</w:delText>
        </w:r>
      </w:del>
      <w:ins w:id="517" w:author="Deslop" w:date="2026-10-22T10:17:48Z">
        <w:r>
          <w:rPr/>
          <w:t>consequence</w:t>
        </w:r>
      </w:ins>
      <w:commentRangeEnd w:id="79"/>
      <w:r>
        <w:rPr>
          <w:rStyle w:val="CommentReference"/>
        </w:rPr>
        <w:commentReference w:id="79"/>
      </w:r>
      <w:r>
        <w:rPr/>
        <w:t xml:space="preserve"> by making provenance visible (the </w:t>
      </w:r>
      <w:r>
        <w:rPr>
          <w:rFonts w:ascii="Consolas" w:hAnsi="Consolas"/>
        </w:rPr>
        <w:t>curator</w:t>
      </w:r>
      <w:r>
        <w:rPr/>
        <w:t xml:space="preserve"> field, the explicit expert-versus-AI distinction) so that trust can be calibrated.</w:t>
      </w:r>
      <w:r>
        <w:rPr/>
        <w:t xml:space="preserve"> How best to curate and validate a large, decentralized ecosystem of genomic annotations is not yet known; Just-DNA-Lite is offered both as a usable platform and as a testbed for that question.</w:t>
      </w:r>
    </w:p>
    <w:p>
      <w:pPr>
        <w:pStyle w:val="Heading1"/>
      </w:pPr>
      <w:r>
        <w:rPr>
          <w:b/>
        </w:rPr>
        <w:t>7.</w:t>
      </w:r>
      <w:r>
        <w:rPr>
          <w:b/>
        </w:rPr>
        <w:t xml:space="preserve"> Conclusion</w:t>
      </w:r>
    </w:p>
    <w:p>
      <w:r>
        <w:rPr/>
        <w:t>Just-DNA-Lite integrates local variant annotation, polygenic scoring, and inspectable reports with a portable annotation-module contract and versioned content discovery.</w:t>
      </w:r>
      <w:r>
        <w:rPr/>
        <w:t xml:space="preserve"> Typed MCP tools make the PRS engine available to AI assistants.</w:t>
      </w:r>
      <w:r>
        <w:rPr/>
        <w:t xml:space="preserve"> On one public genome, the reported benchmarks show faster annotation than the earlier Just-DNA-Seq configuration and close numerical agreement between scoring engines.</w:t>
      </w:r>
      <w:r>
        <w:rPr/>
        <w:t xml:space="preserve"> Evaluation across individuals, reference populations, and matched-variant sets remains necessary to establish the broader reliability of these workflows.</w:t>
      </w:r>
      <w:commentRangeStart w:id="179"/>
      <w:commentRangeStart w:id="213"/>
      <w:r>
        <w:rPr/>
        <w:t xml:space="preserve"> The platform provides infrastructure for research and education, without establishing clinical validity for the findings it reports.</w:t>
      </w:r>
      <w:commentRangeEnd w:id="213"/>
      <w:r>
        <w:rPr>
          <w:rStyle w:val="CommentReference"/>
        </w:rPr>
        <w:commentReference w:id="213"/>
      </w:r>
      <w:commentRangeEnd w:id="179"/>
      <w:r>
        <w:rPr>
          <w:rStyle w:val="CommentReference"/>
        </w:rPr>
        <w:commentReference w:id="179"/>
      </w:r>
      <w:commentRangeStart w:id="80"/>
      <w:ins w:id="518" w:author="Story" w:date="2026-10-22T10:17:48Z">
        <w:r>
          <w:rPr/>
          <w:t xml:space="preserve"> The code, the benchmark scripts and the public benchmark genome are openly available, so readers can rerun these measurements and add annotation modules of their own.</w:t>
        </w:r>
      </w:ins>
      <w:commentRangeEnd w:id="80"/>
      <w:r>
        <w:rPr>
          <w:rStyle w:val="CommentReference"/>
        </w:rPr>
        <w:commentReference w:id="80"/>
      </w:r>
    </w:p>
    <w:p>
      <w:pPr>
        <w:pStyle w:val="Heading1"/>
      </w:pPr>
      <w:r>
        <w:rPr>
          <w:b/>
        </w:rPr>
        <w:t>Contribution Statements</w:t>
      </w:r>
    </w:p>
    <w:p>
      <w:pPr>
        <w:pStyle w:val="ListBullet"/>
      </w:pPr>
      <w:r>
        <w:rPr>
          <w:b/>
        </w:rPr>
        <w:t>Kulaga Anton</w:t>
      </w:r>
      <w:r>
        <w:rPr/>
        <w:t xml:space="preserve"> — co-founded the project, bioinformatic pipeline development, Just-DNA-Lite architecture (Dagster/Polars/DuckDB pipeline, uv workspace), just-prs library development and benchmarking, web UI development, team management, article writing</w:t>
      </w:r>
    </w:p>
    <w:p>
      <w:pPr>
        <w:pStyle w:val="ListBullet"/>
      </w:pPr>
      <w:r>
        <w:rPr>
          <w:b/>
        </w:rPr>
        <w:t>Usanov Nikolay</w:t>
      </w:r>
      <w:r>
        <w:rPr/>
        <w:t xml:space="preserve"> — co-founded the project, Just-DNA-Lite platform development, integration of the AI module-creation capability into the web interface, fundraising </w:t>
      </w:r>
      <w:r>
        <w:rPr>
          <w:i/>
        </w:rPr>
        <w:t>(the authoring plugin is the subject of the companion paper)</w:t>
      </w:r>
    </w:p>
    <w:p>
      <w:pPr>
        <w:pStyle w:val="ListBullet"/>
      </w:pPr>
      <w:r>
        <w:rPr>
          <w:b/>
        </w:rPr>
        <w:t>Borysova Olga</w:t>
      </w:r>
      <w:r>
        <w:rPr/>
        <w:t xml:space="preserve"> — modules and report content (longevity variants, cardiovascular traits, lipid metabolism, VO2 max, athletic performance, pharmacogenomics), LongevityMap database curation and expansion, pathway categorization, report structure, data collection and analysis</w:t>
      </w:r>
    </w:p>
    <w:p>
      <w:pPr>
        <w:pStyle w:val="ListBullet"/>
      </w:pPr>
      <w:r>
        <w:rPr>
          <w:b/>
        </w:rPr>
        <w:t>Karmazin Alexey</w:t>
      </w:r>
      <w:r>
        <w:rPr/>
        <w:t xml:space="preserve"> — lead architect of the Generation I report system, OakVar report modules and preparation utilities, PRS modules</w:t>
      </w:r>
    </w:p>
    <w:p>
      <w:pPr>
        <w:pStyle w:val="ListBullet"/>
      </w:pPr>
      <w:commentRangeStart w:id="81"/>
      <w:ins w:id="519" w:author="Prose edit" w:date="2026-10-22T10:17:48Z">
        <w:r>
          <w:rPr>
            <w:b/>
          </w:rPr>
          <w:t xml:space="preserve">Koval </w:t>
        </w:r>
      </w:ins>
      <w:r>
        <w:rPr>
          <w:b/>
        </w:rPr>
        <w:t>Maria</w:t>
      </w:r>
      <w:del w:id="520" w:author="Prose edit" w:date="2026-10-22T10:17:48Z">
        <w:r>
          <w:rPr>
            <w:b/>
          </w:rPr>
          <w:delText xml:space="preserve"> Koval</w:delText>
        </w:r>
      </w:del>
      <w:commentRangeEnd w:id="81"/>
      <w:r>
        <w:rPr>
          <w:rStyle w:val="CommentReference"/>
        </w:rPr>
        <w:commentReference w:id="81"/>
      </w:r>
      <w:r>
        <w:rPr/>
        <w:t xml:space="preserve"> — report modules, report template, trait annotation modules (thrombophilia, cardiovascular)</w:t>
      </w:r>
    </w:p>
    <w:p>
      <w:pPr>
        <w:pStyle w:val="ListBullet"/>
      </w:pPr>
      <w:r>
        <w:rPr>
          <w:b/>
        </w:rPr>
        <w:t>Fedorova Alina</w:t>
      </w:r>
      <w:r>
        <w:rPr/>
        <w:t xml:space="preserve"> — bioinformatic utilities, scientific literature exploration</w:t>
      </w:r>
    </w:p>
    <w:p>
      <w:pPr>
        <w:pStyle w:val="ListBullet"/>
      </w:pPr>
      <w:r>
        <w:rPr>
          <w:b/>
        </w:rPr>
        <w:t>Pushkareva Malvina</w:t>
      </w:r>
      <w:r>
        <w:rPr/>
        <w:t xml:space="preserve"> — software development and testing</w:t>
      </w:r>
    </w:p>
    <w:p>
      <w:pPr>
        <w:pStyle w:val="ListBullet"/>
      </w:pPr>
      <w:r>
        <w:rPr>
          <w:b/>
        </w:rPr>
        <w:t>Evfratov Sergey</w:t>
      </w:r>
      <w:r>
        <w:rPr/>
        <w:t xml:space="preserve"> — pharmacogenomics (drug) module development</w:t>
      </w:r>
    </w:p>
    <w:p>
      <w:pPr>
        <w:pStyle w:val="ListBullet"/>
      </w:pPr>
      <w:r>
        <w:rPr>
          <w:b/>
        </w:rPr>
        <w:t>Ryangguk Kim</w:t>
      </w:r>
      <w:r>
        <w:rPr/>
        <w:t xml:space="preserve"> — created and maintained OakVar, extended it for the Generation I platform</w:t>
      </w:r>
    </w:p>
    <w:p>
      <w:pPr>
        <w:pStyle w:val="ListBullet"/>
      </w:pPr>
      <w:r>
        <w:rPr>
          <w:b/>
        </w:rPr>
        <w:t>Zaharia Livia</w:t>
      </w:r>
      <w:r>
        <w:rPr/>
        <w:t xml:space="preserve"> — beta-testing, provided her whole genome </w:t>
      </w:r>
      <w:commentRangeStart w:id="82"/>
      <w:commentRangeStart w:id="83"/>
      <w:ins w:id="521" w:author="Prose edit" w:date="2026-10-22T10:17:48Z">
        <w:r>
          <w:rPr/>
          <w:t xml:space="preserve">(Zenodo record 19487816) </w:t>
        </w:r>
      </w:ins>
      <w:r>
        <w:rPr/>
        <w:t>for testing</w:t>
      </w:r>
      <w:del w:id="522" w:author="Prose edit" w:date="2026-10-22T10:17:48Z">
        <w:r>
          <w:rPr/>
          <w:delText xml:space="preserve"> and benchmarking</w:delText>
        </w:r>
      </w:del>
      <w:commentRangeEnd w:id="83"/>
      <w:r>
        <w:rPr>
          <w:rStyle w:val="CommentReference"/>
        </w:rPr>
        <w:commentReference w:id="83"/>
      </w:r>
      <w:commentRangeEnd w:id="82"/>
      <w:r>
        <w:rPr>
          <w:rStyle w:val="CommentReference"/>
        </w:rPr>
        <w:commentReference w:id="82"/>
      </w:r>
    </w:p>
    <w:p>
      <w:pPr>
        <w:pStyle w:val="ListBullet"/>
      </w:pPr>
      <w:r>
        <w:rPr>
          <w:b/>
        </w:rPr>
        <w:t>Fuellen Georg</w:t>
      </w:r>
      <w:commentRangeStart w:id="156"/>
      <w:r>
        <w:rPr/>
        <w:t xml:space="preserve"> — co-supervision, valuable suggestions and comments</w:t>
      </w:r>
      <w:commentRangeEnd w:id="156"/>
      <w:r>
        <w:rPr>
          <w:rStyle w:val="CommentReference"/>
        </w:rPr>
        <w:commentReference w:id="156"/>
      </w:r>
    </w:p>
    <w:p>
      <w:pPr>
        <w:pStyle w:val="ListBullet"/>
      </w:pPr>
      <w:r>
        <w:rPr>
          <w:b/>
        </w:rPr>
        <w:t>Tacutu Robi</w:t>
      </w:r>
      <w:r>
        <w:rPr/>
        <w:t xml:space="preserve"> — bioinformatics and ageing research advising, LongevityMap database</w:t>
      </w:r>
    </w:p>
    <w:p>
      <w:commentRangeStart w:id="103"/>
      <w:r>
        <w:rPr>
          <w:b/>
        </w:rPr>
        <w:t>Acknowledgments:</w:t>
      </w:r>
      <w:r>
        <w:rPr/>
        <w:t xml:space="preserve"> Volodymir Semenuik for help with documentation.</w:t>
      </w:r>
      <w:commentRangeEnd w:id="103"/>
      <w:r>
        <w:rPr>
          <w:rStyle w:val="CommentReference"/>
        </w:rPr>
        <w:commentReference w:id="103"/>
      </w:r>
    </w:p>
    <w:p>
      <w:pPr>
        <w:pStyle w:val="Heading1"/>
      </w:pPr>
      <w:r>
        <w:rPr>
          <w:b/>
        </w:rPr>
        <w:t>Funding</w:t>
      </w:r>
    </w:p>
    <w:p>
      <w:r>
        <w:rPr/>
        <w:t>This work was partially supported by the ROGEN project (</w:t>
      </w:r>
      <w:r>
        <w:rPr>
          <w:i/>
        </w:rPr>
        <w:t>Dezvoltarea cercetării genomice în România</w:t>
      </w:r>
      <w:r>
        <w:rPr/>
        <w:t>), project code 324809, funded by the European Regional Development Fund and the Romanian national budget through the Health Programme (PS/272/PS_P5/OP1/RSO1.1/PS_P5_RSO1.1_A9), coordinated by the "Carol Davila" University of Medicine and Pharmacy, Bucharest (implementation December 2024 – December 2029).</w:t>
      </w:r>
      <w:commentRangeStart w:id="158"/>
      <w:r>
        <w:rPr/>
        <w:t xml:space="preserve"> A.K.</w:t>
      </w:r>
      <w:r>
        <w:rPr/>
        <w:t xml:space="preserve"> and R.T.</w:t>
      </w:r>
      <w:r>
        <w:rPr/>
        <w:t xml:space="preserve"> received funding through this project.</w:t>
      </w:r>
      <w:commentRangeEnd w:id="158"/>
      <w:r>
        <w:rPr>
          <w:rStyle w:val="CommentReference"/>
        </w:rPr>
        <w:commentReference w:id="158"/>
      </w:r>
      <w:r>
        <w:rPr/>
        <w:t xml:space="preserve"> </w:t>
      </w:r>
      <w:commentRangeStart w:id="152"/>
      <w:r>
        <w:rPr>
          <w:i/>
        </w:rPr>
        <w:t>[TODO: confirm ROGEN mandatory acknowledgment text.]</w:t>
      </w:r>
      <w:commentRangeEnd w:id="152"/>
      <w:r>
        <w:rPr>
          <w:rStyle w:val="CommentReference"/>
        </w:rPr>
        <w:commentReference w:id="152"/>
      </w:r>
    </w:p>
    <w:p>
      <w:pPr>
        <w:pStyle w:val="Heading1"/>
      </w:pPr>
      <w:r>
        <w:rPr>
          <w:b/>
        </w:rPr>
        <w:t>Code Availability</w:t>
      </w:r>
    </w:p>
    <w:p>
      <w:r>
        <w:rPr>
          <w:b/>
        </w:rPr>
        <w:t>GitHub Organization:</w:t>
      </w:r>
      <w:r>
        <w:rPr/>
        <w:t xml:space="preserve"> https://github.com/dna-seq</w:t>
      </w:r>
    </w:p>
    <w:p>
      <w:r>
        <w:rPr>
          <w:b/>
        </w:rPr>
        <w:t>Table 7.</w:t>
      </w:r>
      <w:r>
        <w:rPr/>
        <w:t xml:space="preserve"> Software repositories.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Repository</w:t>
            </w:r>
          </w:p>
        </w:tc>
        <w:tc>
          <w:tcPr>
            <w:tcW w:type="dxa" w:w="2880"/>
          </w:tcPr>
          <w:p>
            <w:r>
              <w:rPr>
                <w:b/>
              </w:rPr>
              <w:t>Description</w:t>
            </w:r>
          </w:p>
        </w:tc>
        <w:tc>
          <w:tcPr>
            <w:tcW w:type="dxa" w:w="2880"/>
          </w:tcPr>
          <w:p>
            <w:r>
              <w:rPr>
                <w:b/>
              </w:rPr>
              <w:t>Generation</w:t>
            </w:r>
          </w:p>
        </w:tc>
      </w:tr>
      <w:tr>
        <w:tc>
          <w:tcPr>
            <w:tcW w:type="dxa" w:w="2880"/>
          </w:tcPr>
          <w:p>
            <w:hyperlink r:id="rId9">
              <w:r>
                <w:rPr>
                  <w:color w:val="0563C1"/>
                  <w:u w:val="single"/>
                </w:rPr>
                <w:t>just-dna-lite</w:t>
              </w:r>
            </w:hyperlink>
          </w:p>
        </w:tc>
        <w:tc>
          <w:tcPr>
            <w:tcW w:type="dxa" w:w="2880"/>
          </w:tcPr>
          <w:p>
            <w:r>
              <w:rPr/>
              <w:t>Main platform</w:t>
            </w:r>
            <w:commentRangeStart w:id="84"/>
            <w:del w:id="523" w:author="Deslop" w:date="2026-10-22T10:17:48Z">
              <w:r>
                <w:rPr/>
                <w:delText xml:space="preserve"> —</w:delText>
              </w:r>
            </w:del>
            <w:ins w:id="524" w:author="Deslop" w:date="2026-10-22T10:17:48Z">
              <w:r>
                <w:rPr/>
                <w:t>:</w:t>
              </w:r>
            </w:ins>
            <w:commentRangeEnd w:id="84"/>
            <w:r>
              <w:rPr>
                <w:rStyle w:val="CommentReference"/>
              </w:rPr>
              <w:commentReference w:id="84"/>
            </w:r>
            <w:r>
              <w:rPr/>
              <w:t xml:space="preserve"> standalone genomic annotation</w:t>
            </w:r>
          </w:p>
        </w:tc>
        <w:tc>
          <w:tcPr>
            <w:tcW w:type="dxa" w:w="2880"/>
          </w:tcPr>
          <w:p>
            <w:r>
              <w:rPr/>
              <w:t>Gen II</w:t>
            </w:r>
          </w:p>
        </w:tc>
      </w:tr>
      <w:tr>
        <w:tc>
          <w:tcPr>
            <w:tcW w:type="dxa" w:w="2880"/>
          </w:tcPr>
          <w:p>
            <w:hyperlink r:id="rId10">
              <w:r>
                <w:rPr>
                  <w:color w:val="0563C1"/>
                  <w:u w:val="single"/>
                </w:rPr>
                <w:t>just-prs</w:t>
              </w:r>
            </w:hyperlink>
          </w:p>
        </w:tc>
        <w:tc>
          <w:tcPr>
            <w:tcW w:type="dxa" w:w="2880"/>
          </w:tcPr>
          <w:p>
            <w:r>
              <w:rPr/>
              <w:t>PRS computation library/CLI/UI</w:t>
            </w:r>
          </w:p>
        </w:tc>
        <w:tc>
          <w:tcPr>
            <w:tcW w:type="dxa" w:w="2880"/>
          </w:tcPr>
          <w:p>
            <w:r>
              <w:rPr/>
              <w:t>Gen II</w:t>
            </w:r>
          </w:p>
        </w:tc>
      </w:tr>
      <w:tr>
        <w:tc>
          <w:tcPr>
            <w:tcW w:type="dxa" w:w="2880"/>
          </w:tcPr>
          <w:p>
            <w:hyperlink r:id="rId11">
              <w:r>
                <w:rPr>
                  <w:color w:val="0563C1"/>
                  <w:u w:val="single"/>
                </w:rPr>
                <w:t>just-dna-format</w:t>
              </w:r>
            </w:hyperlink>
          </w:p>
        </w:tc>
        <w:tc>
          <w:tcPr>
            <w:tcW w:type="dxa" w:w="2880"/>
          </w:tcPr>
          <w:p>
            <w:commentRangeStart w:id="154"/>
            <w:r>
              <w:rPr/>
              <w:t>Annotation module schema, manifest/integrity contract, and reference compiler</w:t>
            </w:r>
            <w:commentRangeEnd w:id="154"/>
            <w:r>
              <w:rPr>
                <w:rStyle w:val="CommentReference"/>
              </w:rPr>
              <w:commentReference w:id="154"/>
            </w:r>
          </w:p>
        </w:tc>
        <w:tc>
          <w:tcPr>
            <w:tcW w:type="dxa" w:w="2880"/>
          </w:tcPr>
          <w:p>
            <w:r>
              <w:rPr/>
              <w:t>Gen II</w:t>
            </w:r>
          </w:p>
        </w:tc>
      </w:tr>
      <w:tr>
        <w:tc>
          <w:tcPr>
            <w:tcW w:type="dxa" w:w="2880"/>
          </w:tcPr>
          <w:p>
            <w:hyperlink r:id="rId12">
              <w:r>
                <w:rPr>
                  <w:color w:val="0563C1"/>
                  <w:u w:val="single"/>
                </w:rPr>
                <w:t>just-dna-registry</w:t>
              </w:r>
            </w:hyperlink>
          </w:p>
        </w:tc>
        <w:tc>
          <w:tcPr>
            <w:tcW w:type="dxa" w:w="2880"/>
          </w:tcPr>
          <w:p>
            <w:r>
              <w:rPr/>
              <w:t>Catalogue and versioned distribution of annotation modules</w:t>
            </w:r>
          </w:p>
        </w:tc>
        <w:tc>
          <w:tcPr>
            <w:tcW w:type="dxa" w:w="2880"/>
          </w:tcPr>
          <w:p>
            <w:r>
              <w:rPr/>
              <w:t>Gen II</w:t>
            </w:r>
          </w:p>
        </w:tc>
      </w:tr>
      <w:tr>
        <w:tc>
          <w:tcPr>
            <w:tcW w:type="dxa" w:w="2880"/>
          </w:tcPr>
          <w:p>
            <w:hyperlink r:id="rId13">
              <w:r>
                <w:rPr>
                  <w:color w:val="0563C1"/>
                  <w:u w:val="single"/>
                </w:rPr>
                <w:t>just-prs-mcp</w:t>
              </w:r>
            </w:hyperlink>
          </w:p>
        </w:tc>
        <w:tc>
          <w:tcPr>
            <w:tcW w:type="dxa" w:w="2880"/>
          </w:tcPr>
          <w:p>
            <w:r>
              <w:rPr/>
              <w:t>MCP server exposing just-prs to Claude, Cursor, Codex, Antigravity, and other AI agents, with trait-panel graphics and interpretation prompts</w:t>
            </w:r>
          </w:p>
        </w:tc>
        <w:tc>
          <w:tcPr>
            <w:tcW w:type="dxa" w:w="2880"/>
          </w:tcPr>
          <w:p>
            <w:r>
              <w:rPr/>
              <w:t>Gen II</w:t>
            </w:r>
          </w:p>
        </w:tc>
      </w:tr>
      <w:tr>
        <w:tc>
          <w:tcPr>
            <w:tcW w:type="dxa" w:w="2880"/>
          </w:tcPr>
          <w:p>
            <w:hyperlink r:id="rId14">
              <w:r>
                <w:rPr>
                  <w:color w:val="0563C1"/>
                  <w:u w:val="single"/>
                </w:rPr>
                <w:t>prepare-annotations</w:t>
              </w:r>
            </w:hyperlink>
          </w:p>
        </w:tc>
        <w:tc>
          <w:tcPr>
            <w:tcW w:type="dxa" w:w="2880"/>
          </w:tcPr>
          <w:p>
            <w:r>
              <w:rPr/>
              <w:t>Pipelines converting annotation databases to Parquet</w:t>
            </w:r>
          </w:p>
        </w:tc>
        <w:tc>
          <w:tcPr>
            <w:tcW w:type="dxa" w:w="2880"/>
          </w:tcPr>
          <w:p>
            <w:r>
              <w:rPr/>
              <w:t>Gen II</w:t>
            </w:r>
          </w:p>
        </w:tc>
      </w:tr>
      <w:tr>
        <w:tc>
          <w:tcPr>
            <w:tcW w:type="dxa" w:w="2880"/>
          </w:tcPr>
          <w:p>
            <w:hyperlink r:id="rId15">
              <w:r>
                <w:rPr>
                  <w:color w:val="0563C1"/>
                  <w:u w:val="single"/>
                </w:rPr>
                <w:t>reflex-mui-datagrid</w:t>
              </w:r>
            </w:hyperlink>
          </w:p>
        </w:tc>
        <w:tc>
          <w:tcPr>
            <w:tcW w:type="dxa" w:w="2880"/>
          </w:tcPr>
          <w:p>
            <w:r>
              <w:rPr/>
              <w:t>Reflex wrapper for MUI DataGrid</w:t>
            </w:r>
          </w:p>
        </w:tc>
        <w:tc>
          <w:tcPr>
            <w:tcW w:type="dxa" w:w="2880"/>
          </w:tcPr>
          <w:p>
            <w:r>
              <w:rPr/>
              <w:t>Gen II</w:t>
            </w:r>
          </w:p>
        </w:tc>
      </w:tr>
      <w:tr>
        <w:tc>
          <w:tcPr>
            <w:tcW w:type="dxa" w:w="2880"/>
          </w:tcPr>
          <w:p>
            <w:hyperlink r:id="rId16">
              <w:r>
                <w:rPr>
                  <w:color w:val="0563C1"/>
                  <w:u w:val="single"/>
                </w:rPr>
                <w:t>just-biomarkers</w:t>
              </w:r>
            </w:hyperlink>
          </w:p>
        </w:tc>
        <w:tc>
          <w:tcPr>
            <w:tcW w:type="dxa" w:w="2880"/>
          </w:tcPr>
          <w:p>
            <w:r>
              <w:rPr/>
              <w:t>Methylation and other biomarker analysis tools</w:t>
            </w:r>
          </w:p>
        </w:tc>
        <w:tc>
          <w:tcPr>
            <w:tcW w:type="dxa" w:w="2880"/>
          </w:tcPr>
          <w:p>
            <w:r>
              <w:rPr/>
              <w:t>Gen II</w:t>
            </w:r>
          </w:p>
        </w:tc>
      </w:tr>
      <w:tr>
        <w:tc>
          <w:tcPr>
            <w:tcW w:type="dxa" w:w="2880"/>
          </w:tcPr>
          <w:p>
            <w:hyperlink r:id="rId17">
              <w:r>
                <w:rPr>
                  <w:color w:val="0563C1"/>
                  <w:u w:val="single"/>
                </w:rPr>
                <w:t>just-module-creator</w:t>
              </w:r>
            </w:hyperlink>
          </w:p>
        </w:tc>
        <w:tc>
          <w:tcPr>
            <w:tcW w:type="dxa" w:w="2880"/>
          </w:tcPr>
          <w:p>
            <w:r>
              <w:rPr/>
              <w:t xml:space="preserve">Authoring plugin (MCP tools and skills) for drafting, checking, compiling, and publishing annotation modules inside AI coding assistants </w:t>
            </w:r>
            <w:commentRangeStart w:id="85"/>
            <w:del w:id="525" w:author="Deslop" w:date="2026-10-22T10:17:48Z">
              <w:r>
                <w:rPr/>
                <w:delText xml:space="preserve">— </w:delText>
              </w:r>
            </w:del>
            <w:ins w:id="526" w:author="Deslop" w:date="2026-10-22T10:17:48Z">
              <w:r>
                <w:rPr/>
                <w:t>(</w:t>
              </w:r>
            </w:ins>
            <w:r>
              <w:rPr/>
              <w:t>the subject of the companion paper</w:t>
            </w:r>
            <w:ins w:id="527" w:author="Deslop" w:date="2026-10-22T10:17:48Z">
              <w:r>
                <w:rPr/>
                <w:t>)</w:t>
              </w:r>
            </w:ins>
            <w:commentRangeEnd w:id="85"/>
            <w:r>
              <w:rPr>
                <w:rStyle w:val="CommentReference"/>
              </w:rPr>
              <w:commentReference w:id="85"/>
            </w:r>
          </w:p>
        </w:tc>
        <w:tc>
          <w:tcPr>
            <w:tcW w:type="dxa" w:w="2880"/>
          </w:tcPr>
          <w:p>
            <w:r>
              <w:rPr/>
              <w:t>Gen II</w:t>
            </w:r>
          </w:p>
        </w:tc>
      </w:tr>
      <w:tr>
        <w:tc>
          <w:tcPr>
            <w:tcW w:type="dxa" w:w="2880"/>
          </w:tcPr>
          <w:p>
            <w:hyperlink r:id="rId18">
              <w:r>
                <w:rPr>
                  <w:color w:val="0563C1"/>
                  <w:u w:val="single"/>
                </w:rPr>
                <w:t>dna-seq</w:t>
              </w:r>
            </w:hyperlink>
          </w:p>
        </w:tc>
        <w:tc>
          <w:tcPr>
            <w:tcW w:type="dxa" w:w="2880"/>
          </w:tcPr>
          <w:p>
            <w:r>
              <w:rPr/>
              <w:t>Original DNA-Seq pipeline</w:t>
            </w:r>
          </w:p>
        </w:tc>
        <w:tc>
          <w:tcPr>
            <w:tcW w:type="dxa" w:w="2880"/>
          </w:tcPr>
          <w:p>
            <w:r>
              <w:rPr/>
              <w:t>Gen I</w:t>
            </w:r>
          </w:p>
        </w:tc>
      </w:tr>
    </w:tbl>
    <w:p>
      <w:commentRangeStart w:id="86"/>
      <w:commentRangeStart w:id="87"/>
      <w:ins w:id="528" w:author="Journal adaptation" w:date="2026-10-22T10:17:48Z">
        <w:r>
          <w:rPr>
            <w:b/>
          </w:rPr>
          <w:t>Availability and requirements</w:t>
        </w:r>
      </w:ins>
    </w:p>
    <w:p>
      <w:pPr>
        <w:pStyle w:val="ListBullet"/>
      </w:pPr>
      <w:ins w:id="529" w:author="Journal adaptation" w:date="2026-10-22T10:17:48Z">
        <w:r>
          <w:rPr/>
          <w:t>Project name: Just-DNA-Lite</w:t>
        </w:r>
      </w:ins>
    </w:p>
    <w:p>
      <w:pPr>
        <w:pStyle w:val="ListBullet"/>
      </w:pPr>
      <w:ins w:id="530" w:author="Journal adaptation" w:date="2026-10-22T10:17:48Z">
        <w:r>
          <w:rPr/>
          <w:t>Project home page: https://github.com/dna-seq/just-dna-lite</w:t>
        </w:r>
      </w:ins>
    </w:p>
    <w:p>
      <w:pPr>
        <w:pStyle w:val="ListBullet"/>
      </w:pPr>
      <w:ins w:id="531" w:author="Journal adaptation" w:date="2026-10-22T10:17:48Z">
        <w:r>
          <w:rPr/>
          <w:t>Operating systems: Linux, macOS and Windows</w:t>
        </w:r>
      </w:ins>
    </w:p>
    <w:p>
      <w:pPr>
        <w:pStyle w:val="ListBullet"/>
      </w:pPr>
      <w:ins w:id="532" w:author="Journal adaptation" w:date="2026-10-22T10:17:48Z">
        <w:r>
          <w:rPr/>
          <w:t>Programming language: Python 3.13</w:t>
        </w:r>
      </w:ins>
    </w:p>
    <w:p>
      <w:pPr>
        <w:pStyle w:val="ListBullet"/>
      </w:pPr>
      <w:ins w:id="533" w:author="Journal adaptation" w:date="2026-10-22T10:17:48Z">
        <w:r>
          <w:rPr/>
          <w:t>Other requirements: uv for installation from source, or Podman or Docker for the container image</w:t>
        </w:r>
      </w:ins>
    </w:p>
    <w:p>
      <w:pPr>
        <w:pStyle w:val="ListBullet"/>
      </w:pPr>
      <w:ins w:id="534" w:author="Journal adaptation" w:date="2026-10-22T10:17:48Z">
        <w:r>
          <w:rPr/>
          <w:t>License: GNU Affero General Public License v3.0 (AGPL-3.0)</w:t>
        </w:r>
      </w:ins>
    </w:p>
    <w:p>
      <w:pPr>
        <w:pStyle w:val="ListBullet"/>
      </w:pPr>
      <w:ins w:id="535" w:author="Journal adaptation" w:date="2026-10-22T10:17:48Z">
        <w:r>
          <w:rPr/>
          <w:t>Any restrictions to use by non-academics: none beyond the terms of the AGPL-3.0</w:t>
        </w:r>
      </w:ins>
      <w:commentRangeEnd w:id="87"/>
      <w:r>
        <w:rPr>
          <w:rStyle w:val="CommentReference"/>
        </w:rPr>
        <w:commentReference w:id="87"/>
      </w:r>
      <w:commentRangeEnd w:id="86"/>
      <w:r>
        <w:rPr>
          <w:rStyle w:val="CommentReference"/>
        </w:rPr>
        <w:commentReference w:id="86"/>
      </w:r>
    </w:p>
    <w:p>
      <w:commentRangeStart w:id="181"/>
      <w:r>
        <w:rPr/>
        <w:t xml:space="preserve">Annotation modules and reference datasets are published to the just-dna-seq organization on </w:t>
      </w:r>
      <w:commentRangeStart w:id="88"/>
      <w:del w:id="536" w:author="Prose edit" w:date="2026-10-22T10:17:48Z">
        <w:r>
          <w:rPr/>
          <w:delText>HuggingFace</w:delText>
        </w:r>
      </w:del>
      <w:commentRangeEnd w:id="181"/>
      <w:r>
        <w:rPr>
          <w:rStyle w:val="CommentReference"/>
        </w:rPr>
        <w:commentReference w:id="181"/>
      </w:r>
      <w:ins w:id="537" w:author="Prose edit" w:date="2026-10-22T10:17:48Z">
        <w:r>
          <w:rPr/>
          <w:t>Hugging Face</w:t>
        </w:r>
      </w:ins>
      <w:commentRangeEnd w:id="88"/>
      <w:r>
        <w:rPr>
          <w:rStyle w:val="CommentReference"/>
        </w:rPr>
        <w:commentReference w:id="88"/>
      </w:r>
      <w:r>
        <w:rPr/>
        <w:t xml:space="preserve"> (annotators, ensembl_variations, clinvar, pgs-catalog, prs-percentiles), which </w:t>
      </w:r>
      <w:commentRangeStart w:id="89"/>
      <w:del w:id="538" w:author="Deslop" w:date="2026-10-22T10:17:48Z">
        <w:r>
          <w:rPr/>
          <w:delText>serves as</w:delText>
        </w:r>
      </w:del>
      <w:ins w:id="539" w:author="Deslop" w:date="2026-10-22T10:17:48Z">
        <w:r>
          <w:rPr/>
          <w:t>is</w:t>
        </w:r>
      </w:ins>
      <w:commentRangeEnd w:id="89"/>
      <w:r>
        <w:rPr>
          <w:rStyle w:val="CommentReference"/>
        </w:rPr>
        <w:commentReference w:id="89"/>
      </w:r>
      <w:r>
        <w:rPr/>
        <w:t xml:space="preserve"> the default source for module auto-discovery.</w:t>
      </w:r>
      <w:r>
        <w:rPr/>
        <w:t xml:space="preserve"> Other fsspec-compatible sources are equally supported.</w:t>
      </w:r>
    </w:p>
    <w:p>
      <w:pPr>
        <w:pStyle w:val="Heading1"/>
      </w:pPr>
      <w:r>
        <w:rPr>
          <w:b/>
        </w:rPr>
        <w:t>Competing Interests</w:t>
      </w:r>
    </w:p>
    <w:p>
      <w:pPr>
        <w:pStyle w:val="ListBullet"/>
      </w:pPr>
      <w:commentRangeStart w:id="90"/>
      <w:commentRangeStart w:id="91"/>
      <w:commentRangeStart w:id="155"/>
      <w:del w:id="540" w:author="Prose edit" w:date="2026-10-22T10:17:48Z">
        <w:r>
          <w:rPr/>
          <w:delText>Ryangguk Kim</w:delText>
        </w:r>
      </w:del>
      <w:ins w:id="541" w:author="Prose edit" w:date="2026-10-22T10:17:48Z">
        <w:r>
          <w:rPr/>
          <w:t>R.K.</w:t>
        </w:r>
      </w:ins>
      <w:r>
        <w:rPr/>
        <w:t xml:space="preserve"> is a co-founder of OakVar Inc.</w:t>
      </w:r>
      <w:commentRangeEnd w:id="155"/>
      <w:r>
        <w:rPr>
          <w:rStyle w:val="CommentReference"/>
        </w:rPr>
        <w:commentReference w:id="155"/>
      </w:r>
      <w:r>
        <w:rPr/>
        <w:t xml:space="preserve"> </w:t>
      </w:r>
      <w:del w:id="542" w:author="Prose edit" w:date="2026-10-22T10:17:48Z">
        <w:r>
          <w:rPr/>
          <w:delText>-</w:delText>
        </w:r>
      </w:del>
      <w:r>
        <w:rPr/>
        <w:t xml:space="preserve"> </w:t>
      </w:r>
      <w:del w:id="543" w:author="Prose edit" w:date="2026-10-22T10:17:48Z">
        <w:r>
          <w:rPr/>
          <w:delText>Anton Kulaga</w:delText>
        </w:r>
      </w:del>
      <w:ins w:id="544" w:author="Prose edit" w:date="2026-10-22T10:17:48Z">
        <w:r>
          <w:rPr/>
          <w:t>A.K.</w:t>
        </w:r>
      </w:ins>
      <w:r>
        <w:rPr/>
        <w:t xml:space="preserve">, </w:t>
      </w:r>
      <w:del w:id="545" w:author="Prose edit" w:date="2026-10-22T10:17:48Z">
        <w:r>
          <w:rPr/>
          <w:delText>Olga Borysova</w:delText>
        </w:r>
      </w:del>
      <w:ins w:id="546" w:author="Prose edit" w:date="2026-10-22T10:17:48Z">
        <w:r>
          <w:rPr/>
          <w:t>O.B.</w:t>
        </w:r>
      </w:ins>
      <w:r>
        <w:rPr/>
        <w:t xml:space="preserve">, </w:t>
      </w:r>
      <w:del w:id="547" w:author="Prose edit" w:date="2026-10-22T10:17:48Z">
        <w:r>
          <w:rPr/>
          <w:delText>Maria Koval</w:delText>
        </w:r>
      </w:del>
      <w:ins w:id="548" w:author="Prose edit" w:date="2026-10-22T10:17:48Z">
        <w:r>
          <w:rPr/>
          <w:t>M.K.</w:t>
        </w:r>
      </w:ins>
      <w:r>
        <w:rPr/>
        <w:t xml:space="preserve">, </w:t>
      </w:r>
      <w:del w:id="549" w:author="Prose edit" w:date="2026-10-22T10:17:48Z">
        <w:r>
          <w:rPr/>
          <w:delText>Nikolay Usanov,</w:delText>
        </w:r>
      </w:del>
      <w:ins w:id="550" w:author="Prose edit" w:date="2026-10-22T10:17:48Z">
        <w:r>
          <w:rPr/>
          <w:t>N.U.</w:t>
        </w:r>
      </w:ins>
      <w:r>
        <w:rPr/>
        <w:t xml:space="preserve"> and </w:t>
      </w:r>
      <w:del w:id="551" w:author="Prose edit" w:date="2026-10-22T10:17:48Z">
        <w:r>
          <w:rPr/>
          <w:delText>Alex Karmazin</w:delText>
        </w:r>
      </w:del>
      <w:ins w:id="552" w:author="Prose edit" w:date="2026-10-22T10:17:48Z">
        <w:r>
          <w:rPr/>
          <w:t>A.Ka.</w:t>
        </w:r>
      </w:ins>
      <w:commentRangeStart w:id="105"/>
      <w:r>
        <w:rPr/>
        <w:t xml:space="preserve"> are co-founders of SecvADN SRL, which provides additional services on top of the open-source modules</w:t>
      </w:r>
      <w:ins w:id="553" w:author="Prose edit" w:date="2026-10-22T10:17:48Z">
        <w:r>
          <w:rPr/>
          <w:t>.</w:t>
        </w:r>
      </w:ins>
      <w:ins w:id="554" w:author="Prose edit" w:date="2026-10-22T10:17:48Z">
        <w:r>
          <w:rPr/>
          <w:t xml:space="preserve"> The remaining authors declare that the research was conducted in the absence of any commercial or financial relationships that could be construed as a potential conflict of interest</w:t>
        </w:r>
      </w:ins>
      <w:commentRangeEnd w:id="91"/>
      <w:r>
        <w:rPr>
          <w:rStyle w:val="CommentReference"/>
        </w:rPr>
        <w:commentReference w:id="91"/>
      </w:r>
      <w:commentRangeEnd w:id="90"/>
      <w:r>
        <w:rPr>
          <w:rStyle w:val="CommentReference"/>
        </w:rPr>
        <w:commentReference w:id="90"/>
      </w:r>
      <w:r>
        <w:rPr/>
        <w:t>.</w:t>
      </w:r>
      <w:commentRangeEnd w:id="105"/>
      <w:r>
        <w:rPr>
          <w:rStyle w:val="CommentReference"/>
        </w:rPr>
        <w:commentReference w:id="105"/>
      </w:r>
    </w:p>
    <w:p>
      <w:pPr>
        <w:pStyle w:val="Heading1"/>
      </w:pPr>
      <w:commentRangeStart w:id="92"/>
      <w:commentRangeStart w:id="93"/>
      <w:ins w:id="555" w:author="Journal adaptation" w:date="2026-10-22T10:17:48Z">
        <w:r>
          <w:rPr>
            <w:b/>
          </w:rPr>
          <w:t>Consent for Publication</w:t>
        </w:r>
      </w:ins>
    </w:p>
    <w:p>
      <w:ins w:id="556" w:author="Journal adaptation" w:date="2026-10-22T10:17:48Z">
        <w:r>
          <w:rPr/>
          <w:t>Written informed consent for publication of his genome data was obtained from A.K., whose genome was analyzed.</w:t>
        </w:r>
      </w:ins>
      <w:commentRangeEnd w:id="93"/>
      <w:r>
        <w:rPr>
          <w:rStyle w:val="CommentReference"/>
        </w:rPr>
        <w:commentReference w:id="93"/>
      </w:r>
      <w:commentRangeEnd w:id="92"/>
      <w:r>
        <w:rPr>
          <w:rStyle w:val="CommentReference"/>
        </w:rPr>
        <w:commentReference w:id="92"/>
      </w:r>
    </w:p>
    <w:p>
      <w:pPr>
        <w:pStyle w:val="Heading1"/>
      </w:pPr>
      <w:r>
        <w:rPr>
          <w:b/>
        </w:rPr>
        <w:t>Bibliography</w:t>
      </w:r>
    </w:p>
    <w:p>
      <w:r>
        <w:rPr>
          <w:i/>
        </w:rPr>
        <w:t>(Carried over from the combined manuscript; to be finalized with 2022–2026 additions.)</w:t>
      </w:r>
    </w:p>
    <w:p>
      <w:commentRangeStart w:id="140"/>
      <w:r>
        <w:rPr/>
        <w:t>Alteri, E., et al.</w:t>
      </w:r>
      <w:r>
        <w:rPr/>
        <w:t xml:space="preserve"> (2024).</w:t>
      </w:r>
      <w:r>
        <w:rPr/>
        <w:t xml:space="preserve"> The 23andMe data breach.</w:t>
      </w:r>
      <w:commentRangeEnd w:id="140"/>
      <w:r>
        <w:rPr>
          <w:rStyle w:val="CommentReference"/>
        </w:rPr>
        <w:commentReference w:id="140"/>
      </w:r>
      <w:r>
        <w:rPr/>
        <w:t xml:space="preserve"> </w:t>
      </w:r>
      <w:r>
        <w:rPr>
          <w:i/>
        </w:rPr>
        <w:t>European Journal of Human Genetics</w:t>
      </w:r>
      <w:r>
        <w:rPr/>
        <w:t>, 32(11), 1317–1320.</w:t>
      </w:r>
      <w:r>
        <w:rPr/>
        <w:t xml:space="preserve"> </w:t>
      </w:r>
      <w:commentRangeStart w:id="151"/>
      <w:r>
        <w:rPr/>
        <w:t>Annas, G.</w:t>
      </w:r>
      <w:r>
        <w:rPr/>
        <w:t xml:space="preserve"> J., &amp; Elias, S.</w:t>
      </w:r>
      <w:r>
        <w:rPr/>
        <w:t xml:space="preserve"> (2014).</w:t>
      </w:r>
      <w:r>
        <w:rPr/>
        <w:t xml:space="preserve"> 23andMe and the FDA.</w:t>
      </w:r>
      <w:commentRangeEnd w:id="151"/>
      <w:r>
        <w:rPr>
          <w:rStyle w:val="CommentReference"/>
        </w:rPr>
        <w:commentReference w:id="151"/>
      </w:r>
      <w:r>
        <w:rPr/>
        <w:t xml:space="preserve"> </w:t>
      </w:r>
      <w:r>
        <w:rPr>
          <w:i/>
        </w:rPr>
        <w:t>NEJM</w:t>
      </w:r>
      <w:r>
        <w:rPr/>
        <w:t>, 370(11), 985–988.</w:t>
      </w:r>
      <w:r>
        <w:rPr/>
        <w:t xml:space="preserve"> </w:t>
      </w:r>
      <w:r>
        <w:rPr/>
        <w:t>Association for Molecular Pathology v.</w:t>
      </w:r>
      <w:r>
        <w:rPr/>
        <w:t xml:space="preserve"> Myriad Genetics, Inc., 569 U.S.</w:t>
      </w:r>
      <w:r>
        <w:rPr/>
        <w:t xml:space="preserve"> 576 (2013).</w:t>
      </w:r>
      <w:r>
        <w:rPr/>
        <w:t xml:space="preserve"> </w:t>
      </w:r>
      <w:r>
        <w:rPr/>
        <w:t>Bloss, C.</w:t>
      </w:r>
      <w:r>
        <w:rPr/>
        <w:t xml:space="preserve"> S., Schork, N.</w:t>
      </w:r>
      <w:r>
        <w:rPr/>
        <w:t xml:space="preserve"> J., &amp; Topol, E.</w:t>
      </w:r>
      <w:r>
        <w:rPr/>
        <w:t xml:space="preserve"> J.</w:t>
      </w:r>
      <w:r>
        <w:rPr/>
        <w:t xml:space="preserve"> (2011).</w:t>
      </w:r>
      <w:r>
        <w:rPr/>
        <w:t xml:space="preserve"> Effect of direct-to-consumer genomewide profiling to assess disease risk.</w:t>
      </w:r>
      <w:r>
        <w:rPr/>
        <w:t xml:space="preserve"> </w:t>
      </w:r>
      <w:r>
        <w:rPr>
          <w:i/>
        </w:rPr>
        <w:t>NEJM</w:t>
      </w:r>
      <w:r>
        <w:rPr/>
        <w:t>, 364(6), 524–534.</w:t>
      </w:r>
      <w:r>
        <w:rPr/>
        <w:t xml:space="preserve"> </w:t>
      </w:r>
      <w:r>
        <w:rPr/>
        <w:t>Broer, L., et al.</w:t>
      </w:r>
      <w:r>
        <w:rPr/>
        <w:t xml:space="preserve"> (2014).</w:t>
      </w:r>
      <w:r>
        <w:rPr/>
        <w:t xml:space="preserve"> GWAS of longevity in CHARGE consortium confirms APOE and FOXO3 candidacy.</w:t>
      </w:r>
      <w:r>
        <w:rPr/>
        <w:t xml:space="preserve"> </w:t>
      </w:r>
      <w:r>
        <w:rPr>
          <w:i/>
        </w:rPr>
        <w:t>J Gerontol A</w:t>
      </w:r>
      <w:r>
        <w:rPr/>
        <w:t>, 70(1), 110–118.</w:t>
      </w:r>
      <w:r>
        <w:rPr/>
        <w:t xml:space="preserve"> </w:t>
      </w:r>
      <w:r>
        <w:rPr/>
        <w:t>Caruso, C., et al.</w:t>
      </w:r>
      <w:r>
        <w:rPr/>
        <w:t xml:space="preserve"> (2022).</w:t>
      </w:r>
      <w:r>
        <w:rPr/>
        <w:t xml:space="preserve"> How important are genes to achieve longevity?</w:t>
      </w:r>
      <w:r>
        <w:rPr/>
        <w:t xml:space="preserve"> </w:t>
      </w:r>
      <w:r>
        <w:rPr>
          <w:i/>
        </w:rPr>
        <w:t>IJMS</w:t>
      </w:r>
      <w:r>
        <w:rPr/>
        <w:t>, 23(10), 5635.</w:t>
      </w:r>
      <w:r>
        <w:rPr/>
        <w:t xml:space="preserve"> </w:t>
      </w:r>
      <w:commentRangeStart w:id="94"/>
      <w:ins w:id="557" w:author="Story" w:date="2026-10-22T10:17:48Z">
        <w:r>
          <w:rPr/>
          <w:t>Chang, C.</w:t>
        </w:r>
      </w:ins>
      <w:ins w:id="558" w:author="Story" w:date="2026-10-22T10:17:48Z">
        <w:r>
          <w:rPr/>
          <w:t xml:space="preserve"> C., et al.</w:t>
        </w:r>
      </w:ins>
      <w:ins w:id="559" w:author="Story" w:date="2026-10-22T10:17:48Z">
        <w:r>
          <w:rPr/>
          <w:t xml:space="preserve"> (2015).</w:t>
        </w:r>
      </w:ins>
      <w:ins w:id="560" w:author="Story" w:date="2026-10-22T10:17:48Z">
        <w:r>
          <w:rPr/>
          <w:t xml:space="preserve"> Second-generation PLINK: rising to the challenge of larger and richer datasets.</w:t>
        </w:r>
      </w:ins>
      <w:ins w:id="561" w:author="Story" w:date="2026-10-22T10:17:48Z">
        <w:r>
          <w:rPr/>
          <w:t xml:space="preserve"> </w:t>
        </w:r>
      </w:ins>
      <w:ins w:id="562" w:author="Story" w:date="2026-10-22T10:17:48Z">
        <w:r>
          <w:rPr>
            <w:i/>
          </w:rPr>
          <w:t>GigaScience</w:t>
        </w:r>
      </w:ins>
      <w:ins w:id="563" w:author="Story" w:date="2026-10-22T10:17:48Z">
        <w:r>
          <w:rPr/>
          <w:t>, 4, 7.</w:t>
        </w:r>
      </w:ins>
      <w:r>
        <w:rPr/>
        <w:t xml:space="preserve"> </w:t>
      </w:r>
      <w:ins w:id="564" w:author="Story" w:date="2026-10-22T10:17:48Z">
        <w:r>
          <w:rPr/>
          <w:t>Folkersen, L., et al.</w:t>
        </w:r>
      </w:ins>
      <w:ins w:id="565" w:author="Story" w:date="2026-10-22T10:17:48Z">
        <w:r>
          <w:rPr/>
          <w:t xml:space="preserve"> (2020).</w:t>
        </w:r>
      </w:ins>
      <w:ins w:id="566" w:author="Story" w:date="2026-10-22T10:17:48Z">
        <w:r>
          <w:rPr/>
          <w:t xml:space="preserve"> Impute.me: an open-source, non-profit tool for using data from direct-to-consumer genetic testing to calculate and interpret polygenic risk scores.</w:t>
        </w:r>
      </w:ins>
      <w:ins w:id="567" w:author="Story" w:date="2026-10-22T10:17:48Z">
        <w:r>
          <w:rPr/>
          <w:t xml:space="preserve"> </w:t>
        </w:r>
      </w:ins>
      <w:ins w:id="568" w:author="Story" w:date="2026-10-22T10:17:48Z">
        <w:r>
          <w:rPr>
            <w:i/>
          </w:rPr>
          <w:t>Frontiers in Genetics</w:t>
        </w:r>
      </w:ins>
      <w:ins w:id="569" w:author="Story" w:date="2026-10-22T10:17:48Z">
        <w:r>
          <w:rPr/>
          <w:t>, 11, 578.</w:t>
        </w:r>
      </w:ins>
      <w:r>
        <w:rPr/>
        <w:t xml:space="preserve"> </w:t>
      </w:r>
      <w:ins w:id="570" w:author="Story" w:date="2026-10-22T10:17:48Z">
        <w:r>
          <w:rPr/>
          <w:t>Lambert, S.</w:t>
        </w:r>
      </w:ins>
      <w:ins w:id="571" w:author="Story" w:date="2026-10-22T10:17:48Z">
        <w:r>
          <w:rPr/>
          <w:t xml:space="preserve"> A., et al.</w:t>
        </w:r>
      </w:ins>
      <w:ins w:id="572" w:author="Story" w:date="2026-10-22T10:17:48Z">
        <w:r>
          <w:rPr/>
          <w:t xml:space="preserve"> (2024).</w:t>
        </w:r>
      </w:ins>
      <w:ins w:id="573" w:author="Story" w:date="2026-10-22T10:17:48Z">
        <w:r>
          <w:rPr/>
          <w:t xml:space="preserve"> Enhancing the Polygenic Score Catalog with tools for score calculation and ancestry normalization.</w:t>
        </w:r>
      </w:ins>
      <w:ins w:id="574" w:author="Story" w:date="2026-10-22T10:17:48Z">
        <w:r>
          <w:rPr/>
          <w:t xml:space="preserve"> </w:t>
        </w:r>
      </w:ins>
      <w:ins w:id="575" w:author="Story" w:date="2026-10-22T10:17:48Z">
        <w:r>
          <w:rPr>
            <w:i/>
          </w:rPr>
          <w:t>Nature Genetics</w:t>
        </w:r>
      </w:ins>
      <w:ins w:id="576" w:author="Story" w:date="2026-10-22T10:17:48Z">
        <w:r>
          <w:rPr/>
          <w:t>, 56(10), 1989–1994.</w:t>
        </w:r>
      </w:ins>
      <w:r>
        <w:rPr/>
        <w:t xml:space="preserve"> </w:t>
      </w:r>
      <w:ins w:id="577" w:author="Story" w:date="2026-10-22T10:17:48Z">
        <w:r>
          <w:rPr/>
          <w:t>McLaren, W., et al.</w:t>
        </w:r>
      </w:ins>
      <w:ins w:id="578" w:author="Story" w:date="2026-10-22T10:17:48Z">
        <w:r>
          <w:rPr/>
          <w:t xml:space="preserve"> (2016).</w:t>
        </w:r>
      </w:ins>
      <w:ins w:id="579" w:author="Story" w:date="2026-10-22T10:17:48Z">
        <w:r>
          <w:rPr/>
          <w:t xml:space="preserve"> The Ensembl Variant Effect Predictor.</w:t>
        </w:r>
      </w:ins>
      <w:ins w:id="580" w:author="Story" w:date="2026-10-22T10:17:48Z">
        <w:r>
          <w:rPr/>
          <w:t xml:space="preserve"> </w:t>
        </w:r>
      </w:ins>
      <w:ins w:id="581" w:author="Story" w:date="2026-10-22T10:17:48Z">
        <w:r>
          <w:rPr>
            <w:i/>
          </w:rPr>
          <w:t>Genome Biology</w:t>
        </w:r>
      </w:ins>
      <w:ins w:id="582" w:author="Story" w:date="2026-10-22T10:17:48Z">
        <w:r>
          <w:rPr/>
          <w:t>, 17(1), 122.</w:t>
        </w:r>
      </w:ins>
      <w:r>
        <w:rPr/>
        <w:t xml:space="preserve"> </w:t>
      </w:r>
      <w:ins w:id="583" w:author="Story" w:date="2026-10-22T10:17:48Z">
        <w:r>
          <w:rPr/>
          <w:t>Pagel, K.</w:t>
        </w:r>
      </w:ins>
      <w:ins w:id="584" w:author="Story" w:date="2026-10-22T10:17:48Z">
        <w:r>
          <w:rPr/>
          <w:t xml:space="preserve"> A., et al.</w:t>
        </w:r>
      </w:ins>
      <w:ins w:id="585" w:author="Story" w:date="2026-10-22T10:17:48Z">
        <w:r>
          <w:rPr/>
          <w:t xml:space="preserve"> (2020).</w:t>
        </w:r>
      </w:ins>
      <w:ins w:id="586" w:author="Story" w:date="2026-10-22T10:17:48Z">
        <w:r>
          <w:rPr/>
          <w:t xml:space="preserve"> Integrated informatics analysis of cancer-related variants.</w:t>
        </w:r>
      </w:ins>
      <w:ins w:id="587" w:author="Story" w:date="2026-10-22T10:17:48Z">
        <w:r>
          <w:rPr/>
          <w:t xml:space="preserve"> </w:t>
        </w:r>
      </w:ins>
      <w:ins w:id="588" w:author="Story" w:date="2026-10-22T10:17:48Z">
        <w:r>
          <w:rPr>
            <w:i/>
          </w:rPr>
          <w:t>JCO Clinical Cancer Informatics</w:t>
        </w:r>
      </w:ins>
      <w:ins w:id="589" w:author="Story" w:date="2026-10-22T10:17:48Z">
        <w:r>
          <w:rPr/>
          <w:t>, 4, 310–317.</w:t>
        </w:r>
      </w:ins>
      <w:r>
        <w:rPr/>
        <w:t xml:space="preserve"> </w:t>
      </w:r>
      <w:ins w:id="590" w:author="Story" w:date="2026-10-22T10:17:48Z">
        <w:r>
          <w:rPr/>
          <w:t>Wang, K., Li, M., &amp; Hakonarson, H.</w:t>
        </w:r>
      </w:ins>
      <w:ins w:id="591" w:author="Story" w:date="2026-10-22T10:17:48Z">
        <w:r>
          <w:rPr/>
          <w:t xml:space="preserve"> (2010).</w:t>
        </w:r>
      </w:ins>
      <w:ins w:id="592" w:author="Story" w:date="2026-10-22T10:17:48Z">
        <w:r>
          <w:rPr/>
          <w:t xml:space="preserve"> ANNOVAR: functional annotation of genetic variants from high-throughput sequencing data.</w:t>
        </w:r>
      </w:ins>
      <w:ins w:id="593" w:author="Story" w:date="2026-10-22T10:17:48Z">
        <w:r>
          <w:rPr/>
          <w:t xml:space="preserve"> </w:t>
        </w:r>
      </w:ins>
      <w:ins w:id="594" w:author="Story" w:date="2026-10-22T10:17:48Z">
        <w:r>
          <w:rPr>
            <w:i/>
          </w:rPr>
          <w:t>Nucleic Acids Research</w:t>
        </w:r>
      </w:ins>
      <w:ins w:id="595" w:author="Story" w:date="2026-10-22T10:17:48Z">
        <w:r>
          <w:rPr/>
          <w:t>, 38(16), e164.</w:t>
        </w:r>
      </w:ins>
      <w:commentRangeEnd w:id="94"/>
      <w:r>
        <w:rPr>
          <w:rStyle w:val="CommentReference"/>
        </w:rPr>
        <w:commentReference w:id="94"/>
      </w:r>
      <w:r>
        <w:rPr/>
        <w:t xml:space="preserve"> </w:t>
      </w:r>
      <w:commentRangeStart w:id="184"/>
      <w:r>
        <w:rPr/>
        <w:t>Doffman, Z.</w:t>
      </w:r>
      <w:r>
        <w:rPr/>
        <w:t xml:space="preserve"> (2023).</w:t>
      </w:r>
      <w:r>
        <w:rPr/>
        <w:t xml:space="preserve"> 23andMe confirms 6.9 million user records stolen.</w:t>
      </w:r>
      <w:r>
        <w:rPr/>
        <w:t xml:space="preserve"> </w:t>
      </w:r>
      <w:r>
        <w:rPr>
          <w:i/>
        </w:rPr>
        <w:t>Forbes</w:t>
      </w:r>
      <w:r>
        <w:rPr/>
        <w:t>.</w:t>
      </w:r>
      <w:commentRangeEnd w:id="184"/>
      <w:r>
        <w:rPr>
          <w:rStyle w:val="CommentReference"/>
        </w:rPr>
        <w:commentReference w:id="184"/>
      </w:r>
      <w:r>
        <w:rPr/>
        <w:t xml:space="preserve"> </w:t>
      </w:r>
      <w:r>
        <w:rPr/>
        <w:t>Green, R.</w:t>
      </w:r>
      <w:r>
        <w:rPr/>
        <w:t xml:space="preserve"> C., &amp; Farahany, N.</w:t>
      </w:r>
      <w:r>
        <w:rPr/>
        <w:t xml:space="preserve"> A.</w:t>
      </w:r>
      <w:r>
        <w:rPr/>
        <w:t xml:space="preserve"> (2014).</w:t>
      </w:r>
      <w:r>
        <w:rPr/>
        <w:t xml:space="preserve"> Regulation: The FDA is overcautious on consumer genomics.</w:t>
      </w:r>
      <w:r>
        <w:rPr/>
        <w:t xml:space="preserve"> </w:t>
      </w:r>
      <w:r>
        <w:rPr>
          <w:i/>
        </w:rPr>
        <w:t>Nature</w:t>
      </w:r>
      <w:r>
        <w:rPr/>
        <w:t>, 505(7483), 286–287.</w:t>
      </w:r>
      <w:r>
        <w:rPr/>
        <w:t xml:space="preserve"> </w:t>
      </w:r>
      <w:commentRangeStart w:id="106"/>
      <w:r>
        <w:rPr/>
        <w:t>Kulaga, A., et al.</w:t>
      </w:r>
      <w:r>
        <w:rPr/>
        <w:t xml:space="preserve"> (2024).</w:t>
      </w:r>
      <w:r>
        <w:rPr/>
        <w:t xml:space="preserve"> Just-DNA-Seq, open-source personal genomics platform.</w:t>
      </w:r>
      <w:r>
        <w:rPr/>
        <w:t xml:space="preserve"> </w:t>
      </w:r>
      <w:r>
        <w:rPr>
          <w:i/>
        </w:rPr>
        <w:t>arXiv</w:t>
      </w:r>
      <w:r>
        <w:rPr/>
        <w:t>:2403.19087.</w:t>
      </w:r>
      <w:commentRangeEnd w:id="106"/>
      <w:r>
        <w:rPr>
          <w:rStyle w:val="CommentReference"/>
        </w:rPr>
        <w:commentReference w:id="106"/>
      </w:r>
      <w:r>
        <w:rPr/>
        <w:t xml:space="preserve"> </w:t>
      </w:r>
      <w:r>
        <w:rPr/>
        <w:t>Lambert, S.</w:t>
      </w:r>
      <w:r>
        <w:rPr/>
        <w:t xml:space="preserve"> A., et al.</w:t>
      </w:r>
      <w:r>
        <w:rPr/>
        <w:t xml:space="preserve"> (2021).</w:t>
      </w:r>
      <w:r>
        <w:rPr/>
        <w:t xml:space="preserve"> The Polygenic Score Catalog.</w:t>
      </w:r>
      <w:r>
        <w:rPr/>
        <w:t xml:space="preserve"> </w:t>
      </w:r>
      <w:r>
        <w:rPr>
          <w:i/>
        </w:rPr>
        <w:t>Nature Genetics</w:t>
      </w:r>
      <w:r>
        <w:rPr/>
        <w:t>, 53(4), 420–425.</w:t>
      </w:r>
      <w:r>
        <w:rPr/>
        <w:t xml:space="preserve"> </w:t>
      </w:r>
      <w:r>
        <w:rPr/>
        <w:t>Manrai, A.</w:t>
      </w:r>
      <w:r>
        <w:rPr/>
        <w:t xml:space="preserve"> K., et al.</w:t>
      </w:r>
      <w:r>
        <w:rPr/>
        <w:t xml:space="preserve"> (2016).</w:t>
      </w:r>
      <w:r>
        <w:rPr/>
        <w:t xml:space="preserve"> Genetic misdiagnoses and the potential for health disparities.</w:t>
      </w:r>
      <w:r>
        <w:rPr/>
        <w:t xml:space="preserve"> </w:t>
      </w:r>
      <w:r>
        <w:rPr>
          <w:i/>
        </w:rPr>
        <w:t>NEJM</w:t>
      </w:r>
      <w:r>
        <w:rPr/>
        <w:t>, 375(7), 655–665.</w:t>
      </w:r>
      <w:r>
        <w:rPr/>
        <w:t xml:space="preserve"> </w:t>
      </w:r>
      <w:commentRangeStart w:id="95"/>
      <w:commentRangeStart w:id="96"/>
      <w:ins w:id="596" w:author="Prose edit" w:date="2026-10-22T10:17:48Z">
        <w:r>
          <w:rPr/>
          <w:t>National Human Genome Research Institute.</w:t>
        </w:r>
      </w:ins>
      <w:ins w:id="597" w:author="Prose edit" w:date="2026-10-22T10:17:48Z">
        <w:r>
          <w:rPr/>
          <w:t xml:space="preserve"> https://www.genome.gov/about-genomics/fact-sheets/Sequencing-Human-Genome-cost (accessed).</w:t>
        </w:r>
      </w:ins>
      <w:commentRangeEnd w:id="96"/>
      <w:r>
        <w:rPr>
          <w:rStyle w:val="CommentReference"/>
        </w:rPr>
        <w:commentReference w:id="96"/>
      </w:r>
      <w:commentRangeEnd w:id="95"/>
      <w:r>
        <w:rPr>
          <w:rStyle w:val="CommentReference"/>
        </w:rPr>
        <w:commentReference w:id="95"/>
      </w:r>
      <w:r>
        <w:rPr/>
        <w:t xml:space="preserve"> </w:t>
      </w:r>
      <w:commentRangeStart w:id="196"/>
      <w:r>
        <w:rPr/>
        <w:t>Shenhar, B., et al.</w:t>
      </w:r>
      <w:r>
        <w:rPr/>
        <w:t xml:space="preserve"> (2025).</w:t>
      </w:r>
      <w:r>
        <w:rPr/>
        <w:t xml:space="preserve"> Heritability of human lifespan is about 50% when confounding factors are addressed.</w:t>
      </w:r>
      <w:r>
        <w:rPr/>
        <w:t xml:space="preserve"> </w:t>
      </w:r>
      <w:r>
        <w:rPr>
          <w:i/>
        </w:rPr>
        <w:t>Science</w:t>
      </w:r>
      <w:r>
        <w:rPr/>
        <w:t>.</w:t>
      </w:r>
      <w:commentRangeEnd w:id="196"/>
      <w:r>
        <w:rPr>
          <w:rStyle w:val="CommentReference"/>
        </w:rPr>
        <w:commentReference w:id="196"/>
      </w:r>
      <w:r>
        <w:rPr/>
        <w:t xml:space="preserve"> </w:t>
      </w:r>
      <w:commentRangeStart w:id="198"/>
      <w:r>
        <w:rPr/>
        <w:t>Tacutu, R., et al.</w:t>
      </w:r>
      <w:r>
        <w:rPr/>
        <w:t xml:space="preserve"> (2017).</w:t>
      </w:r>
      <w:r>
        <w:rPr/>
        <w:t xml:space="preserve"> Human Ageing Genomic Resources: New and updated databases.</w:t>
      </w:r>
      <w:r>
        <w:rPr/>
        <w:t xml:space="preserve"> </w:t>
      </w:r>
      <w:r>
        <w:rPr>
          <w:i/>
        </w:rPr>
        <w:t>NAR</w:t>
      </w:r>
      <w:r>
        <w:rPr/>
        <w:t>, 46(D1), D1083–D1090.</w:t>
      </w:r>
      <w:commentRangeEnd w:id="198"/>
      <w:r>
        <w:rPr>
          <w:rStyle w:val="CommentReference"/>
        </w:rPr>
        <w:commentReference w:id="198"/>
      </w:r>
      <w:r>
        <w:rPr/>
        <w:t xml:space="preserve"> </w:t>
      </w:r>
      <w:r>
        <w:rPr/>
        <w:t>Tandy-Connor, S., et al.</w:t>
      </w:r>
      <w:r>
        <w:rPr/>
        <w:t xml:space="preserve"> (2018).</w:t>
      </w:r>
      <w:r>
        <w:rPr/>
        <w:t xml:space="preserve"> False-positive results released by direct-to-consumer genetic tests.</w:t>
      </w:r>
      <w:r>
        <w:rPr/>
        <w:t xml:space="preserve"> </w:t>
      </w:r>
      <w:r>
        <w:rPr>
          <w:i/>
        </w:rPr>
        <w:t>Genetics in Medicine</w:t>
      </w:r>
      <w:r>
        <w:rPr/>
        <w:t>, 20(12), 1515–1521.</w:t>
      </w:r>
      <w:r>
        <w:rPr/>
        <w:t xml:space="preserve"> </w:t>
      </w:r>
      <w:commentRangeStart w:id="139"/>
      <w:r>
        <w:rPr/>
        <w:t>Whitley, K.</w:t>
      </w:r>
      <w:r>
        <w:rPr/>
        <w:t xml:space="preserve"> V., </w:t>
      </w:r>
      <w:commentRangeStart w:id="97"/>
      <w:del w:id="598" w:author="Prose edit" w:date="2026-10-22T10:17:48Z">
        <w:r>
          <w:rPr/>
          <w:delText>et</w:delText>
        </w:r>
      </w:del>
      <w:ins w:id="599" w:author="Prose edit" w:date="2026-10-22T10:17:48Z">
        <w:r>
          <w:rPr/>
          <w:t>Tueller,</w:t>
        </w:r>
      </w:ins>
      <w:r>
        <w:rPr/>
        <w:t xml:space="preserve"> </w:t>
      </w:r>
      <w:del w:id="600" w:author="Prose edit" w:date="2026-10-22T10:17:48Z">
        <w:r>
          <w:rPr/>
          <w:delText>al</w:delText>
        </w:r>
      </w:del>
      <w:ins w:id="601" w:author="Prose edit" w:date="2026-10-22T10:17:48Z">
        <w:r>
          <w:rPr/>
          <w:t>J.</w:t>
        </w:r>
      </w:ins>
      <w:ins w:id="602" w:author="Prose edit" w:date="2026-10-22T10:17:48Z">
        <w:r>
          <w:rPr/>
          <w:t xml:space="preserve"> A., &amp; Weber, K.</w:t>
        </w:r>
      </w:ins>
      <w:ins w:id="603" w:author="Prose edit" w:date="2026-10-22T10:17:48Z">
        <w:r>
          <w:rPr/>
          <w:t xml:space="preserve"> S</w:t>
        </w:r>
      </w:ins>
      <w:r>
        <w:rPr/>
        <w:t>.</w:t>
      </w:r>
      <w:r>
        <w:rPr/>
        <w:t xml:space="preserve"> (2020).</w:t>
      </w:r>
      <w:r>
        <w:rPr/>
        <w:t xml:space="preserve"> </w:t>
      </w:r>
      <w:del w:id="604" w:author="Prose edit" w:date="2026-10-22T10:17:48Z">
        <w:r>
          <w:rPr/>
          <w:delText>Direct-to-consumer</w:delText>
        </w:r>
      </w:del>
      <w:ins w:id="605" w:author="Prose edit" w:date="2026-10-22T10:17:48Z">
        <w:r>
          <w:rPr/>
          <w:t>Genomics</w:t>
        </w:r>
      </w:ins>
      <w:r>
        <w:rPr/>
        <w:t xml:space="preserve"> </w:t>
      </w:r>
      <w:del w:id="606" w:author="Prose edit" w:date="2026-10-22T10:17:48Z">
        <w:r>
          <w:rPr/>
          <w:delText>genetic</w:delText>
        </w:r>
      </w:del>
      <w:ins w:id="607" w:author="Prose edit" w:date="2026-10-22T10:17:48Z">
        <w:r>
          <w:rPr/>
          <w:t>education</w:t>
        </w:r>
      </w:ins>
      <w:r>
        <w:rPr/>
        <w:t xml:space="preserve"> </w:t>
      </w:r>
      <w:del w:id="608" w:author="Prose edit" w:date="2026-10-22T10:17:48Z">
        <w:r>
          <w:rPr/>
          <w:delText>testing</w:delText>
        </w:r>
      </w:del>
      <w:ins w:id="609" w:author="Prose edit" w:date="2026-10-22T10:17:48Z">
        <w:r>
          <w:rPr/>
          <w:t>in the era of personal genomics</w:t>
        </w:r>
      </w:ins>
      <w:r>
        <w:rPr/>
        <w:t xml:space="preserve">: </w:t>
      </w:r>
      <w:del w:id="610" w:author="Prose edit" w:date="2026-10-22T10:17:48Z">
        <w:r>
          <w:rPr/>
          <w:delText>an</w:delText>
        </w:r>
      </w:del>
      <w:ins w:id="611" w:author="Prose edit" w:date="2026-10-22T10:17:48Z">
        <w:r>
          <w:rPr/>
          <w:t>academic,</w:t>
        </w:r>
      </w:ins>
      <w:r>
        <w:rPr/>
        <w:t xml:space="preserve"> </w:t>
      </w:r>
      <w:del w:id="612" w:author="Prose edit" w:date="2026-10-22T10:17:48Z">
        <w:r>
          <w:rPr/>
          <w:delText>updated</w:delText>
        </w:r>
      </w:del>
      <w:ins w:id="613" w:author="Prose edit" w:date="2026-10-22T10:17:48Z">
        <w:r>
          <w:rPr/>
          <w:t>professional,</w:t>
        </w:r>
      </w:ins>
      <w:r>
        <w:rPr/>
        <w:t xml:space="preserve"> </w:t>
      </w:r>
      <w:del w:id="614" w:author="Prose edit" w:date="2026-10-22T10:17:48Z">
        <w:r>
          <w:rPr/>
          <w:delText>systematic</w:delText>
        </w:r>
      </w:del>
      <w:ins w:id="615" w:author="Prose edit" w:date="2026-10-22T10:17:48Z">
        <w:r>
          <w:rPr/>
          <w:t>and</w:t>
        </w:r>
      </w:ins>
      <w:r>
        <w:rPr/>
        <w:t xml:space="preserve"> </w:t>
      </w:r>
      <w:del w:id="616" w:author="Prose edit" w:date="2026-10-22T10:17:48Z">
        <w:r>
          <w:rPr/>
          <w:delText>review</w:delText>
        </w:r>
      </w:del>
      <w:ins w:id="617" w:author="Prose edit" w:date="2026-10-22T10:17:48Z">
        <w:r>
          <w:rPr/>
          <w:t>public considerations</w:t>
        </w:r>
      </w:ins>
      <w:r>
        <w:rPr/>
        <w:t>.</w:t>
      </w:r>
      <w:commentRangeEnd w:id="139"/>
      <w:r>
        <w:rPr>
          <w:rStyle w:val="CommentReference"/>
        </w:rPr>
        <w:commentReference w:id="139"/>
      </w:r>
      <w:r>
        <w:rPr/>
        <w:t xml:space="preserve"> </w:t>
      </w:r>
      <w:del w:id="618" w:author="Prose edit" w:date="2026-10-22T10:17:48Z">
        <w:r>
          <w:rPr>
            <w:i/>
          </w:rPr>
          <w:delText>European</w:delText>
        </w:r>
      </w:del>
      <w:ins w:id="619" w:author="Prose edit" w:date="2026-10-22T10:17:48Z">
        <w:r>
          <w:rPr>
            <w:i/>
          </w:rPr>
          <w:t>International</w:t>
        </w:r>
      </w:ins>
      <w:r>
        <w:rPr>
          <w:i/>
        </w:rPr>
        <w:t xml:space="preserve"> Journal of </w:t>
      </w:r>
      <w:del w:id="620" w:author="Prose edit" w:date="2026-10-22T10:17:48Z">
        <w:r>
          <w:rPr>
            <w:i/>
          </w:rPr>
          <w:delText>Human</w:delText>
        </w:r>
      </w:del>
      <w:ins w:id="621" w:author="Prose edit" w:date="2026-10-22T10:17:48Z">
        <w:r>
          <w:rPr>
            <w:i/>
          </w:rPr>
          <w:t>Molecular</w:t>
        </w:r>
      </w:ins>
      <w:r>
        <w:rPr>
          <w:i/>
        </w:rPr>
        <w:t xml:space="preserve"> </w:t>
      </w:r>
      <w:del w:id="622" w:author="Prose edit" w:date="2026-10-22T10:17:48Z">
        <w:r>
          <w:rPr>
            <w:i/>
          </w:rPr>
          <w:delText>Genetics</w:delText>
        </w:r>
      </w:del>
      <w:ins w:id="623" w:author="Prose edit" w:date="2026-10-22T10:17:48Z">
        <w:r>
          <w:rPr>
            <w:i/>
          </w:rPr>
          <w:t>Sciences</w:t>
        </w:r>
      </w:ins>
      <w:r>
        <w:rPr/>
        <w:t xml:space="preserve">, </w:t>
      </w:r>
      <w:del w:id="624" w:author="Prose edit" w:date="2026-10-22T10:17:48Z">
        <w:r>
          <w:rPr/>
          <w:delText>28</w:delText>
        </w:r>
      </w:del>
      <w:ins w:id="625" w:author="Prose edit" w:date="2026-10-22T10:17:48Z">
        <w:r>
          <w:rPr/>
          <w:t>21</w:t>
        </w:r>
      </w:ins>
      <w:r>
        <w:rPr/>
        <w:t>(</w:t>
      </w:r>
      <w:del w:id="626" w:author="Prose edit" w:date="2026-10-22T10:17:48Z">
        <w:r>
          <w:rPr/>
          <w:delText>8</w:delText>
        </w:r>
      </w:del>
      <w:ins w:id="627" w:author="Prose edit" w:date="2026-10-22T10:17:48Z">
        <w:r>
          <w:rPr/>
          <w:t>3</w:t>
        </w:r>
      </w:ins>
      <w:r>
        <w:rPr/>
        <w:t xml:space="preserve">), </w:t>
      </w:r>
      <w:del w:id="628" w:author="Prose edit" w:date="2026-10-22T10:17:48Z">
        <w:r>
          <w:rPr/>
          <w:delText>1063–1074</w:delText>
        </w:r>
      </w:del>
      <w:ins w:id="629" w:author="Prose edit" w:date="2026-10-22T10:17:48Z">
        <w:r>
          <w:rPr/>
          <w:t>768</w:t>
        </w:r>
      </w:ins>
      <w:r>
        <w:rPr/>
        <w:t>.</w:t>
      </w:r>
      <w:ins w:id="630" w:author="Prose edit" w:date="2026-10-22T10:17:48Z">
        <w:r>
          <w:rPr/>
          <w:t xml:space="preserve"> https://doi.org/10.3390/ijms21030768</w:t>
        </w:r>
      </w:ins>
      <w:commentRangeEnd w:id="97"/>
      <w:r>
        <w:rPr>
          <w:rStyle w:val="CommentReference"/>
        </w:rPr>
        <w:commentReference w:id="97"/>
      </w:r>
    </w:p>
    <w:p>
      <w:pPr>
        <w:pStyle w:val="Heading1"/>
      </w:pPr>
      <w:r>
        <w:rPr>
          <w:b/>
        </w:rPr>
        <w:t>Supplementary Material</w:t>
      </w:r>
    </w:p>
    <w:p>
      <w:r>
        <w:rPr>
          <w:b/>
        </w:rPr>
        <w:t>S1.</w:t>
      </w:r>
      <w:r>
        <w:rPr>
          <w:b/>
        </w:rPr>
        <w:t xml:space="preserve"> Generation I: OakVar-Based Just-DNA-Seq Platform.</w:t>
      </w:r>
      <w:commentRangeStart w:id="150"/>
      <w:r>
        <w:rPr/>
        <w:t xml:space="preserve"> Architecture, pipeline, module types, and repository table for the OakVar-based Generation I system (see combined-manuscript supplement for full detail).</w:t>
      </w:r>
      <w:commentRangeEnd w:id="150"/>
      <w:r>
        <w:rPr>
          <w:rStyle w:val="CommentReference"/>
        </w:rPr>
        <w:commentReference w:id="150"/>
      </w:r>
    </w:p>
    <w:p>
      <w:r>
        <w:rPr>
          <w:b/>
        </w:rPr>
        <w:t>S2.</w:t>
      </w:r>
      <w:r>
        <w:rPr>
          <w:b/>
        </w:rPr>
        <w:t xml:space="preserve"> Generation I vs Generation II Speed Comparison.</w:t>
      </w:r>
      <w:r>
        <w:rPr/>
        <w:t xml:space="preserve"> Individual OakVar benchmark runs (2023-02-17: 5,651 s; 2023-02-19: 6,803 s; 2023-05-07: 7,662 s; mean 6,705 ± 583 s).</w:t>
      </w:r>
      <w:commentRangeStart w:id="144"/>
      <w:r>
        <w:rPr/>
        <w:t xml:space="preserve"> The </w:t>
      </w:r>
      <w:commentRangeStart w:id="98"/>
      <w:del w:id="631" w:author="Story" w:date="2026-10-22T10:17:48Z">
        <w:r>
          <w:rPr/>
          <w:delText>172×</w:delText>
        </w:r>
      </w:del>
      <w:ins w:id="632" w:author="Story" w:date="2026-10-22T10:17:48Z">
        <w:r>
          <w:rPr/>
          <w:t>two</w:t>
        </w:r>
      </w:ins>
      <w:r>
        <w:rPr/>
        <w:t xml:space="preserve"> </w:t>
      </w:r>
      <w:del w:id="633" w:author="Story" w:date="2026-10-22T10:17:48Z">
        <w:r>
          <w:rPr/>
          <w:delText>speedup</w:delText>
        </w:r>
      </w:del>
      <w:ins w:id="634" w:author="Story" w:date="2026-10-22T10:17:48Z">
        <w:r>
          <w:rPr/>
          <w:t>systems</w:t>
        </w:r>
      </w:ins>
      <w:r>
        <w:rPr/>
        <w:t xml:space="preserve"> </w:t>
      </w:r>
      <w:del w:id="635" w:author="Story" w:date="2026-10-22T10:17:48Z">
        <w:r>
          <w:rPr/>
          <w:delText>is</w:delText>
        </w:r>
      </w:del>
      <w:ins w:id="636" w:author="Story" w:date="2026-10-22T10:17:48Z">
        <w:r>
          <w:rPr/>
          <w:t>differ</w:t>
        </w:r>
      </w:ins>
      <w:r>
        <w:rPr/>
        <w:t xml:space="preserve"> </w:t>
      </w:r>
      <w:del w:id="637" w:author="Story" w:date="2026-10-22T10:17:48Z">
        <w:r>
          <w:rPr/>
          <w:delText>attributable to</w:delText>
        </w:r>
      </w:del>
      <w:ins w:id="638" w:author="Story" w:date="2026-10-22T10:17:48Z">
        <w:r>
          <w:rPr/>
          <w:t>in</w:t>
        </w:r>
      </w:ins>
      <w:r>
        <w:rPr/>
        <w:t xml:space="preserve"> Polars streaming joins against Parquet,</w:t>
      </w:r>
      <w:ins w:id="639" w:author="Story" w:date="2026-10-22T10:17:48Z">
        <w:r>
          <w:rPr/>
          <w:t xml:space="preserve"> the</w:t>
        </w:r>
      </w:ins>
      <w:r>
        <w:rPr/>
        <w:t xml:space="preserve"> elimination of the multi-step OakVar annotator pipeline, and DuckDB for large joins with predicate pushdown and column pruning</w:t>
      </w:r>
      <w:ins w:id="640" w:author="Story" w:date="2026-10-22T10:17:48Z">
        <w:r>
          <w:rPr/>
          <w:t>; the benchmark does not isolate how much each contributes to the 172× speedup (Section 5.1)</w:t>
        </w:r>
      </w:ins>
      <w:commentRangeEnd w:id="98"/>
      <w:r>
        <w:rPr>
          <w:rStyle w:val="CommentReference"/>
        </w:rPr>
        <w:commentReference w:id="98"/>
      </w:r>
      <w:r>
        <w:rPr/>
        <w:t>.</w:t>
      </w:r>
      <w:commentRangeEnd w:id="144"/>
      <w:r>
        <w:rPr>
          <w:rStyle w:val="CommentReference"/>
        </w:rPr>
        <w:commentReference w:id="144"/>
      </w:r>
    </w:p>
    <w:p>
      <w:r>
        <w:rPr>
          <w:b/>
        </w:rPr>
        <w:t>S3.</w:t>
      </w:r>
      <w:r>
        <w:rPr>
          <w:b/>
        </w:rPr>
        <w:t xml:space="preserve"> Runtime and Memory on Large PRS Scoring Files.</w:t>
      </w:r>
      <w:commentRangeStart w:id="143"/>
      <w:r>
        <w:rPr/>
        <w:t xml:space="preserve"> Per-call memory (DuckDB/Polars median heap 0.2 MB; PLINK2 ~590 MB) and runtimes for the 7 genome-wide PGS IDs (1.7–6.9M variants); PLINK2 failed on the four largest due to 4-part ID matching constraints.</w:t>
      </w:r>
      <w:commentRangeEnd w:id="143"/>
      <w:r>
        <w:rPr>
          <w:rStyle w:val="CommentReference"/>
        </w:rPr>
        <w:commentReference w:id="143"/>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Questions for the authors" w:initials="QF" w:date="2026-10-22T10:17:48Z">
    <w:p>
      <w:pPr>
        <w:pStyle w:val="CommentText"/>
      </w:pPr>
      <w:r>
        <w:rPr>
          <w:rStyle w:val="CommentReference"/>
        </w:rPr>
        <w:annotationRef/>
      </w:r>
      <w:r>
        <w:t>Question for the authors (JA-C2): add \* after the corresponding author and † after each author who contributed equally</w:t>
      </w:r>
    </w:p>
  </w:comment>
  <w:comment w:id="1" w:author="Journal adaptation" w:initials="JA" w:date="2026-10-22T10:17:48Z">
    <w:p>
      <w:pPr>
        <w:pStyle w:val="CommentText"/>
      </w:pPr>
      <w:r>
        <w:rPr>
          <w:rStyle w:val="CommentReference"/>
        </w:rPr>
        <w:annotationRef/>
      </w:r>
      <w:r>
        <w:t>JA-C2 (proposed): Give names as first name then family name and free the asterisk for the corresponding author. Why: JS-7: No corresponding author is named, and the equal-contribution and co-supervision notes are unclear. A corresponding author at the University of Rostock gets 20% off BMC fees through Projekt DEAL, MDPI central invoicing through the institutional program, and possibly Frontiers' 2019 agreement; no agreement was found for the Romanian affiliations.</w:t>
      </w:r>
    </w:p>
  </w:comment>
  <w:comment w:id="2" w:author="Questions for the authors" w:initials="Q" w:date="2026-10-22T10:17:48Z">
    <w:p>
      <w:pPr>
        <w:pStyle w:val="CommentText"/>
      </w:pPr>
      <w:r>
        <w:rPr>
          <w:rStyle w:val="CommentReference"/>
        </w:rPr>
        <w:annotationRef/>
      </w:r>
      <w:r>
        <w:t>10 questions for the authors (JA-C4):</w:t>
      </w:r>
    </w:p>
    <w:p>
      <w:pPr>
        <w:pStyle w:val="CommentText"/>
      </w:pPr>
      <w:r>
        <w:t>1. postal code</w:t>
      </w:r>
    </w:p>
    <w:p>
      <w:pPr>
        <w:pStyle w:val="CommentText"/>
      </w:pPr>
      <w:r>
        <w:t>2. postal code and city</w:t>
      </w:r>
    </w:p>
    <w:p>
      <w:pPr>
        <w:pStyle w:val="CommentText"/>
      </w:pPr>
      <w:r>
        <w:t>3. postal code, city and country</w:t>
      </w:r>
    </w:p>
    <w:p>
      <w:pPr>
        <w:pStyle w:val="CommentText"/>
      </w:pPr>
      <w:r>
        <w:t>4. postal code, city and country</w:t>
      </w:r>
    </w:p>
    <w:p>
      <w:pPr>
        <w:pStyle w:val="CommentText"/>
      </w:pPr>
      <w:r>
        <w:t>5. postal code, city and country; assign to an author or delete</w:t>
      </w:r>
    </w:p>
    <w:p>
      <w:pPr>
        <w:pStyle w:val="CommentText"/>
      </w:pPr>
      <w:r>
        <w:t>6. postal code, city and country; assign to an author or delete</w:t>
      </w:r>
    </w:p>
    <w:p>
      <w:pPr>
        <w:pStyle w:val="CommentText"/>
      </w:pPr>
      <w:r>
        <w:t>7. postal code and city</w:t>
      </w:r>
    </w:p>
    <w:p>
      <w:pPr>
        <w:pStyle w:val="CommentText"/>
      </w:pPr>
      <w:r>
        <w:t>8. assign to an author or delete</w:t>
      </w:r>
    </w:p>
    <w:p>
      <w:pPr>
        <w:pStyle w:val="CommentText"/>
      </w:pPr>
      <w:r>
        <w:t>9. city, state, postal code and country</w:t>
      </w:r>
    </w:p>
    <w:p>
      <w:pPr>
        <w:pStyle w:val="CommentText"/>
      </w:pPr>
      <w:r>
        <w:t>10. postal code</w:t>
      </w:r>
    </w:p>
  </w:comment>
  <w:comment w:id="3" w:author="Journal adaptation" w:initials="JA" w:date="2026-10-22T10:17:48Z">
    <w:p>
      <w:pPr>
        <w:pStyle w:val="CommentText"/>
      </w:pPr>
      <w:r>
        <w:rPr>
          <w:rStyle w:val="CommentReference"/>
        </w:rPr>
        <w:annotationRef/>
      </w:r>
      <w:r>
        <w:t>JA-C4 (proposed): Complete every affiliation with city and country, and assign or delete affiliations 5 to 7. Why: IC-33: Draft markers remain, affiliations 5-7 are unattached and the equal-contribution note names nobody. Affiliations 5, 6 and 7 are assigned to no author and the equal-contribution sentence does not say which authors.</w:t>
      </w:r>
    </w:p>
  </w:comment>
  <w:comment w:id="4" w:author="Story" w:initials="S" w:date="2026-10-22T10:17:48Z">
    <w:p>
      <w:pPr>
        <w:pStyle w:val="CommentText"/>
      </w:pPr>
      <w:r>
        <w:rPr>
          <w:rStyle w:val="CommentReference"/>
        </w:rPr>
        <w:annotationRef/>
      </w:r>
      <w:r>
        <w:t>ST-C2 (proposed): Add the obstacle sentence (the 'but') between the need and 'We present', from Introduction paragraph 2. Why: ST-3: The Abstract moves from what is needed straight to 'We present'. The obstacle that makes the platform necessary is stated in the Introduction and missing from the Abstract, so its first sentences read as need then solution with no 'but'.</w:t>
      </w:r>
    </w:p>
  </w:comment>
  <w:comment w:id="5" w:author="Journal adaptation" w:initials="JA" w:date="2026-10-22T10:17:48Z">
    <w:p>
      <w:pPr>
        <w:pStyle w:val="CommentText"/>
      </w:pPr>
      <w:r>
        <w:rPr>
          <w:rStyle w:val="CommentReference"/>
        </w:rPr>
        <w:annotationRef/>
      </w:r>
      <w:r>
        <w:t>JA-C14a (proposed): Spell out VCF in the Abstract. Why: ST-8: Readers stopped at undefined terms and code names. The readers listed terms they could not follow, from the Abstract's 'shared module contract' to 'quality tiers', the score scale and T2T; the report gathers them in one table with where each occurs.</w:t>
      </w:r>
    </w:p>
  </w:comment>
  <w:comment w:id="6" w:author="Prose edit" w:initials="PE" w:date="2026-10-22T10:17:48Z">
    <w:p>
      <w:pPr>
        <w:pStyle w:val="CommentText"/>
      </w:pPr>
      <w:r>
        <w:rPr>
          <w:rStyle w:val="CommentReference"/>
        </w:rPr>
        <w:annotationRef/>
      </w:r>
      <w:r>
        <w:t>PE-C1 (proposed): State the conditions of the 172-fold figure where the Abstract gives it. Why: IC-1: The 172x speed-up compares runs whose work, environment and cache state are not shown to be comparable. Warm runs, timed stages, modules, Ensembl setting and the OakVar version and annotators are never defined; S2 dates the OakVar runs to 2023 while Table 4 lists Linux 6.8.0 (released March 2024); the project's own run report shows a full 12-module run of 133 s (about 50x); the gVCF row divides a different input by the VCF-based OakVar mean.</w:t>
      </w:r>
    </w:p>
  </w:comment>
  <w:comment w:id="7" w:author="Journal adaptation" w:initials="JA" w:date="2026-10-22T10:17:48Z">
    <w:p>
      <w:pPr>
        <w:pStyle w:val="CommentText"/>
      </w:pPr>
      <w:r>
        <w:rPr>
          <w:rStyle w:val="CommentReference"/>
        </w:rPr>
        <w:annotationRef/>
      </w:r>
      <w:r>
        <w:t>JA-C14i (proposed): Spell out AI in the Abstract. Why: ST-8: Readers stopped at undefined terms and code names. The readers listed terms they could not follow, from the Abstract's 'shared module contract' to 'quality tiers', the score scale and T2T; the report gathers them in one table with where each occurs.</w:t>
      </w:r>
    </w:p>
  </w:comment>
  <w:comment w:id="8" w:author="Prose edit" w:initials="PE" w:date="2026-10-22T10:17:48Z">
    <w:p>
      <w:pPr>
        <w:pStyle w:val="CommentText"/>
      </w:pPr>
      <w:r>
        <w:rPr>
          <w:rStyle w:val="CommentReference"/>
        </w:rPr>
        <w:annotationRef/>
      </w:r>
      <w:r>
        <w:t>PE-C2 (proposed): Separate the licence from the intended use. Why: PF-10: Sentence reads as if the AGPL restricted use to research and education. The AGPL has no such restriction, so the sentence can be read as stating a licence term that does not exist.</w:t>
      </w:r>
    </w:p>
  </w:comment>
  <w:comment w:id="9" w:author="Journal adaptation" w:initials="JA" w:date="2026-10-22T10:17:48Z">
    <w:p>
      <w:pPr>
        <w:pStyle w:val="CommentText"/>
      </w:pPr>
      <w:r>
        <w:rPr>
          <w:rStyle w:val="CommentReference"/>
        </w:rPr>
        <w:annotationRef/>
      </w:r>
      <w:r>
        <w:t>JA-C1 (proposed): Add eight keywords after the Abstract. Why: JA-1: No keywords; all three journals require them. Genes and BioData Mining ask for three to ten keywords and Frontiers for five to eight; the draft has none.</w:t>
      </w:r>
    </w:p>
  </w:comment>
  <w:comment w:id="10" w:author="Questions for the authors" w:initials="QF" w:date="2026-10-22T10:17:48Z">
    <w:p>
      <w:pPr>
        <w:pStyle w:val="CommentText"/>
      </w:pPr>
      <w:r>
        <w:rPr>
          <w:rStyle w:val="CommentReference"/>
        </w:rPr>
        <w:annotationRef/>
      </w:r>
      <w:r>
        <w:t>Question for the authors (PE-C3): year shown on the fact sheet</w:t>
      </w:r>
    </w:p>
  </w:comment>
  <w:comment w:id="11" w:author="Prose edit" w:initials="PE" w:date="2026-10-22T10:17:48Z">
    <w:p>
      <w:pPr>
        <w:pStyle w:val="CommentText"/>
      </w:pPr>
      <w:r>
        <w:rPr>
          <w:rStyle w:val="CommentReference"/>
        </w:rPr>
        <w:annotationRef/>
      </w:r>
      <w:r>
        <w:t>PE-C3 (proposed): Give the sequencing cost that the sources support. Why: IC-16: The cited Whitley 2020 entry matches no published work; it merges three real papers. EJHG 28(8) pages 1056-1065 and 1066-1077 are other articles; Crossref and Europe PMC hold no work with this title; a 2020 Whitley KV paper in IJMS 21(3):768 may be the intended work. It supports the Introduction's first sentence. RC-4: Opening cost claim of 'billions' is not what the cited or primary source says.. Whitley et al. 2020 give $95,263,072 for the HGP genome and under $1000 today, citing NHGRI; the NHGRI fact sheet puts the first genome at $0.5-1 billion and says this should not be confused with the ~$2.7 billion total HGP cost. Only partly supported.</w:t>
      </w:r>
    </w:p>
  </w:comment>
  <w:comment w:id="12" w:author="Deslop" w:initials="D" w:date="2026-10-22T10:17:48Z">
    <w:p>
      <w:pPr>
        <w:pStyle w:val="CommentText"/>
      </w:pPr>
      <w:r>
        <w:rPr>
          <w:rStyle w:val="CommentReference"/>
        </w:rPr>
        <w:annotationRef/>
      </w:r>
      <w:r>
        <w:t>DS-C20 (proposed): State the sequencing-annotation gap plainly. Why: DS-12: Stock 'the gap remains wide' figure states the gap without content. The sentence names a gap without saying what it is; the plain claim is that annotation has not become as accessible as sequencing.</w:t>
      </w:r>
    </w:p>
  </w:comment>
  <w:comment w:id="13" w:author="Journal adaptation" w:initials="JA" w:date="2026-10-22T10:17:48Z">
    <w:p>
      <w:pPr>
        <w:pStyle w:val="CommentText"/>
      </w:pPr>
      <w:r>
        <w:rPr>
          <w:rStyle w:val="CommentReference"/>
        </w:rPr>
        <w:annotationRef/>
      </w:r>
      <w:r>
        <w:t>JA-C14b (proposed): Spell out VCF at first use in the main text. Why: ST-8: Readers stopped at undefined terms and code names. The readers listed terms they could not follow, from the Abstract's 'shared module contract' to 'quality tiers', the score scale and T2T; the report gathers them in one table with where each occurs.</w:t>
      </w:r>
    </w:p>
  </w:comment>
  <w:comment w:id="14" w:author="Story" w:initials="S" w:date="2026-10-22T10:17:48Z">
    <w:p>
      <w:pPr>
        <w:pStyle w:val="CommentText"/>
      </w:pPr>
      <w:r>
        <w:rPr>
          <w:rStyle w:val="CommentReference"/>
        </w:rPr>
        <w:annotationRef/>
      </w:r>
      <w:r>
        <w:t>ST-C20 (proposed): Cite the three research tools the gap paragraph names (each identity-checked in PubMed). Why: IC-26: Named tools and resources lack citations, and the closest open-source neighbours are not named. PLINK/PLINK2, ANNOVAR, VEP, DeepVariant, 1000 Genomes, Ensembl Variation, Dagster, Polars, polars-bio, DuckDB, Reflex and OakVar are named without references, including the benchmark comparator.</w:t>
      </w:r>
    </w:p>
  </w:comment>
  <w:comment w:id="15" w:author="Story" w:initials="S" w:date="2026-10-22T10:17:48Z">
    <w:p>
      <w:pPr>
        <w:pStyle w:val="CommentText"/>
      </w:pPr>
      <w:r>
        <w:rPr>
          <w:rStyle w:val="CommentReference"/>
        </w:rPr>
        <w:annotationRef/>
      </w:r>
      <w:r>
        <w:t>ST-C3 (proposed): Replace the 'no open-source platform' sentence with the closest open-source neighbours, named and cited (a claim change: the authors decide). Why: IC-5: Absence claims are contradicted by OpenCRAVAT, OakVar and the authors' own Just-DNA-Seq. Two 'no existing tool' sentences have no reported search; OpenCRAVAT (co-authored by this paper's co-author Ryangguk Kim), OakVar, impute.me and the authors' own Just-DNA-Seq are open-source tools in the same space. IC-26: Named tools and resources lack citations, and the closest open-source neighbours are not named. PLINK/PLINK2, ANNOVAR, VEP, DeepVariant, 1000 Genomes, Ensembl Variation, Dagster, Polars, polars-bio, DuckDB, Reflex and OakVar are named without references, including the benchmark comparator.</w:t>
      </w:r>
    </w:p>
  </w:comment>
  <w:comment w:id="16" w:author="Prose edit" w:initials="PE" w:date="2026-10-22T10:17:48Z">
    <w:p>
      <w:pPr>
        <w:pStyle w:val="CommentText"/>
      </w:pPr>
      <w:r>
        <w:rPr>
          <w:rStyle w:val="CommentReference"/>
        </w:rPr>
        <w:annotationRef/>
      </w:r>
      <w:r>
        <w:t>PE-C5 (proposed): Say what the two cited sources report about APOE and FOXO3. Why: RC-7: Sources say FOXO3 came from candidate-gene studies, not GWAS; consistency overstated.. Broer et al. say FOXO3 'was not identified in GWAS' and their meta-analysis was European-ancestry only; Caruso et al. say both genes came from case-control studies and FOXO3 replicates 'to less extent'. Only partly supported.</w:t>
      </w:r>
    </w:p>
  </w:comment>
  <w:comment w:id="17" w:author="Prose edit" w:initials="PE" w:date="2026-10-22T10:17:48Z">
    <w:p>
      <w:pPr>
        <w:pStyle w:val="CommentText"/>
      </w:pPr>
      <w:r>
        <w:rPr>
          <w:rStyle w:val="CommentReference"/>
        </w:rPr>
        <w:annotationRef/>
      </w:r>
      <w:r>
        <w:t>PE-C6 (proposed): Replace 'no existing tool' with what Generation I already did. Why: IC-5: Absence claims are contradicted by OpenCRAVAT, OakVar and the authors' own Just-DNA-Seq. Two 'no existing tool' sentences have no reported search; OpenCRAVAT (co-authored by this paper's co-author Ryangguk Kim), OakVar, impute.me and the authors' own Just-DNA-Seq are open-source tools in the same space. RC-8: LongevityMap counts 3,144 variants in 550 entries, not 3,144 associations.. Tacutu et al. report 550 entries, 884 genes and 3144 variants, with only 275 entries significant and negative results included; the Introduction's 'thousands of variant-trait associations' has the same problem. The 876 'existing records' edited also needs its unit stated against 550 entries.</w:t>
      </w:r>
    </w:p>
  </w:comment>
  <w:comment w:id="18" w:author="Deslop" w:initials="D" w:date="2026-10-22T10:17:48Z">
    <w:p>
      <w:pPr>
        <w:pStyle w:val="CommentText"/>
      </w:pPr>
      <w:r>
        <w:rPr>
          <w:rStyle w:val="CommentReference"/>
        </w:rPr>
        <w:annotationRef/>
      </w:r>
      <w:r>
        <w:t>deslop.C1 (applied): The sentence opened with a 'This' that could point at several things; it now names the case it generalises from, and 'where' becomes 'on which'..</w:t>
      </w:r>
    </w:p>
  </w:comment>
  <w:comment w:id="19" w:author="Prose edit" w:initials="PE" w:date="2026-10-22T10:17:48Z">
    <w:p>
      <w:pPr>
        <w:pStyle w:val="CommentText"/>
      </w:pPr>
      <w:r>
        <w:rPr>
          <w:rStyle w:val="CommentReference"/>
        </w:rPr>
        <w:annotationRef/>
      </w:r>
      <w:r>
        <w:t>PE-C30 (proposed): Describe what the GDPR does instead of 'seek to avoid'. Why: PF-7: Introduction misdescribes GDPR and EHDS as frameworks avoiding uploads. The GDPR regulates processing of genetic data as a special category; the EHDS largely enables secondary use of health data including genomic data. The sentence cites nothing although Alteri et al. (2024) is in the bibliography.</w:t>
      </w:r>
    </w:p>
  </w:comment>
  <w:comment w:id="20" w:author="Story" w:initials="S" w:date="2026-10-22T10:17:48Z">
    <w:p>
      <w:pPr>
        <w:pStyle w:val="CommentText"/>
      </w:pPr>
      <w:r>
        <w:rPr>
          <w:rStyle w:val="CommentReference"/>
        </w:rPr>
        <w:annotationRef/>
      </w:r>
      <w:r>
        <w:t>ST-C4 (proposed): Take the four build-tool names out of the Introduction; Section 2.1 already names each of them. Why: ST-6: All three readers lost attention where the text turns to build tools and packages. The ageing biologist stopped at the Introduction's list of libraries, the skimmer at the uv workspace paragraph and the potential user at the just-dna-format contract; each came back only at something concrete. This is reader feedback from simulated readers.</w:t>
      </w:r>
    </w:p>
  </w:comment>
  <w:comment w:id="21" w:author="Journal adaptation" w:initials="JA" w:date="2026-10-22T10:17:48Z">
    <w:p>
      <w:pPr>
        <w:pStyle w:val="CommentText"/>
      </w:pPr>
      <w:r>
        <w:rPr>
          <w:rStyle w:val="CommentReference"/>
        </w:rPr>
        <w:annotationRef/>
      </w:r>
      <w:r>
        <w:t>JA-C14e (proposed): Spell out MCP and AI at first use in the main text. Why: ST-8: Readers stopped at undefined terms and code names. The readers listed terms they could not follow, from the Abstract's 'shared module contract' to 'quality tiers', the score scale and T2T; the report gathers them in one table with where each occurs.</w:t>
      </w:r>
    </w:p>
  </w:comment>
  <w:comment w:id="22" w:author="Deslop" w:initials="D" w:date="2026-10-22T10:17:48Z">
    <w:p>
      <w:pPr>
        <w:pStyle w:val="CommentText"/>
      </w:pPr>
      <w:r>
        <w:rPr>
          <w:rStyle w:val="CommentReference"/>
        </w:rPr>
        <w:annotationRef/>
      </w:r>
      <w:r>
        <w:t>deslop.C2 (applied): An abstract noun ('Local execution') was the actor of an awkward 'avoids requiring'; the sentence now says plainly that core analysis runs locally without an upload..</w:t>
      </w:r>
    </w:p>
  </w:comment>
  <w:comment w:id="23" w:author="Journal adaptation" w:initials="JA" w:date="2026-10-22T10:17:48Z">
    <w:p>
      <w:pPr>
        <w:pStyle w:val="CommentText"/>
      </w:pPr>
      <w:r>
        <w:rPr>
          <w:rStyle w:val="CommentReference"/>
        </w:rPr>
        <w:annotationRef/>
      </w:r>
      <w:r>
        <w:t>JA-C14f (proposed): Spell out CLI at first use. Why: ST-8: Readers stopped at undefined terms and code names. The readers listed terms they could not follow, from the Abstract's 'shared module contract' to 'quality tiers', the score scale and T2T; the report gathers them in one table with where each occurs.</w:t>
      </w:r>
    </w:p>
  </w:comment>
  <w:comment w:id="24" w:author="Story" w:initials="S" w:date="2026-10-22T10:17:48Z">
    <w:p>
      <w:pPr>
        <w:pStyle w:val="CommentText"/>
      </w:pPr>
      <w:r>
        <w:rPr>
          <w:rStyle w:val="CommentReference"/>
        </w:rPr>
        <w:annotationRef/>
      </w:r>
      <w:r>
        <w:t>ST-C6 (proposed): Drop 'annotated' from the description of the input file, which readers took to mean the tool's job was already done. Why: ST-8: Readers stopped at undefined terms and code names. The readers listed terms they could not follow, from the Abstract's 'shared module contract' to 'quality tiers', the score scale and T2T; the report gathers them in one table with where each occurs.</w:t>
      </w:r>
    </w:p>
  </w:comment>
  <w:comment w:id="25" w:author="Deslop" w:initials="D" w:date="2026-10-22T10:17:48Z">
    <w:p>
      <w:pPr>
        <w:pStyle w:val="CommentText"/>
      </w:pPr>
      <w:r>
        <w:rPr>
          <w:rStyle w:val="CommentReference"/>
        </w:rPr>
        <w:annotationRef/>
      </w:r>
      <w:r>
        <w:t>deslop.C3 (applied): The em dash becomes a comma with 'whether', which keeps the three sources of the file as one clause..</w:t>
      </w:r>
    </w:p>
  </w:comment>
  <w:comment w:id="26" w:author="Deslop" w:initials="D" w:date="2026-10-22T10:17:48Z">
    <w:p>
      <w:pPr>
        <w:pStyle w:val="CommentText"/>
      </w:pPr>
      <w:r>
        <w:rPr>
          <w:rStyle w:val="CommentReference"/>
        </w:rPr>
        <w:annotationRef/>
      </w:r>
      <w:r>
        <w:t>deslop.C4 (applied): 'serves as' stood in for 'is'..</w:t>
      </w:r>
    </w:p>
  </w:comment>
  <w:comment w:id="27" w:author="Prose edit" w:initials="PE" w:date="2026-10-22T10:17:48Z">
    <w:p>
      <w:pPr>
        <w:pStyle w:val="CommentText"/>
      </w:pPr>
      <w:r>
        <w:rPr>
          <w:rStyle w:val="CommentReference"/>
        </w:rPr>
        <w:annotationRef/>
      </w:r>
      <w:r>
        <w:t>prose-edit.C1 (applied): The company's name is spelled Hugging Face, as two words. PE-C7 (proposed): Give the join key the code uses and put DuckDB in the step that uses it. Why: IC-11: Join default is position in code, not rsID. annotate_vcf_with_module_weights defaults to a position+genotype join and falls back to rsID only for modules without coordinates; the benchmark DeepVariant VCF has no rsIDs, so an rsID default would match nothing. IC-21: DuckDB does the Ensembl join, not module joins. Module joins in hf_logic.py are Polars-only; DuckDB is used for the optional Ensembl join; the companion paper says modules are joined using DuckDB.</w:t>
      </w:r>
    </w:p>
  </w:comment>
  <w:comment w:id="28" w:author="Story" w:initials="S" w:date="2026-10-22T10:17:48Z">
    <w:p>
      <w:pPr>
        <w:pStyle w:val="CommentText"/>
      </w:pPr>
      <w:r>
        <w:rPr>
          <w:rStyle w:val="CommentReference"/>
        </w:rPr>
        <w:annotationRef/>
      </w:r>
      <w:r>
        <w:t>ST-C7 (proposed): Make the heading agree with the section's first sentence, the phrase a reader remembered. Why: IC-29: Names are inconsistent (runs, modules) and the 2.2 heading contradicts its text. warm-run/normal/Normal (average) name the same runs and cold start is undefined; Longevity Map/Longevity Variants/Longevity Variants 2026 are easy to confuse; 'Modular Plugin System' heads a section saying modules are not plugins; a provider's VCF is not annotated.</w:t>
      </w:r>
    </w:p>
  </w:comment>
  <w:comment w:id="29" w:author="Story" w:initials="S" w:date="2026-10-22T10:17:48Z">
    <w:p>
      <w:pPr>
        <w:pStyle w:val="CommentText"/>
      </w:pPr>
      <w:r>
        <w:rPr>
          <w:rStyle w:val="CommentReference"/>
        </w:rPr>
        <w:annotationRef/>
      </w:r>
      <w:r>
        <w:t>ST-C8 (proposed): Say what the manifest does for a reader before naming the library that defines it. Why: ST-6: All three readers lost attention where the text turns to build tools and packages. The ageing biologist stopped at the Introduction's list of libraries, the skimmer at the uv workspace paragraph and the potential user at the just-dna-format contract; each came back only at something concrete. This is reader feedback from simulated readers. ST-8: Readers stopped at undefined terms and code names. The readers listed terms they could not follow, from the Abstract's 'shared module contract' to 'quality tiers', the score scale and T2T; the report gathers them in one table with where each occurs.</w:t>
      </w:r>
    </w:p>
  </w:comment>
  <w:comment w:id="30" w:author="Prose edit" w:initials="PE" w:date="2026-10-22T10:17:48Z">
    <w:p>
      <w:pPr>
        <w:pStyle w:val="CommentText"/>
      </w:pPr>
      <w:r>
        <w:rPr>
          <w:rStyle w:val="CommentReference"/>
        </w:rPr>
        <w:annotationRef/>
      </w:r>
      <w:r>
        <w:t>prose-edit.C2 (applied): The company's name is spelled Hugging Face, as two words.</w:t>
      </w:r>
    </w:p>
  </w:comment>
  <w:comment w:id="31" w:author="Deslop" w:initials="D" w:date="2026-10-22T10:17:48Z">
    <w:p>
      <w:pPr>
        <w:pStyle w:val="CommentText"/>
      </w:pPr>
      <w:r>
        <w:rPr>
          <w:rStyle w:val="CommentReference"/>
        </w:rPr>
        <w:annotationRef/>
      </w:r>
      <w:r>
        <w:t>deslop.C5 (applied): A 75-word sentence chained a feature list, a colon, a second list and a condition; it is split after the feature list, and the Ensembl condition now comes first in its clause..</w:t>
      </w:r>
    </w:p>
  </w:comment>
  <w:comment w:id="32" w:author="Prose edit" w:initials="PE" w:date="2026-10-22T10:17:48Z">
    <w:p>
      <w:pPr>
        <w:pStyle w:val="CommentText"/>
      </w:pPr>
      <w:r>
        <w:rPr>
          <w:rStyle w:val="CommentReference"/>
        </w:rPr>
        <w:annotationRef/>
      </w:r>
      <w:r>
        <w:t>PE-C8 (proposed): Keep the laptop as the aim and report what was measured. Why: IC-2: Peak memory is not a sampled peak, and the laptop and personal-computer claims rest on it and on a workstation benchmark. resource_tracker reads resident memory before and after each step and reports the larger, so transient peaks inside a step are never seen; Table 3, the 750 MB statement and the personal-computer sentence in 2.4 rest on it. DuckDB's default limit is 75% of RAM, minimum 8 GB.</w:t>
      </w:r>
    </w:p>
  </w:comment>
  <w:comment w:id="33" w:author="Deslop" w:initials="D" w:date="2026-10-22T10:17:48Z">
    <w:p>
      <w:pPr>
        <w:pStyle w:val="CommentText"/>
      </w:pPr>
      <w:r>
        <w:rPr>
          <w:rStyle w:val="CommentReference"/>
        </w:rPr>
        <w:annotationRef/>
      </w:r>
      <w:r>
        <w:t>deslop.C6 (applied): A pair of em dashes around an aside; the section reference now leads and the aside follows a comma..</w:t>
      </w:r>
    </w:p>
  </w:comment>
  <w:comment w:id="34" w:author="Deslop" w:initials="D" w:date="2026-10-22T10:17:48Z">
    <w:p>
      <w:pPr>
        <w:pStyle w:val="CommentText"/>
      </w:pPr>
      <w:r>
        <w:rPr>
          <w:rStyle w:val="CommentReference"/>
        </w:rPr>
        <w:annotationRef/>
      </w:r>
      <w:r>
        <w:t>deslop.C7 (applied): 'represent' stood in for 'are'..</w:t>
      </w:r>
    </w:p>
  </w:comment>
  <w:comment w:id="35" w:author="Story" w:initials="S" w:date="2026-10-22T10:17:48Z">
    <w:p>
      <w:pPr>
        <w:pStyle w:val="CommentText"/>
      </w:pPr>
      <w:r>
        <w:rPr>
          <w:rStyle w:val="CommentReference"/>
        </w:rPr>
        <w:annotationRef/>
      </w:r>
      <w:r>
        <w:t>ST-C10 (proposed): Name the module as Table 1 does (Longevity Map) and give its report title, as the project's modules.yaml records them. Why: IC-29: Names are inconsistent (runs, modules) and the 2.2 heading contradicts its text. warm-run/normal/Normal (average) name the same runs and cold start is undefined; Longevity Map/Longevity Variants/Longevity Variants 2026 are easy to confuse; 'Modular Plugin System' heads a section saying modules are not plugins; a provider's VCF is not annotated.</w:t>
      </w:r>
    </w:p>
  </w:comment>
  <w:comment w:id="36" w:author="Prose edit" w:initials="PE" w:date="2026-10-22T10:17:48Z">
    <w:p>
      <w:pPr>
        <w:pStyle w:val="CommentText"/>
      </w:pPr>
      <w:r>
        <w:rPr>
          <w:rStyle w:val="CommentReference"/>
        </w:rPr>
        <w:annotationRef/>
      </w:r>
      <w:r>
        <w:t>PE-C9 (proposed): Count LongevityMap in the units its paper uses. Why: RC-8: LongevityMap counts 3,144 variants in 550 entries, not 3,144 associations.. Tacutu et al. report 550 entries, 884 genes and 3144 variants, with only 275 entries significant and negative results included; the Introduction's 'thousands of variant-trait associations' has the same problem. The 876 'existing records' edited also needs its unit stated against 550 entries.</w:t>
      </w:r>
    </w:p>
  </w:comment>
  <w:comment w:id="37" w:author="Questions for the authors" w:initials="QF" w:date="2026-10-22T10:17:48Z">
    <w:p>
      <w:pPr>
        <w:pStyle w:val="CommentText"/>
      </w:pPr>
      <w:r>
        <w:rPr>
          <w:rStyle w:val="CommentReference"/>
        </w:rPr>
        <w:annotationRef/>
      </w:r>
      <w:r>
        <w:t>Question for the authors (PE-C10): say what a record is here, since LongevityMap has 550 entries, and list anything added since 2024</w:t>
      </w:r>
    </w:p>
  </w:comment>
  <w:comment w:id="38" w:author="Prose edit" w:initials="PE" w:date="2026-10-22T10:17:48Z">
    <w:p>
      <w:pPr>
        <w:pStyle w:val="CommentText"/>
      </w:pPr>
      <w:r>
        <w:rPr>
          <w:rStyle w:val="CommentReference"/>
        </w:rPr>
        <w:annotationRef/>
      </w:r>
      <w:r>
        <w:t>PE-C10 (proposed): Credit the curation numbers to the Generation I paper. Why: RC-10: LongevityMap curation numbers come from the 2024 Generation I paper, uncited and presented as new. Kulaga et al. 2024 already report editing 876 records and adding 50 entries, from meta-analyses published after 2017. Calling this 'Our contribution here' presents published work as new; the Generation I Monte Carlo percentile method in Section 3.2 is also uncited.</w:t>
      </w:r>
    </w:p>
  </w:comment>
  <w:comment w:id="39" w:author="Journal adaptation" w:initials="JA" w:date="2026-10-22T10:17:48Z">
    <w:p>
      <w:pPr>
        <w:pStyle w:val="CommentText"/>
      </w:pPr>
      <w:r>
        <w:rPr>
          <w:rStyle w:val="CommentReference"/>
        </w:rPr>
        <w:annotationRef/>
      </w:r>
      <w:r>
        <w:t>JA-C14g (proposed): Spell out SNP at first use. Why: ST-8: Readers stopped at undefined terms and code names. The readers listed terms they could not follow, from the Abstract's 'shared module contract' to 'quality tiers', the score scale and T2T; the report gathers them in one table with where each occurs.</w:t>
      </w:r>
    </w:p>
  </w:comment>
  <w:comment w:id="40" w:author="Deslop" w:initials="D" w:date="2026-10-22T10:17:48Z">
    <w:p>
      <w:pPr>
        <w:pStyle w:val="CommentText"/>
      </w:pPr>
      <w:r>
        <w:rPr>
          <w:rStyle w:val="CommentReference"/>
        </w:rPr>
        <w:annotationRef/>
      </w:r>
      <w:r>
        <w:t>DS-C21 (proposed): Delete the closing sentence that restates the section's opening. Why: DS-11: Paragraph ends on a mini-conclusion restating the section's opening. The closing sentence restates the section's first sentence as a conclusion and uses 'demonstrates' for one example.</w:t>
      </w:r>
    </w:p>
  </w:comment>
  <w:comment w:id="41" w:author="Prose edit" w:initials="PE" w:date="2026-10-22T10:17:48Z">
    <w:p>
      <w:pPr>
        <w:pStyle w:val="CommentText"/>
      </w:pPr>
      <w:r>
        <w:rPr>
          <w:rStyle w:val="CommentReference"/>
        </w:rPr>
        <w:annotationRef/>
      </w:r>
      <w:r>
        <w:t>PE-C11 (proposed): Keep the PRS definition to what the cited paper says. Why: RC-9: PGS Catalog paper supports aggregation and weighted sum, not 'common' or population-relative.. Lambert et al. 2021 describe trait-associated variants combined by a weighted sum; they do not describe a population-relative measure. Low stakes, partly supported.</w:t>
      </w:r>
    </w:p>
  </w:comment>
  <w:comment w:id="42" w:author="Prose edit" w:initials="PE" w:date="2026-10-22T10:17:48Z">
    <w:p>
      <w:pPr>
        <w:pStyle w:val="CommentText"/>
      </w:pPr>
      <w:r>
        <w:rPr>
          <w:rStyle w:val="CommentReference"/>
        </w:rPr>
        <w:annotationRef/>
      </w:r>
      <w:r>
        <w:t>PE-C12 (proposed): Say that the interface infers ancestry and lets users change it. Why: IC-9: 6.4 denies ancestry inference that 3.2.1 and the code provide. Section 3.2.1 lists ancestry detection, and the web interface infers the superpopulation on file load (just-prs reference-PCA projection plus nearest-neighbour classifier) and uses it as the default percentile panel.</w:t>
      </w:r>
    </w:p>
  </w:comment>
  <w:comment w:id="43" w:author="Prose edit" w:initials="PE" w:date="2026-10-22T10:17:48Z">
    <w:p>
      <w:pPr>
        <w:pStyle w:val="CommentText"/>
      </w:pPr>
      <w:r>
        <w:rPr>
          <w:rStyle w:val="CommentReference"/>
        </w:rPr>
        <w:annotationRef/>
      </w:r>
      <w:r>
        <w:t>PE-C13 (proposed): Describe PLINK2's role without 'only'. Why: IC-27: just-prs also uses a PLINK2 binary for LD pruning at build time. just-prs downloads a PLINK2 binary for LD pruning when building reference models and keeps a legacy PLINK2 reference-score function, so 'only' overstates.</w:t>
      </w:r>
    </w:p>
  </w:comment>
  <w:comment w:id="44" w:author="Questions for the authors" w:initials="QF" w:date="2026-10-22T10:17:48Z">
    <w:p>
      <w:pPr>
        <w:pStyle w:val="CommentText"/>
      </w:pPr>
      <w:r>
        <w:rPr>
          <w:rStyle w:val="CommentReference"/>
        </w:rPr>
        <w:annotationRef/>
      </w:r>
      <w:r>
        <w:t>Question for the authors (PE-C14): how a user switches it off there, and which setting the Figure 3 view and the Section 5.2 benchmark used</w:t>
      </w:r>
    </w:p>
  </w:comment>
  <w:comment w:id="45" w:author="Prose edit" w:initials="PE" w:date="2026-10-22T10:17:48Z">
    <w:p>
      <w:pPr>
        <w:pStyle w:val="CommentText"/>
      </w:pPr>
      <w:r>
        <w:rPr>
          <w:rStyle w:val="CommentReference"/>
        </w:rPr>
        <w:annotationRef/>
      </w:r>
      <w:r>
        <w:t>PE-C14 (proposed): Give the restoration default for the library and for the web interface. Why: IC-8: Reference-homozygote restoration is on by default for WGS in the web UI. The library default is off, but the platform's PRS state defaults samples to WGS and turns restoration on for them; platform users see restored scores unless they switch to array.</w:t>
      </w:r>
    </w:p>
  </w:comment>
  <w:comment w:id="46" w:author="Prose edit" w:initials="PE" w:date="2026-10-22T10:17:48Z">
    <w:p>
      <w:pPr>
        <w:pStyle w:val="CommentText"/>
      </w:pPr>
      <w:r>
        <w:rPr>
          <w:rStyle w:val="CommentReference"/>
        </w:rPr>
        <w:annotationRef/>
      </w:r>
      <w:r>
        <w:t>PE-C15 (proposed): Attribute the consumer-array workflow to just-prs. Why: IC-10: Liftover and chip support claimed for the platform exist only in just-prs. The annotation pipeline has no liftover; just-prs liftover needs an optional extra (pyliftover) absent from uv.lock; uploads accept only .vcf/.vcf.gz and the upload page says chip support is planned; 6.5 lists the same items as underway or planned.</w:t>
      </w:r>
    </w:p>
  </w:comment>
  <w:comment w:id="47" w:author="Deslop" w:initials="D" w:date="2026-10-22T10:17:48Z">
    <w:p>
      <w:pPr>
        <w:pStyle w:val="CommentText"/>
      </w:pPr>
      <w:r>
        <w:rPr>
          <w:rStyle w:val="CommentReference"/>
        </w:rPr>
        <w:annotationRef/>
      </w:r>
      <w:r>
        <w:t>deslop.C9 (applied): A pair of em dashes around an aside becomes a pair of commas..</w:t>
      </w:r>
    </w:p>
  </w:comment>
  <w:comment w:id="48" w:author="Prose edit" w:initials="PE" w:date="2026-10-22T10:17:48Z">
    <w:p>
      <w:pPr>
        <w:pStyle w:val="CommentText"/>
      </w:pPr>
      <w:r>
        <w:rPr>
          <w:rStyle w:val="CommentReference"/>
        </w:rPr>
        <w:annotationRef/>
      </w:r>
      <w:r>
        <w:t>PE-C16 (proposed): Put subsection 3.2.1 one level below Section 3.2. Why: PE-1: Subsection 3.2.1 has the same heading level as Section 3.2. The subsection is written as a level-three heading, like its parent, so a table of contents or a converted file shows it beside Section 3.2 instead of under it.</w:t>
      </w:r>
    </w:p>
  </w:comment>
  <w:comment w:id="49" w:author="Deslop" w:initials="D" w:date="2026-10-22T10:17:48Z">
    <w:p>
      <w:pPr>
        <w:pStyle w:val="CommentText"/>
      </w:pPr>
      <w:r>
        <w:rPr>
          <w:rStyle w:val="CommentReference"/>
        </w:rPr>
        <w:annotationRef/>
      </w:r>
      <w:r>
        <w:t>deslop.C10 (applied): 'serves both as' stood in for 'is both'..</w:t>
      </w:r>
    </w:p>
  </w:comment>
  <w:comment w:id="50" w:author="Questions for the authors" w:initials="QF" w:date="2026-10-22T10:17:48Z">
    <w:p>
      <w:pPr>
        <w:pStyle w:val="CommentText"/>
      </w:pPr>
      <w:r>
        <w:rPr>
          <w:rStyle w:val="CommentReference"/>
        </w:rPr>
        <w:annotationRef/>
      </w:r>
      <w:r>
        <w:t>Question for the authors (PE-C17): name the package and its repository, and add it to Table 7</w:t>
      </w:r>
    </w:p>
  </w:comment>
  <w:comment w:id="51" w:author="Prose edit" w:initials="PE" w:date="2026-10-22T10:17:48Z">
    <w:p>
      <w:pPr>
        <w:pStyle w:val="CommentText"/>
      </w:pPr>
      <w:r>
        <w:rPr>
          <w:rStyle w:val="CommentReference"/>
        </w:rPr>
        <w:annotationRef/>
      </w:r>
      <w:r>
        <w:t>PE-C17 (proposed): Name the MCP interface for the wider platform, or remove the sentence. Why: IC-13: No MCP server for the wider platform in the repository or Table 7. The code snapshot uses MCP only as a client (BioContext KB); Table 7 lists no repository for such a server; the project's workshop notes record the just-dna-agents MCP server as unpublished.</w:t>
      </w:r>
    </w:p>
  </w:comment>
  <w:comment w:id="52" w:author="Story" w:initials="S" w:date="2026-10-22T10:17:48Z">
    <w:p>
      <w:pPr>
        <w:pStyle w:val="CommentText"/>
      </w:pPr>
      <w:r>
        <w:rPr>
          <w:rStyle w:val="CommentReference"/>
        </w:rPr>
        <w:annotationRef/>
      </w:r>
      <w:r>
        <w:t>ST-C11 (proposed): Drop the fifth list of interfaces; keep both caveats. Why: ST-20: The interface list, the disclaimer and the speed comparison are repeated. The interface list appears seven times, the no-diagnosis disclaimer six and the OakVar comparison five; several sentences answer a referee rather than tell a reader what was found.</w:t>
      </w:r>
    </w:p>
  </w:comment>
  <w:comment w:id="53" w:author="Prose edit" w:initials="PE" w:date="2026-10-22T10:17:48Z">
    <w:p>
      <w:pPr>
        <w:pStyle w:val="CommentText"/>
      </w:pPr>
      <w:r>
        <w:rPr>
          <w:rStyle w:val="CommentReference"/>
        </w:rPr>
        <w:annotationRef/>
      </w:r>
      <w:r>
        <w:t>PE-C18 (proposed): Say which external services module creation uses. Why: PF-8: The paper does not say what the AI features send off the machine, or to which services. Reports carry 'AI explain' buttons that open ChatGPT, Claude, Perplexity or Grok with a prompt containing rsID, gene, genotype, ClinVar interpretation and drug response; the module creator sends prompts and attached documents to Gemini and optionally OpenAI and Anthropic. The paper never describes these.</w:t>
      </w:r>
    </w:p>
  </w:comment>
  <w:comment w:id="54" w:author="Deslop" w:initials="D" w:date="2026-10-22T10:17:48Z">
    <w:p>
      <w:pPr>
        <w:pStyle w:val="CommentText"/>
      </w:pPr>
      <w:r>
        <w:rPr>
          <w:rStyle w:val="CommentReference"/>
        </w:rPr>
        <w:annotationRef/>
      </w:r>
      <w:r>
        <w:t>deslop.C12 (applied): Two cleft constructions ('what it emits is', 'is what the platform depends on'), an appositive 'X, not Y' and an em dash; the sentences now have plain subjects and verbs, and the contrast between contract and drafting method stays..</w:t>
      </w:r>
    </w:p>
  </w:comment>
  <w:comment w:id="55" w:author="Deslop" w:initials="D" w:date="2026-10-22T10:17:48Z">
    <w:p>
      <w:pPr>
        <w:pStyle w:val="CommentText"/>
      </w:pPr>
      <w:r>
        <w:rPr>
          <w:rStyle w:val="CommentReference"/>
        </w:rPr>
        <w:annotationRef/>
      </w:r>
      <w:r>
        <w:t>deslop.C13 (applied): 'Importantly,' added emphasis only, and the em dashes around the curator field become a colon and a comma..</w:t>
      </w:r>
    </w:p>
  </w:comment>
  <w:comment w:id="56" w:author="Deslop" w:initials="D" w:date="2026-10-22T10:17:48Z">
    <w:p>
      <w:pPr>
        <w:pStyle w:val="CommentText"/>
      </w:pPr>
      <w:r>
        <w:rPr>
          <w:rStyle w:val="CommentReference"/>
        </w:rPr>
        <w:annotationRef/>
      </w:r>
      <w:r>
        <w:t>deslop.C14 (applied): The paper calls this work 'the companion paper' everywhere else; one name for one object..</w:t>
      </w:r>
    </w:p>
  </w:comment>
  <w:comment w:id="57" w:author="Story" w:initials="S" w:date="2026-10-22T10:17:48Z">
    <w:p>
      <w:pPr>
        <w:pStyle w:val="CommentText"/>
      </w:pPr>
      <w:r>
        <w:rPr>
          <w:rStyle w:val="CommentReference"/>
        </w:rPr>
        <w:annotationRef/>
      </w:r>
      <w:r>
        <w:t>ST-C12 (proposed): Open the result with its finding and define a warm run (definition taken from the project's FAQ; the authors confirm). Why: RP.RC-12: Warm, normal and cold runs are undefined; Table 3 rows and the S2 ± are not labelled. The paper uses 'warm' and 'normal' for the same runs and never defines cold start; on HDD storage cache state changes times several-fold; Table 3's cold start (216 s) is an unidentified single run versus a 203.3 s mean, and the normal row gives a RAM range over unstated runs and no CPU. ST-10: Both results sections open with setup instead of the finding. 5.1 and 5.2 begin with what was benchmarked; the numbers a reader keeps come in the tables and later paragraphs.</w:t>
      </w:r>
    </w:p>
  </w:comment>
  <w:comment w:id="58" w:author="Questions for the authors" w:initials="Q" w:date="2026-10-22T10:17:48Z">
    <w:p>
      <w:pPr>
        <w:pStyle w:val="CommentText"/>
      </w:pPr>
      <w:r>
        <w:rPr>
          <w:rStyle w:val="CommentReference"/>
        </w:rPr>
        <w:annotationRef/>
      </w:r>
      <w:r>
        <w:t>4 questions for the authors (PE-C19):</w:t>
      </w:r>
    </w:p>
    <w:p>
      <w:pPr>
        <w:pStyle w:val="CommentText"/>
      </w:pPr>
      <w:r>
        <w:t>1. say which records these are, for example all records in the file; the project's run report counts 6,079,744 rows read and 4,257,537 after the default PASS, depth and quality filters</w:t>
      </w:r>
    </w:p>
    <w:p>
      <w:pPr>
        <w:pStyle w:val="CommentText"/>
      </w:pPr>
      <w:r>
        <w:t>2. these add up to 6,144,050; say how multi-allelic records were counted, or correct the split</w:t>
      </w:r>
    </w:p>
    <w:p>
      <w:pPr>
        <w:pStyle w:val="CommentText"/>
      </w:pPr>
      <w:r>
        <w:t>3. the version in the VCF header's ##DeepVariant_version line; the paper says v1.4.0, the project's run report 1.1.0</w:t>
      </w:r>
    </w:p>
    <w:p>
      <w:pPr>
        <w:pStyle w:val="CommentText"/>
      </w:pPr>
      <w:r>
        <w:t>4. sequencing platform</w:t>
      </w:r>
    </w:p>
  </w:comment>
  <w:comment w:id="59" w:author="Prose edit" w:initials="PE" w:date="2026-10-22T10:17:48Z">
    <w:p>
      <w:pPr>
        <w:pStyle w:val="CommentText"/>
      </w:pPr>
      <w:r>
        <w:rPr>
          <w:rStyle w:val="CommentReference"/>
        </w:rPr>
        <w:annotationRef/>
      </w:r>
      <w:r>
        <w:t>PE-C19 (proposed): Say which records the genome counts cover and which caller made the file. Why: RP.RC-10: The input genome's caller version and record counts disagree with the project's records and with each other. The project's run report on the same file says DeepVariant 1.1.0, 6,079,744 rows read and 4,257,537 after filters; the paper gives 6,138,868 records, 4,661,444 'biallelic variants' in 5.2, and an SNP+indel split summing to 6,144,050; the sequencing platform is not named.</w:t>
      </w:r>
    </w:p>
  </w:comment>
  <w:comment w:id="60" w:author="Story" w:initials="S" w:date="2026-10-22T10:17:48Z">
    <w:p>
      <w:pPr>
        <w:pStyle w:val="CommentText"/>
      </w:pPr>
      <w:r>
        <w:rPr>
          <w:rStyle w:val="CommentReference"/>
        </w:rPr>
        <w:annotationRef/>
      </w:r>
      <w:r>
        <w:t>ST-C13 (proposed): Use one name for the 38.9-second runs: 'warm', as the Abstract and Section 2.4 do. Why: RP.RC-12: Warm, normal and cold runs are undefined; Table 3 rows and the S2 ± are not labelled. The paper uses 'warm' and 'normal' for the same runs and never defines cold start; on HDD storage cache state changes times several-fold; Table 3's cold start (216 s) is an unidentified single run versus a 203.3 s mean, and the normal row gives a RAM range over unstated runs and no CPU.</w:t>
      </w:r>
    </w:p>
  </w:comment>
  <w:comment w:id="61" w:author="Prose edit" w:initials="PE" w:date="2026-10-22T10:17:48Z">
    <w:p>
      <w:pPr>
        <w:pStyle w:val="CommentText"/>
      </w:pPr>
      <w:r>
        <w:rPr>
          <w:rStyle w:val="CommentReference"/>
        </w:rPr>
        <w:annotationRef/>
      </w:r>
      <w:r>
        <w:t>prose-edit.C3 (applied): The tables wrote GVCF where Section 3.2 writes gVCF for the same file format, so the tables now follow the text.</w:t>
      </w:r>
    </w:p>
  </w:comment>
  <w:comment w:id="62" w:author="Prose edit" w:initials="PE" w:date="2026-10-22T10:17:48Z">
    <w:p>
      <w:pPr>
        <w:pStyle w:val="CommentText"/>
      </w:pPr>
      <w:r>
        <w:rPr>
          <w:rStyle w:val="CommentReference"/>
        </w:rPr>
        <w:annotationRef/>
      </w:r>
      <w:r>
        <w:t>prose-edit.C4 (applied): The tables wrote GVCF where Section 3.2 writes gVCF for the same file format, so the tables now follow the text.</w:t>
      </w:r>
    </w:p>
  </w:comment>
  <w:comment w:id="63" w:author="Story" w:initials="S" w:date="2026-10-22T10:17:48Z">
    <w:p>
      <w:pPr>
        <w:pStyle w:val="CommentText"/>
      </w:pPr>
      <w:r>
        <w:rPr>
          <w:rStyle w:val="CommentReference"/>
        </w:rPr>
        <w:annotationRef/>
      </w:r>
      <w:r>
        <w:t>ST-C14 (proposed): Use the same name in Table 3. Why: RP.RC-12: Warm, normal and cold runs are undefined; Table 3 rows and the S2 ± are not labelled. The paper uses 'warm' and 'normal' for the same runs and never defines cold start; on HDD storage cache state changes times several-fold; Table 3's cold start (216 s) is an unidentified single run versus a 203.3 s mean, and the normal row gives a RAM range over unstated runs and no CPU.</w:t>
      </w:r>
    </w:p>
  </w:comment>
  <w:comment w:id="64" w:author="Questions for the authors" w:initials="QF" w:date="2026-10-22T10:17:48Z">
    <w:p>
      <w:pPr>
        <w:pStyle w:val="CommentText"/>
      </w:pPr>
      <w:r>
        <w:rPr>
          <w:rStyle w:val="CommentReference"/>
        </w:rPr>
        <w:annotationRef/>
      </w:r>
      <w:r>
        <w:t>Question for the authors (PE-C21): version from the VCF header</w:t>
      </w:r>
    </w:p>
  </w:comment>
  <w:comment w:id="65" w:author="Prose edit" w:initials="PE" w:date="2026-10-22T10:17:48Z">
    <w:p>
      <w:pPr>
        <w:pStyle w:val="CommentText"/>
      </w:pPr>
      <w:r>
        <w:rPr>
          <w:rStyle w:val="CommentReference"/>
        </w:rPr>
        <w:annotationRef/>
      </w:r>
      <w:r>
        <w:t>PE-C21 (proposed): Use the caller version from the VCF header in Table 4. Why: RP.RC-10: The input genome's caller version and record counts disagree with the project's records and with each other. The project's run report on the same file says DeepVariant 1.1.0, 6,079,744 rows read and 4,257,537 after filters; the paper gives 6,138,868 records, 4,661,444 'biallelic variants' in 5.2, and an SNP+indel split summing to 6,144,050; the sequencing platform is not named.</w:t>
      </w:r>
    </w:p>
  </w:comment>
  <w:comment w:id="66" w:author="Questions for the authors" w:initials="QF" w:date="2026-10-22T10:17:48Z">
    <w:p>
      <w:pPr>
        <w:pStyle w:val="CommentText"/>
      </w:pPr>
      <w:r>
        <w:rPr>
          <w:rStyle w:val="CommentReference"/>
        </w:rPr>
        <w:annotationRef/>
      </w:r>
      <w:r>
        <w:t>Question for the authors (PE-C22): define warm and cold-start runs by what was already downloaded or cached before each run, list the timed stages, the modules and whether Ensembl annotation was on, and give the OakVar version, annotators and operating system of the 2023 runs.</w:t>
      </w:r>
    </w:p>
  </w:comment>
  <w:comment w:id="67" w:author="Prose edit" w:initials="PE" w:date="2026-10-22T10:17:48Z">
    <w:p>
      <w:pPr>
        <w:pStyle w:val="CommentText"/>
      </w:pPr>
      <w:r>
        <w:rPr>
          <w:rStyle w:val="CommentReference"/>
        </w:rPr>
        <w:annotationRef/>
      </w:r>
      <w:r>
        <w:t>PE-C22 (proposed): Give the 172-fold ratio its conditions in Section 5.1. Why: IC-1: The 172x speed-up compares runs whose work, environment and cache state are not shown to be comparable. Warm runs, timed stages, modules, Ensembl setting and the OakVar version and annotators are never defined; S2 dates the OakVar runs to 2023 while Table 4 lists Linux 6.8.0 (released March 2024); the project's own run report shows a full 12-module run of 133 s (about 50x); the gVCF row divides a different input by the VCF-based OakVar mean. RP.RC-12: Warm, normal and cold runs are undefined; Table 3 rows and the S2 ± are not labelled. The paper uses 'warm' and 'normal' for the same runs and never defines cold start; on HDD storage cache state changes times several-fold; Table 3's cold start (216 s) is an unidentified single run versus a 203.3 s mean, and the normal row gives a RAM range over unstated runs and no CPU.</w:t>
      </w:r>
    </w:p>
  </w:comment>
  <w:comment w:id="68" w:author="Questions for the authors" w:initials="QF" w:date="2026-10-22T10:17:48Z">
    <w:p>
      <w:pPr>
        <w:pStyle w:val="CommentText"/>
      </w:pPr>
      <w:r>
        <w:rPr>
          <w:rStyle w:val="CommentReference"/>
        </w:rPr>
        <w:annotationRef/>
      </w:r>
      <w:r>
        <w:t>Question for the authors (PE-C23): either re-measure with the operating system's maximum resident set size, including child processes, and keep this sentence with the new values, or use the following.</w:t>
      </w:r>
    </w:p>
  </w:comment>
  <w:comment w:id="69" w:author="Prose edit" w:initials="PE" w:date="2026-10-22T10:17:48Z">
    <w:p>
      <w:pPr>
        <w:pStyle w:val="CommentText"/>
      </w:pPr>
      <w:r>
        <w:rPr>
          <w:rStyle w:val="CommentReference"/>
        </w:rPr>
        <w:annotationRef/>
      </w:r>
      <w:r>
        <w:t>PE-C23 (proposed): Describe the memory figure as what the tracker measures. Why: IC-2: Peak memory is not a sampled peak, and the laptop and personal-computer claims rest on it and on a workstation benchmark. resource_tracker reads resident memory before and after each step and reports the larger, so transient peaks inside a step are never seen; Table 3, the 750 MB statement and the personal-computer sentence in 2.4 rest on it. DuckDB's default limit is 75% of RAM, minimum 8 GB.</w:t>
      </w:r>
    </w:p>
  </w:comment>
  <w:comment w:id="70" w:author="Questions for the authors" w:initials="QF" w:date="2026-10-22T10:17:48Z">
    <w:p>
      <w:pPr>
        <w:pStyle w:val="CommentText"/>
      </w:pPr>
      <w:r>
        <w:rPr>
          <w:rStyle w:val="CommentReference"/>
        </w:rPr>
        <w:annotationRef/>
      </w:r>
      <w:r>
        <w:t>Question for the authors (PE-C24): how this count follows from the 6,138,868 records in Section 5.1, for example after removing multi-allelic records and applying which filters</w:t>
      </w:r>
    </w:p>
  </w:comment>
  <w:comment w:id="71" w:author="Prose edit" w:initials="PE" w:date="2026-10-22T10:17:48Z">
    <w:p>
      <w:pPr>
        <w:pStyle w:val="CommentText"/>
      </w:pPr>
      <w:r>
        <w:rPr>
          <w:rStyle w:val="CommentReference"/>
        </w:rPr>
        <w:annotationRef/>
      </w:r>
      <w:r>
        <w:t>PE-C24 (proposed): Tie the PRS benchmark's variant count to the genome in Section 5.1. Why: RP.RC-10: The input genome's caller version and record counts disagree with the project's records and with each other. The project's run report on the same file says DeepVariant 1.1.0, 6,079,744 rows read and 4,257,537 after filters; the paper gives 6,138,868 records, 4,661,444 'biallelic variants' in 5.2, and an SNP+indel split summing to 6,144,050; the sequencing platform is not named.</w:t>
      </w:r>
    </w:p>
  </w:comment>
  <w:comment w:id="72" w:author="Deslop" w:initials="D" w:date="2026-10-22T10:17:48Z">
    <w:p>
      <w:pPr>
        <w:pStyle w:val="CommentText"/>
      </w:pPr>
      <w:r>
        <w:rPr>
          <w:rStyle w:val="CommentReference"/>
        </w:rPr>
        <w:annotationRef/>
      </w:r>
      <w:r>
        <w:t>deslop.C15 (applied): The third 'X, not Y' contrast in Section 6.1 is restated positively; the other two stay because they carry the argument and a safety statement..</w:t>
      </w:r>
    </w:p>
  </w:comment>
  <w:comment w:id="73" w:author="Prose edit" w:initials="PE" w:date="2026-10-22T10:17:48Z">
    <w:p>
      <w:pPr>
        <w:pStyle w:val="CommentText"/>
      </w:pPr>
      <w:r>
        <w:rPr>
          <w:rStyle w:val="CommentReference"/>
        </w:rPr>
        <w:annotationRef/>
      </w:r>
      <w:r>
        <w:t>PE-C29 (proposed): State the legal hooks of the rights argument accurately. Why: PF-6: Right-to-read argument overstates GDPR, EHDS and public-genome rights. Public genomes carry their owners' terms and GDPR still governs research processing of identifiable genetic data (Art. 9(2)(e) lifts only the special-category ban); the EHDS is adopted law whose access right covers healthcare records from 2029; Art. 15 grants a copy, which a tool does not 'instrument'.</w:t>
      </w:r>
    </w:p>
  </w:comment>
  <w:comment w:id="74" w:author="Prose edit" w:initials="PE" w:date="2026-10-22T10:17:48Z">
    <w:p>
      <w:pPr>
        <w:pStyle w:val="CommentText"/>
      </w:pPr>
      <w:r>
        <w:rPr>
          <w:rStyle w:val="CommentReference"/>
        </w:rPr>
        <w:annotationRef/>
      </w:r>
      <w:r>
        <w:t>PE-C26 (proposed): Describe the ancestry inference the interface performs. Why: IC-9: 6.4 denies ancestry inference that 3.2.1 and the code provide. Section 3.2.1 lists ancestry detection, and the web interface infers the superpopulation on file load (just-prs reference-PCA projection plus nearest-neighbour classifier) and uses it as the default percentile panel.</w:t>
      </w:r>
    </w:p>
  </w:comment>
  <w:comment w:id="75" w:author="Prose edit" w:initials="PE" w:date="2026-10-22T10:17:48Z">
    <w:p>
      <w:pPr>
        <w:pStyle w:val="CommentText"/>
      </w:pPr>
      <w:r>
        <w:rPr>
          <w:rStyle w:val="CommentReference"/>
        </w:rPr>
        <w:annotationRef/>
      </w:r>
      <w:r>
        <w:t>PE-C27 (proposed): Attribute liftover and chip support to the component that has them. Why: IC-10: Liftover and chip support claimed for the platform exist only in just-prs. The annotation pipeline has no liftover; just-prs liftover needs an optional extra (pyliftover) absent from uv.lock; uploads accept only .vcf/.vcf.gz and the upload page says chip support is planned; 6.5 lists the same items as underway or planned.</w:t>
      </w:r>
    </w:p>
  </w:comment>
  <w:comment w:id="76" w:author="Questions for the authors" w:initials="QF" w:date="2026-10-22T10:17:48Z">
    <w:p>
      <w:pPr>
        <w:pStyle w:val="CommentText"/>
      </w:pPr>
      <w:r>
        <w:rPr>
          <w:rStyle w:val="CommentReference"/>
        </w:rPr>
        <w:annotationRef/>
      </w:r>
      <w:r>
        <w:t>Question for the authors (PE-C28): confirm that this is planned</w:t>
      </w:r>
    </w:p>
  </w:comment>
  <w:comment w:id="77" w:author="Prose edit" w:initials="PE" w:date="2026-10-22T10:17:48Z">
    <w:p>
      <w:pPr>
        <w:pStyle w:val="CommentText"/>
      </w:pPr>
      <w:r>
        <w:rPr>
          <w:rStyle w:val="CommentReference"/>
        </w:rPr>
        <w:annotationRef/>
      </w:r>
      <w:r>
        <w:t>PE-C28 (proposed): Make the future-work list agree with Section 6.4. Why: IC-10: Liftover and chip support claimed for the platform exist only in just-prs. The annotation pipeline has no liftover; just-prs liftover needs an optional extra (pyliftover) absent from uv.lock; uploads accept only .vcf/.vcf.gz and the upload page says chip support is planned; 6.5 lists the same items as underway or planned.</w:t>
      </w:r>
    </w:p>
  </w:comment>
  <w:comment w:id="78" w:author="Deslop" w:initials="D" w:date="2026-10-22T10:17:48Z">
    <w:p>
      <w:pPr>
        <w:pStyle w:val="CommentText"/>
      </w:pPr>
      <w:r>
        <w:rPr>
          <w:rStyle w:val="CommentReference"/>
        </w:rPr>
        <w:annotationRef/>
      </w:r>
      <w:r>
        <w:t>DS-C24 (proposed): Drop the unsupported 'compelling' evaluation. Why: DS-14: Evaluation 'compelling' given with no reason. The sentence's only content beyond the topic is that it is compelling; no reason is given.</w:t>
      </w:r>
    </w:p>
  </w:comment>
  <w:comment w:id="79" w:author="Deslop" w:initials="D" w:date="2026-10-22T10:17:48Z">
    <w:p>
      <w:pPr>
        <w:pStyle w:val="CommentText"/>
      </w:pPr>
      <w:r>
        <w:rPr>
          <w:rStyle w:val="CommentReference"/>
        </w:rPr>
        <w:annotationRef/>
      </w:r>
      <w:r>
        <w:t>deslop.C16 (applied): Two em dashes and a 'not by X but by Y' pivot in one sentence; the consequence becomes its own sentence and the contrast with gatekeeping is kept in plainer form..</w:t>
      </w:r>
    </w:p>
  </w:comment>
  <w:comment w:id="80" w:author="Story" w:initials="S" w:date="2026-10-22T10:17:48Z">
    <w:p>
      <w:pPr>
        <w:pStyle w:val="CommentText"/>
      </w:pPr>
      <w:r>
        <w:rPr>
          <w:rStyle w:val="CommentReference"/>
        </w:rPr>
        <w:annotationRef/>
      </w:r>
      <w:r>
        <w:t>ST-C18 (proposed): End on what a reader can do; both caveat sentences stay as they are. Why: ST-21: The paper's last sentence is a disclaimer. The Conclusion, like the Abstract, ends on a caveat; the paper never closes on what a reader can do with it.</w:t>
      </w:r>
    </w:p>
  </w:comment>
  <w:comment w:id="81" w:author="Prose edit" w:initials="PE" w:date="2026-10-22T10:17:48Z">
    <w:p>
      <w:pPr>
        <w:pStyle w:val="CommentText"/>
      </w:pPr>
      <w:r>
        <w:rPr>
          <w:rStyle w:val="CommentReference"/>
        </w:rPr>
        <w:annotationRef/>
      </w:r>
      <w:r>
        <w:t>prose-edit.C5 (applied): The author list gives this name surname first (Koval Maria), as the neighbouring entries in this list do.</w:t>
      </w:r>
    </w:p>
  </w:comment>
  <w:comment w:id="82" w:author="Questions for the authors" w:initials="QF" w:date="2026-10-22T10:17:48Z">
    <w:p>
      <w:pPr>
        <w:pStyle w:val="CommentText"/>
      </w:pPr>
      <w:r>
        <w:rPr>
          <w:rStyle w:val="CommentReference"/>
        </w:rPr>
        <w:annotationRef/>
      </w:r>
      <w:r>
        <w:t>Question for the authors (PE-C31): keep "and benchmarking" only if her genome was used for a reported result, and then name it in Section 5</w:t>
      </w:r>
    </w:p>
  </w:comment>
  <w:comment w:id="83" w:author="Prose edit" w:initials="PE" w:date="2026-10-22T10:17:48Z">
    <w:p>
      <w:pPr>
        <w:pStyle w:val="CommentText"/>
      </w:pPr>
      <w:r>
        <w:rPr>
          <w:rStyle w:val="CommentReference"/>
        </w:rPr>
        <w:annotationRef/>
      </w:r>
      <w:r>
        <w:t>PE-C31 (proposed): Say what Livia Zaharia's genome was used for. Why: PF-1: The benchmark genome is the first author's, but the contribution statement implies Livia Zaharia's. Zenodo record 18370498 is 'Anton Kulaga genome', self-deposited by him under CC0; the only author described as providing a genome is Livia Zaharia, whose genome is a different record (19487816, CC BY 4.0). Readers will attach the wrong name to a public genome.</w:t>
      </w:r>
    </w:p>
  </w:comment>
  <w:comment w:id="84" w:author="Deslop" w:initials="D" w:date="2026-10-22T10:17:48Z">
    <w:p>
      <w:pPr>
        <w:pStyle w:val="CommentText"/>
      </w:pPr>
      <w:r>
        <w:rPr>
          <w:rStyle w:val="CommentReference"/>
        </w:rPr>
        <w:annotationRef/>
      </w:r>
      <w:r>
        <w:t>deslop.C17 (applied): An em dash inside a table cell becomes a colon..</w:t>
      </w:r>
    </w:p>
  </w:comment>
  <w:comment w:id="85" w:author="Deslop" w:initials="D" w:date="2026-10-22T10:17:48Z">
    <w:p>
      <w:pPr>
        <w:pStyle w:val="CommentText"/>
      </w:pPr>
      <w:r>
        <w:rPr>
          <w:rStyle w:val="CommentReference"/>
        </w:rPr>
        <w:annotationRef/>
      </w:r>
      <w:r>
        <w:t>deslop.C18 (applied): An em dash inside a table cell becomes parentheses..</w:t>
      </w:r>
    </w:p>
  </w:comment>
  <w:comment w:id="86" w:author="Questions for the authors" w:initials="QF" w:date="2026-10-22T10:17:48Z">
    <w:p>
      <w:pPr>
        <w:pStyle w:val="CommentText"/>
      </w:pPr>
      <w:r>
        <w:rPr>
          <w:rStyle w:val="CommentReference"/>
        </w:rPr>
        <w:annotationRef/>
      </w:r>
      <w:r>
        <w:t>Question for the authors (JA-C13): add the Windows and macOS installers if the release you cite provides them</w:t>
      </w:r>
    </w:p>
  </w:comment>
  <w:comment w:id="87" w:author="Journal adaptation" w:initials="JA" w:date="2026-10-22T10:17:48Z">
    <w:p>
      <w:pPr>
        <w:pStyle w:val="CommentText"/>
      </w:pPr>
      <w:r>
        <w:rPr>
          <w:rStyle w:val="CommentReference"/>
        </w:rPr>
        <w:annotationRef/>
      </w:r>
      <w:r>
        <w:t>JA-C13 (proposed): Add the software availability block that Frontiers and BioData Mining ask for. Why: IC-38: No software or data versions, tagged release, archive DOI or availability block are cited. The snapshot pins just-dna-lite 0.3.21, just-prs 0.10.0, prs-ui 0.3.16, format/compiler 0.6.6, registry client 0.18.2 and Python &gt;=3.13,&lt;3.14; the public registry now reports format 0.7.1, which the pyproject comment treats as contract-breaking for a 0.6 client.</w:t>
      </w:r>
    </w:p>
  </w:comment>
  <w:comment w:id="88" w:author="Prose edit" w:initials="PE" w:date="2026-10-22T10:17:48Z">
    <w:p>
      <w:pPr>
        <w:pStyle w:val="CommentText"/>
      </w:pPr>
      <w:r>
        <w:rPr>
          <w:rStyle w:val="CommentReference"/>
        </w:rPr>
        <w:annotationRef/>
      </w:r>
      <w:r>
        <w:t>prose-edit.C6 (applied): The company's name is spelled Hugging Face, as two words.</w:t>
      </w:r>
    </w:p>
  </w:comment>
  <w:comment w:id="89" w:author="Deslop" w:initials="D" w:date="2026-10-22T10:17:48Z">
    <w:p>
      <w:pPr>
        <w:pStyle w:val="CommentText"/>
      </w:pPr>
      <w:r>
        <w:rPr>
          <w:rStyle w:val="CommentReference"/>
        </w:rPr>
        <w:annotationRef/>
      </w:r>
      <w:r>
        <w:t>deslop.C19 (applied): 'serves as' stood in for 'is'..</w:t>
      </w:r>
    </w:p>
  </w:comment>
  <w:comment w:id="90" w:author="Questions for the authors" w:initials="QF" w:date="2026-10-22T10:17:48Z">
    <w:p>
      <w:pPr>
        <w:pStyle w:val="CommentText"/>
      </w:pPr>
      <w:r>
        <w:rPr>
          <w:rStyle w:val="CommentReference"/>
        </w:rPr>
        <w:annotationRef/>
      </w:r>
      <w:r>
        <w:t>Question for the authors (prose-edit.C7, JA-C10): state any other commercial relationship; affiliation 4 (SecvADN SRL) is also listed for A.F., M.P. and S.E., and affiliation 8 (Oak Bioinformatics, LLC) for R.K.</w:t>
      </w:r>
    </w:p>
  </w:comment>
  <w:comment w:id="91" w:author="Prose edit" w:initials="PE" w:date="2026-10-22T10:17:48Z">
    <w:p>
      <w:pPr>
        <w:pStyle w:val="CommentText"/>
      </w:pPr>
      <w:r>
        <w:rPr>
          <w:rStyle w:val="CommentReference"/>
        </w:rPr>
        <w:annotationRef/>
      </w:r>
      <w:r>
        <w:t>prose-edit.C7 (applied): The author list gives this co-author's name as Karmazin Alexey, while this list wrote Alex Karmazin. JA-C10 (proposed): Account for every author, with initials, in the competing-interests statement. Why: JA-9: Competing interests do not account for every author. Frontiers requires every author to be accounted for when there are commercial affiliations; three further authors list SecvADN SRL and the statement says nothing about six authors.</w:t>
      </w:r>
    </w:p>
  </w:comment>
  <w:comment w:id="92" w:author="Questions for the authors" w:initials="QF" w:date="2026-10-22T10:17:48Z">
    <w:p>
      <w:pPr>
        <w:pStyle w:val="CommentText"/>
      </w:pPr>
      <w:r>
        <w:rPr>
          <w:rStyle w:val="CommentReference"/>
        </w:rPr>
        <w:annotationRef/>
      </w:r>
      <w:r>
        <w:t>Question for the authors (JA-C7): true once A.K. has signed a consent-to-publish form; MDPI, Frontiers and BMC each offer one.</w:t>
      </w:r>
    </w:p>
  </w:comment>
  <w:comment w:id="93" w:author="Journal adaptation" w:initials="JA" w:date="2026-10-22T10:17:48Z">
    <w:p>
      <w:pPr>
        <w:pStyle w:val="CommentText"/>
      </w:pPr>
      <w:r>
        <w:rPr>
          <w:rStyle w:val="CommentReference"/>
        </w:rPr>
        <w:annotationRef/>
      </w:r>
      <w:r>
        <w:t>JA-C7 (proposed): Add a consent-for-publication statement for the identifiable genome. Why: PF-13: No ethics, consent-for-publication or human-data statement for the benchmark genome. Most journals ask for a statement on human data. The facts support a short one: one author's self-released CC0 genome, no other individuals, no recruitment, no intervention. Whether a committee statement is needed depends on the venue.</w:t>
      </w:r>
    </w:p>
  </w:comment>
  <w:comment w:id="94" w:author="Story" w:initials="S" w:date="2026-10-22T10:17:48Z">
    <w:p>
      <w:pPr>
        <w:pStyle w:val="CommentText"/>
      </w:pPr>
      <w:r>
        <w:rPr>
          <w:rStyle w:val="CommentReference"/>
        </w:rPr>
        <w:annotationRef/>
      </w:r>
      <w:r>
        <w:t>ST-C21 (proposed): Add the six references that ST-C3 and ST-C20 cite, in alphabetical order (each identity-checked in PubMed; OakVar has no journal paper to cite). Why: IC-26: Named tools and resources lack citations, and the closest open-source neighbours are not named. PLINK/PLINK2, ANNOVAR, VEP, DeepVariant, 1000 Genomes, Ensembl Variation, Dagster, Polars, polars-bio, DuckDB, Reflex and OakVar are named without references, including the benchmark comparator.</w:t>
      </w:r>
    </w:p>
  </w:comment>
  <w:comment w:id="95" w:author="Questions for the authors" w:initials="Q" w:date="2026-10-22T10:17:48Z">
    <w:p>
      <w:pPr>
        <w:pStyle w:val="CommentText"/>
      </w:pPr>
      <w:r>
        <w:rPr>
          <w:rStyle w:val="CommentReference"/>
        </w:rPr>
        <w:annotationRef/>
      </w:r>
      <w:r>
        <w:t>2 questions for the authors (PE-C33):</w:t>
      </w:r>
    </w:p>
    <w:p>
      <w:pPr>
        <w:pStyle w:val="CommentText"/>
      </w:pPr>
      <w:r>
        <w:t>1. the fact sheet's title and year as shown on the page.</w:t>
      </w:r>
    </w:p>
    <w:p>
      <w:pPr>
        <w:pStyle w:val="CommentText"/>
      </w:pPr>
      <w:r>
        <w:t>2. date</w:t>
      </w:r>
    </w:p>
  </w:comment>
  <w:comment w:id="96" w:author="Prose edit" w:initials="PE" w:date="2026-10-22T10:17:48Z">
    <w:p>
      <w:pPr>
        <w:pStyle w:val="CommentText"/>
      </w:pPr>
      <w:r>
        <w:rPr>
          <w:rStyle w:val="CommentReference"/>
        </w:rPr>
        <w:annotationRef/>
      </w:r>
      <w:r>
        <w:t>PE-C33 (proposed): Add the cost fact sheet that the new opening sentence cites. Why: RC-4: Opening cost claim of 'billions' is not what the cited or primary source says.. Whitley et al. 2020 give $95,263,072 for the HGP genome and under $1000 today, citing NHGRI; the NHGRI fact sheet puts the first genome at $0.5-1 billion and says this should not be confused with the ~$2.7 billion total HGP cost. Only partly supported.</w:t>
      </w:r>
    </w:p>
  </w:comment>
  <w:comment w:id="97" w:author="Prose edit" w:initials="PE" w:date="2026-10-22T10:17:48Z">
    <w:p>
      <w:pPr>
        <w:pStyle w:val="CommentText"/>
      </w:pPr>
      <w:r>
        <w:rPr>
          <w:rStyle w:val="CommentReference"/>
        </w:rPr>
        <w:annotationRef/>
      </w:r>
      <w:r>
        <w:t>PE-C32 (proposed): Replace the Whitley et al. (2020) entry with the paper that exists. Why: IC-16: The cited Whitley 2020 entry matches no published work; it merges three real papers. EJHG 28(8) pages 1056-1065 and 1066-1077 are other articles; Crossref and Europe PMC hold no work with this title; a 2020 Whitley KV paper in IJMS 21(3):768 may be the intended work. It supports the Introduction's first sentence.</w:t>
      </w:r>
    </w:p>
  </w:comment>
  <w:comment w:id="98" w:author="Story" w:initials="S" w:date="2026-10-22T10:17:48Z">
    <w:p>
      <w:pPr>
        <w:pStyle w:val="CommentText"/>
      </w:pPr>
      <w:r>
        <w:rPr>
          <w:rStyle w:val="CommentReference"/>
        </w:rPr>
        <w:annotationRef/>
      </w:r>
      <w:r>
        <w:t>ST-C19 (proposed): Align the supplement with Section 5.1, which says the comparison does not isolate each component's contribution (lowers a claim: the authors decide). Why: IC-25: S2 attributes speed-up to causes that 5.1 says were not isolated. Section 5.1 states the comparison does not isolate individual contributions; S2 assigns causes without an ablation.</w:t>
      </w:r>
    </w:p>
  </w:comment>
  <w:comment w:id="99" w:author="Questions for the authors" w:initials="Q" w:date="2026-10-22T10:17:48Z">
    <w:p>
      <w:pPr>
        <w:pStyle w:val="CommentText"/>
      </w:pPr>
      <w:r>
        <w:rPr>
          <w:rStyle w:val="CommentReference"/>
        </w:rPr>
        <w:annotationRef/>
      </w:r>
      <w:r>
        <w:t>3 questions for the authors about JA-C3, a proposal left out of this version until they answer:</w:t>
      </w:r>
    </w:p>
    <w:p>
      <w:pPr>
        <w:pStyle w:val="CommentText"/>
      </w:pPr>
      <w:r>
        <w:t>1. which authors?</w:t>
      </w:r>
    </w:p>
    <w:p>
      <w:pPr>
        <w:pStyle w:val="CommentText"/>
      </w:pPr>
      <w:r>
        <w:t>2. name and email address of the corresponding author</w:t>
      </w:r>
    </w:p>
    <w:p>
      <w:pPr>
        <w:pStyle w:val="CommentText"/>
      </w:pPr>
      <w:r>
        <w:t>3. complete the passage it proposes: "supervising authors.</w:t>
        <w:br/>
        <w:t>\* Correspondence: …"</w:t>
      </w:r>
    </w:p>
  </w:comment>
  <w:comment w:id="100" w:author="Questions for the authors" w:initials="Q" w:date="2026-10-22T10:17:48Z">
    <w:p>
      <w:pPr>
        <w:pStyle w:val="CommentText"/>
      </w:pPr>
      <w:r>
        <w:rPr>
          <w:rStyle w:val="CommentReference"/>
        </w:rPr>
        <w:annotationRef/>
      </w:r>
      <w:r>
        <w:t>11 questions for the authors about JA-C8, a proposal left out of this version until they answer:</w:t>
      </w:r>
    </w:p>
    <w:p>
      <w:pPr>
        <w:pStyle w:val="CommentText"/>
      </w:pPr>
      <w:r>
        <w:t>1. tool, version and model</w:t>
      </w:r>
    </w:p>
    <w:p>
      <w:pPr>
        <w:pStyle w:val="CommentText"/>
      </w:pPr>
      <w:r>
        <w:t>2. which software, for example Just-DNA-Lite and just-prs</w:t>
      </w:r>
    </w:p>
    <w:p>
      <w:pPr>
        <w:pStyle w:val="CommentText"/>
      </w:pPr>
      <w:r>
        <w:t>3. tool, version and model</w:t>
      </w:r>
    </w:p>
    <w:p>
      <w:pPr>
        <w:pStyle w:val="CommentText"/>
      </w:pPr>
      <w:r>
        <w:t>4. edit the language of | revise | help draft</w:t>
      </w:r>
    </w:p>
    <w:p>
      <w:pPr>
        <w:pStyle w:val="CommentText"/>
      </w:pPr>
      <w:r>
        <w:t>5. which sections</w:t>
      </w:r>
    </w:p>
    <w:p>
      <w:pPr>
        <w:pStyle w:val="CommentText"/>
      </w:pPr>
      <w:r>
        <w:t>6. how you checked the code it wrote, for example review of every change and the test suite.</w:t>
      </w:r>
    </w:p>
    <w:p>
      <w:pPr>
        <w:pStyle w:val="CommentText"/>
      </w:pPr>
      <w:r>
        <w:t>7. model and version</w:t>
      </w:r>
    </w:p>
    <w:p>
      <w:pPr>
        <w:pStyle w:val="CommentText"/>
      </w:pPr>
      <w:r>
        <w:t>8. optional, if you want it covered here: The Longevity Variants 2026 module in Table 1 was drafted with the platform's module creator (Section 4) using [AUTHORS: models].</w:t>
      </w:r>
    </w:p>
    <w:p>
      <w:pPr>
        <w:pStyle w:val="CommentText"/>
      </w:pPr>
      <w:r>
        <w:t>9. complete the passage it proposes: "se of generative AI.** The authors used … (developer: Anthropic) as an AI coding"</w:t>
      </w:r>
    </w:p>
    <w:p>
      <w:pPr>
        <w:pStyle w:val="CommentText"/>
      </w:pPr>
      <w:r>
        <w:t>10. complete the passage it proposes: "xample Just-DNA-Lite and just-prs], and … (developer: Anthropic) as a writing ass"</w:t>
      </w:r>
    </w:p>
    <w:p>
      <w:pPr>
        <w:pStyle w:val="CommentText"/>
      </w:pPr>
      <w:r>
        <w:t>11. complete the passage it proposes: "r: Anthropic) as a writing assistant to … [AUTHORS: which sections]. [AUTHORS: ho"</w:t>
      </w:r>
    </w:p>
  </w:comment>
  <w:comment w:id="101" w:author="Questions for the authors" w:initials="Q" w:date="2026-10-22T10:17:48Z">
    <w:p>
      <w:pPr>
        <w:pStyle w:val="CommentText"/>
      </w:pPr>
      <w:r>
        <w:rPr>
          <w:rStyle w:val="CommentReference"/>
        </w:rPr>
        <w:annotationRef/>
      </w:r>
      <w:r>
        <w:t>3 questions for the authors about PE-C20, a proposal left out of this version until they answer:</w:t>
      </w:r>
    </w:p>
    <w:p>
      <w:pPr>
        <w:pStyle w:val="CommentText"/>
      </w:pPr>
      <w:r>
        <w:t>1. confirm that you want him named; the record's title already names him</w:t>
      </w:r>
    </w:p>
    <w:p>
      <w:pPr>
        <w:pStyle w:val="CommentText"/>
      </w:pPr>
      <w:r>
        <w:t>2. name the script and the per-run timing table behind Tables 2 and 3 once they are in the repository, or say that they will be archived with the release</w:t>
      </w:r>
    </w:p>
    <w:p>
      <w:pPr>
        <w:pStyle w:val="CommentText"/>
      </w:pPr>
      <w:r>
        <w:t>3. complete the passage it proposes: "5.2. The input is therefore public, and …; the pipeline can equally be run on any"</w:t>
      </w:r>
    </w:p>
  </w:comment>
  <w:comment w:id="102" w:author="Questions for the authors" w:initials="Q" w:date="2026-10-22T10:17:48Z">
    <w:p>
      <w:pPr>
        <w:pStyle w:val="CommentText"/>
      </w:pPr>
      <w:r>
        <w:rPr>
          <w:rStyle w:val="CommentReference"/>
        </w:rPr>
        <w:annotationRef/>
      </w:r>
      <w:r>
        <w:t>2 questions for the authors about PE-C25, a proposal left out of this version until they answer:</w:t>
      </w:r>
    </w:p>
    <w:p>
      <w:pPr>
        <w:pStyle w:val="CommentText"/>
      </w:pPr>
      <w:r>
        <w:t>1. the commit or tag that produced Tables 5 and 6; the script was changed in May 2026, after the reported run</w:t>
      </w:r>
    </w:p>
    <w:p>
      <w:pPr>
        <w:pStyle w:val="CommentText"/>
      </w:pPr>
      <w:r>
        <w:t>2. complete the passage it proposes: "ines.py` in the just-prs repository, at …."</w:t>
      </w:r>
    </w:p>
  </w:comment>
  <w:comment w:id="103" w:author="Questions for the authors" w:initials="Q" w:date="2026-10-22T10:17:48Z">
    <w:p>
      <w:pPr>
        <w:pStyle w:val="CommentText"/>
      </w:pPr>
      <w:r>
        <w:rPr>
          <w:rStyle w:val="CommentReference"/>
        </w:rPr>
        <w:annotationRef/>
      </w:r>
      <w:r>
        <w:t>4 questions for the authors about JA-C9, a proposal left out of this version until they answer:</w:t>
      </w:r>
    </w:p>
    <w:p>
      <w:pPr>
        <w:pStyle w:val="CommentText"/>
      </w:pPr>
      <w:r>
        <w:t>1. tool names, versions and models</w:t>
      </w:r>
    </w:p>
    <w:p>
      <w:pPr>
        <w:pStyle w:val="CommentText"/>
      </w:pPr>
      <w:r>
        <w:t>2. the uses named in the paragraph "Use of generative AI" in Section 4</w:t>
      </w:r>
    </w:p>
    <w:p>
      <w:pPr>
        <w:pStyle w:val="CommentText"/>
      </w:pPr>
      <w:r>
        <w:t>3. complete the passage it proposes: "software it describes, the authors used … (developer: Anthropic) for the purposes"</w:t>
      </w:r>
    </w:p>
    <w:p>
      <w:pPr>
        <w:pStyle w:val="CommentText"/>
      </w:pPr>
      <w:r>
        <w:t>4. complete the passage it proposes: "veloper: Anthropic) for the purposes of …. The authors have reviewed and edited t"</w:t>
      </w:r>
    </w:p>
  </w:comment>
  <w:comment w:id="104" w:author="Questions for the authors" w:initials="Q" w:date="2026-10-22T10:17:48Z">
    <w:p>
      <w:pPr>
        <w:pStyle w:val="CommentText"/>
      </w:pPr>
      <w:r>
        <w:rPr>
          <w:rStyle w:val="CommentReference"/>
        </w:rPr>
        <w:annotationRef/>
      </w:r>
      <w:r>
        <w:t>7 questions for the authors about JA-C5, a proposal left out of this version until they answer:</w:t>
      </w:r>
    </w:p>
    <w:p>
      <w:pPr>
        <w:pStyle w:val="CommentText"/>
      </w:pPr>
      <w:r>
        <w:t>1. the revision of each dataset used for the benchmarks, and its licence</w:t>
      </w:r>
    </w:p>
    <w:p>
      <w:pPr>
        <w:pStyle w:val="CommentText"/>
      </w:pPr>
      <w:r>
        <w:t>2. release</w:t>
      </w:r>
    </w:p>
    <w:p>
      <w:pPr>
        <w:pStyle w:val="CommentText"/>
      </w:pPr>
      <w:r>
        <w:t>3. release</w:t>
      </w:r>
    </w:p>
    <w:p>
      <w:pPr>
        <w:pStyle w:val="CommentText"/>
      </w:pPr>
      <w:r>
        <w:t>4. release</w:t>
      </w:r>
    </w:p>
    <w:p>
      <w:pPr>
        <w:pStyle w:val="CommentText"/>
      </w:pPr>
      <w:r>
        <w:t>5. repository and DOI, once deposited</w:t>
      </w:r>
    </w:p>
    <w:p>
      <w:pPr>
        <w:pStyle w:val="CommentText"/>
      </w:pPr>
      <w:r>
        <w:t>6. and the version described here is archived at the Zenodo DOI of the release</w:t>
      </w:r>
    </w:p>
    <w:p>
      <w:pPr>
        <w:pStyle w:val="CommentText"/>
      </w:pPr>
      <w:r>
        <w:t>7. complete the passage it proposes: "d Tables 2, 3, 5 and 6 are available at …. The source code is available from http"</w:t>
      </w:r>
    </w:p>
  </w:comment>
  <w:comment w:id="105" w:author="Questions for the authors" w:initials="Q" w:date="2026-10-22T10:17:48Z">
    <w:p>
      <w:pPr>
        <w:pStyle w:val="CommentText"/>
      </w:pPr>
      <w:r>
        <w:rPr>
          <w:rStyle w:val="CommentReference"/>
        </w:rPr>
        <w:annotationRef/>
      </w:r>
      <w:r>
        <w:t>7 questions for the authors about JA-C6, a proposal left out of this version until they answer:</w:t>
      </w:r>
    </w:p>
    <w:p>
      <w:pPr>
        <w:pStyle w:val="CommentText"/>
      </w:pPr>
      <w:r>
        <w:t>1. confirm that no other person's genome was used for any reported number or figure; if Livia Zaharia's genome (Zenodo record 19487816) was, name it here as well.</w:t>
      </w:r>
    </w:p>
    <w:p>
      <w:pPr>
        <w:pStyle w:val="CommentText"/>
      </w:pPr>
      <w:r>
        <w:t>2. keep one of the next two sentences.</w:t>
      </w:r>
    </w:p>
    <w:p>
      <w:pPr>
        <w:pStyle w:val="CommentText"/>
      </w:pPr>
      <w:r>
        <w:t>3. name</w:t>
      </w:r>
    </w:p>
    <w:p>
      <w:pPr>
        <w:pStyle w:val="CommentText"/>
      </w:pPr>
      <w:r>
        <w:t>4. date</w:t>
      </w:r>
    </w:p>
    <w:p>
      <w:pPr>
        <w:pStyle w:val="CommentText"/>
      </w:pPr>
      <w:r>
        <w:t>5. number</w:t>
      </w:r>
    </w:p>
    <w:p>
      <w:pPr>
        <w:pStyle w:val="CommentText"/>
      </w:pPr>
      <w:r>
        <w:t>6. complete the passage it proposes: "two sentences.] The Ethics Committee of … determined on [AUTHORS: date] that this"</w:t>
      </w:r>
    </w:p>
    <w:p>
      <w:pPr>
        <w:pStyle w:val="CommentText"/>
      </w:pPr>
      <w:r>
        <w:t>7. complete the passage it proposes: "mittee of [AUTHORS: name] determined on … that this study did not require ethics"</w:t>
      </w:r>
    </w:p>
  </w:comment>
  <w:comment w:id="106" w:author="Questions for the authors" w:initials="Q" w:date="2026-10-22T10:17:48Z">
    <w:p>
      <w:pPr>
        <w:pStyle w:val="CommentText"/>
      </w:pPr>
      <w:r>
        <w:rPr>
          <w:rStyle w:val="CommentReference"/>
        </w:rPr>
        <w:annotationRef/>
      </w:r>
      <w:r>
        <w:t>4 questions for the authors about JA-C12b, a proposal left out of this version until they answer:</w:t>
      </w:r>
    </w:p>
    <w:p>
      <w:pPr>
        <w:pStyle w:val="CommentText"/>
      </w:pPr>
      <w:r>
        <w:t>1. year of the revision used</w:t>
      </w:r>
    </w:p>
    <w:p>
      <w:pPr>
        <w:pStyle w:val="CommentText"/>
      </w:pPr>
      <w:r>
        <w:t>2. one entry in the same form for ensembl_variations, clinvar, pgs-catalog and prs-percentiles</w:t>
      </w:r>
    </w:p>
    <w:p>
      <w:pPr>
        <w:pStyle w:val="CommentText"/>
      </w:pPr>
      <w:r>
        <w:t>3. complete the passage it proposes: "rg/10.5281/zenodo.18370498</w:t>
        <w:br/>
        <w:t>just-dna-seq (). annotators [Data set, revision AUTHORS"</w:t>
      </w:r>
    </w:p>
    <w:p>
      <w:pPr>
        <w:pStyle w:val="CommentText"/>
      </w:pPr>
      <w:r>
        <w:t>4. complete the passage it proposes: "-seq (). annotators [Data set, revision AUTHORS]. Hugging Face. https://huggingface.co/"</w:t>
      </w:r>
    </w:p>
  </w:comment>
  <w:comment w:id="107" w:author="Deslop" w:initials="D" w:date="2026-10-22T10:17:48Z">
    <w:p>
      <w:pPr>
        <w:pStyle w:val="CommentText"/>
      </w:pPr>
      <w:r>
        <w:rPr>
          <w:rStyle w:val="CommentReference"/>
        </w:rPr>
        <w:annotationRef/>
      </w:r>
      <w:r>
        <w:t>DS-1 · Minor, then the writing: Em dashes in running prose, mostly in pairs around asides. The prose had 26 em dashes (5 per 1,000 words), mostly paired around asides, a frequently cited sign of machine-drafted text that many house styles avoid. Fix: Replace with commas, colons or parentheses; ten in prose and two in Table 7 were replaced, two in Section 5.1 are proposed. Found by: Deslop.</w:t>
      </w:r>
    </w:p>
  </w:comment>
  <w:comment w:id="108" w:author="Deslop" w:initials="D" w:date="2026-10-22T10:17:48Z">
    <w:p>
      <w:pPr>
        <w:pStyle w:val="CommentText"/>
      </w:pPr>
      <w:r>
        <w:rPr>
          <w:rStyle w:val="CommentReference"/>
        </w:rPr>
        <w:annotationRef/>
      </w:r>
      <w:r>
        <w:t>DS-2 · Minor, then the writing: Repeated 'X, not Y' and 'not by X but by Y' contrasts. Ten sentences use a negative contrast, three of them under Section 6.1; each is defensible alone but together they read as a habit. Fix: Restate the contrasts that carry no argument; three were rewritten and seven kept with their reasons. Found by: Deslop.</w:t>
      </w:r>
    </w:p>
  </w:comment>
  <w:comment w:id="109" w:author="Deslop" w:initials="D" w:date="2026-10-22T10:17:48Z">
    <w:p>
      <w:pPr>
        <w:pStyle w:val="CommentText"/>
      </w:pPr>
      <w:r>
        <w:rPr>
          <w:rStyle w:val="CommentReference"/>
        </w:rPr>
        <w:annotationRef/>
      </w:r>
      <w:r>
        <w:t>DS-3 · Optional, then the writing: Cleft constructions delay the subject in Section 4. Both sentences of the paragraph are built around 'what' (what it emits is; is what the platform depends on), which delays the subject and verb. Fix: Give each sentence a plain subject and verb (applied). Found by: Deslop.</w:t>
      </w:r>
    </w:p>
  </w:comment>
  <w:comment w:id="110" w:author="Deslop" w:initials="D" w:date="2026-10-22T10:17:48Z">
    <w:p>
      <w:pPr>
        <w:pStyle w:val="CommentText"/>
      </w:pPr>
      <w:r>
        <w:rPr>
          <w:rStyle w:val="CommentReference"/>
        </w:rPr>
        <w:annotationRef/>
      </w:r>
      <w:r>
        <w:t>DS-4 · Optional, then the writing: Sentence-initial 'Importantly,' adds emphasis but no link. The opener adds emphasis only; the link to the previous paragraph is carried by its content. Fix: Delete the opener (applied). Found by: Deslop.</w:t>
      </w:r>
    </w:p>
  </w:comment>
  <w:comment w:id="111" w:author="Deslop" w:initials="D" w:date="2026-10-22T10:17:48Z">
    <w:p>
      <w:pPr>
        <w:pStyle w:val="CommentText"/>
      </w:pPr>
      <w:r>
        <w:rPr>
          <w:rStyle w:val="CommentReference"/>
        </w:rPr>
        <w:annotationRef/>
      </w:r>
      <w:r>
        <w:t>DS-5 · Optional, then the writing: 'serves as' and 'represent' used in place of 'is' and 'are'. Four sentences avoid the plain copula, a pattern that rose sharply in machine-drafted academic text. Fix: Use 'is' or 'are' (applied in all four). Found by: Deslop.</w:t>
      </w:r>
    </w:p>
  </w:comment>
  <w:comment w:id="112" w:author="Deslop" w:initials="D" w:date="2026-10-22T10:17:48Z">
    <w:p>
      <w:pPr>
        <w:pStyle w:val="CommentText"/>
      </w:pPr>
      <w:r>
        <w:rPr>
          <w:rStyle w:val="CommentReference"/>
        </w:rPr>
        <w:annotationRef/>
      </w:r>
      <w:r>
        <w:t>DS-6 · Optional, then the writing: Paragraph-closing sentence opens with an ambiguous 'This'. The 'This' could refer to the previous sentence or the whole paragraph, and 'where' is used as a loose connector. Fix: Name the referent and use 'on which' (applied). Found by: Deslop.</w:t>
      </w:r>
    </w:p>
  </w:comment>
  <w:comment w:id="113" w:author="Deslop" w:initials="D" w:date="2026-10-22T10:17:48Z">
    <w:p>
      <w:pPr>
        <w:pStyle w:val="CommentText"/>
      </w:pPr>
      <w:r>
        <w:rPr>
          <w:rStyle w:val="CommentReference"/>
        </w:rPr>
        <w:annotationRef/>
      </w:r>
      <w:r>
        <w:t>DS-7 · Optional, then the writing: Abstract noun as actor with an awkward 'avoids requiring'. The sentence makes 'local execution' the actor of a double verb; the plain statement is that core analysis runs locally and needs no upload. Fix: State it plainly (applied; the claim check lists the new 'does not' for you to see). Found by: Deslop.</w:t>
      </w:r>
    </w:p>
  </w:comment>
  <w:comment w:id="114" w:author="Deslop" w:initials="D" w:date="2026-10-22T10:17:48Z">
    <w:p>
      <w:pPr>
        <w:pStyle w:val="CommentText"/>
      </w:pPr>
      <w:r>
        <w:rPr>
          <w:rStyle w:val="CommentReference"/>
        </w:rPr>
        <w:annotationRef/>
      </w:r>
      <w:r>
        <w:t>DS-8 · Optional, then the writing: A 75-word sentence chains two lists, a colon and a condition. The feature list, the self-exploration description and the Ensembl condition sit in one sentence, with the condition at its end. Fix: Split after the feature list and lead the clause with the condition (applied). Found by: Deslop.</w:t>
      </w:r>
    </w:p>
  </w:comment>
  <w:comment w:id="115" w:author="Deslop" w:initials="D" w:date="2026-10-22T10:17:48Z">
    <w:p>
      <w:pPr>
        <w:pStyle w:val="CommentText"/>
      </w:pPr>
      <w:r>
        <w:rPr>
          <w:rStyle w:val="CommentReference"/>
        </w:rPr>
        <w:annotationRef/>
      </w:r>
      <w:r>
        <w:t>DS-9 · Optional, then the writing: Bold emphasis on names inside running text. Engine and module names are bold inside paragraphs; scientific style uses no emphasis for names. Fix: Remove the bold (applied); the bold step labels in Section 2.1 stay because they are a real list. Found by: Deslop.</w:t>
      </w:r>
    </w:p>
  </w:comment>
  <w:comment w:id="116" w:author="Deslop" w:initials="D" w:date="2026-10-22T10:17:48Z">
    <w:p>
      <w:pPr>
        <w:pStyle w:val="CommentText"/>
      </w:pPr>
      <w:r>
        <w:rPr>
          <w:rStyle w:val="CommentReference"/>
        </w:rPr>
        <w:annotationRef/>
      </w:r>
      <w:r>
        <w:t>DS-10 · Optional, then the writing: Two names for the companion paper. The second paper is 'the companion paper' everywhere except this one place. Fix: Use 'the companion paper' (applied). Found by: Deslop.</w:t>
      </w:r>
    </w:p>
  </w:comment>
  <w:comment w:id="117" w:author="Deslop" w:initials="D" w:date="2026-10-22T10:17:48Z">
    <w:p>
      <w:pPr>
        <w:pStyle w:val="CommentText"/>
      </w:pPr>
      <w:r>
        <w:rPr>
          <w:rStyle w:val="CommentReference"/>
        </w:rPr>
        <w:annotationRef/>
      </w:r>
      <w:r>
        <w:t>DS-11 · Optional, then the writing: Paragraph ends on a mini-conclusion restating the section's opening. The closing sentence restates the section's first sentence as a conclusion and uses 'demonstrates' for one example. Fix: Delete the sentence, or say where the categories are stored so it reports a fact (proposed). Found by: Deslop.</w:t>
      </w:r>
    </w:p>
  </w:comment>
  <w:comment w:id="118" w:author="Deslop" w:initials="D" w:date="2026-10-22T10:17:48Z">
    <w:p>
      <w:pPr>
        <w:pStyle w:val="CommentText"/>
      </w:pPr>
      <w:r>
        <w:rPr>
          <w:rStyle w:val="CommentReference"/>
        </w:rPr>
        <w:annotationRef/>
      </w:r>
      <w:r>
        <w:t>DS-12 · Optional, then the writing: Stock 'the gap remains wide' figure states the gap without content. The sentence names a gap without saying what it is; the plain claim is that annotation has not become as accessible as sequencing. Fix: Say the claim plainly (proposed, because the paragraph has an open story proposal). Found by: Deslop.</w:t>
      </w:r>
    </w:p>
  </w:comment>
  <w:comment w:id="119" w:author="Deslop" w:initials="D" w:date="2026-10-22T10:17:48Z">
    <w:p>
      <w:pPr>
        <w:pStyle w:val="CommentText"/>
      </w:pPr>
      <w:r>
        <w:rPr>
          <w:rStyle w:val="CommentReference"/>
        </w:rPr>
        <w:annotationRef/>
      </w:r>
      <w:r>
        <w:t>DS-13 · Optional, then the writing: The paper addresses the reader as 'you'. A research article reports rather than addressing its reader; this is the only 'you' in the running text. Fix: Write 'users' and 'their' (proposed, because the paragraph has an open prose-edit proposal). Found by: Deslop.</w:t>
      </w:r>
    </w:p>
  </w:comment>
  <w:comment w:id="120" w:author="Deslop" w:initials="D" w:date="2026-10-22T10:17:48Z">
    <w:p>
      <w:pPr>
        <w:pStyle w:val="CommentText"/>
      </w:pPr>
      <w:r>
        <w:rPr>
          <w:rStyle w:val="CommentReference"/>
        </w:rPr>
        <w:annotationRef/>
      </w:r>
      <w:r>
        <w:t>DS-14 · Optional, then the writing: Evaluation 'compelling' given with no reason. The sentence's only content beyond the topic is that it is compelling; no reason is given. Fix: Drop the evaluation or give the concrete reason (proposed, because it changes emphasis). Found by: Deslop.</w:t>
      </w:r>
    </w:p>
  </w:comment>
  <w:comment w:id="121" w:author="Deslop" w:initials="D" w:date="2026-10-22T10:17:48Z">
    <w:p>
      <w:pPr>
        <w:pStyle w:val="CommentText"/>
      </w:pPr>
      <w:r>
        <w:rPr>
          <w:rStyle w:val="CommentReference"/>
        </w:rPr>
        <w:annotationRef/>
      </w:r>
      <w:r>
        <w:t>DS-16 · Minor, then the writing: No-diagnosis disclaimer repeated in five places. The statement that the platform does not diagnose or establish clinical validity recurs in five sections, twice within Section 3, which reads as defensive writing. Fix: Decide where the safety statement belongs; one option keeps it in the Abstract, 6.1 and the Conclusion and cuts the Section 3 repeats. Found by: Deslop.</w:t>
      </w:r>
    </w:p>
  </w:comment>
  <w:comment w:id="122" w:author="Deslop" w:initials="D" w:date="2026-10-22T10:17:48Z">
    <w:p>
      <w:pPr>
        <w:pStyle w:val="CommentText"/>
      </w:pPr>
      <w:r>
        <w:rPr>
          <w:rStyle w:val="CommentReference"/>
        </w:rPr>
        <w:annotationRef/>
      </w:r>
      <w:r>
        <w:t>DS-17 · Optional, then the writing: just-prs entry points listed three times in two subsections. Section 3.2 and both the first and last paragraphs of 3.2.1 list the same standalone entry points; an open story proposal drops the last list. Fix: Let Section 3.2.1 refer back to Section 3.2 instead of repeating the list (for the authors and the story stage). Found by: Deslop.</w:t>
      </w:r>
    </w:p>
  </w:comment>
  <w:comment w:id="123" w:author="Deslop" w:initials="D" w:date="2026-10-22T10:17:48Z">
    <w:p>
      <w:pPr>
        <w:pStyle w:val="CommentText"/>
      </w:pPr>
      <w:r>
        <w:rPr>
          <w:rStyle w:val="CommentReference"/>
        </w:rPr>
        <w:annotationRef/>
      </w:r>
      <w:r>
        <w:t>DS-18 · Optional, then the writing: Four limitations run together under bold run-in labels. One paragraph holds four limitations, each introduced by a bold label, which reads as a list wearing prose. Fix: Make it a short list, a table or four short paragraphs, as the chosen journal prefers. Found by: Deslop.</w:t>
      </w:r>
    </w:p>
  </w:comment>
  <w:comment w:id="124" w:author="Integrity check" w:initials="IC" w:date="2026-10-22T10:17:48Z">
    <w:p>
      <w:pPr>
        <w:pStyle w:val="CommentText"/>
      </w:pPr>
      <w:r>
        <w:rPr>
          <w:rStyle w:val="CommentReference"/>
        </w:rPr>
        <w:annotationRef/>
      </w:r>
      <w:r>
        <w:t>IC-1 · Major, fix now: The 172x speed-up compares runs whose work, environment and cache state are not shown to be comparable. Warm runs, timed stages, modules, Ensembl setting and the OakVar version and annotators are never defined; S2 dates the OakVar runs to 2023 while Table 4 lists Linux 6.8.0 (released March 2024); the project's own run report shows a full 12-module run of 133 s (about 50x); the gVCF row divides a different input by the VCF-based OakVar mean. Fix: Define warm and cold runs and the timed stages in Methods, give OakVar version, annotators, dates and OS for each arm, list the 11 warm-run times, and state the scope beside 172x in the Abstract. Found by: Integrity check, Simulated reviewers, Reporting check.</w:t>
      </w:r>
    </w:p>
  </w:comment>
  <w:comment w:id="125" w:author="Integrity check" w:initials="IC" w:date="2026-10-22T10:17:48Z">
    <w:p>
      <w:pPr>
        <w:pStyle w:val="CommentText"/>
      </w:pPr>
      <w:r>
        <w:rPr>
          <w:rStyle w:val="CommentReference"/>
        </w:rPr>
        <w:annotationRef/>
      </w:r>
      <w:r>
        <w:t>IC-2 · Major, fix now: Peak memory is not a sampled peak, and the laptop and personal-computer claims rest on it and on a workstation benchmark. resource_tracker reads resident memory before and after each step and reports the larger, so transient peaks inside a step are never seen; Table 3, the 750 MB statement and the personal-computer sentence in 2.4 rest on it. DuckDB's default limit is 75% of RAM, minimum 8 GB. Fix: Re-measure with ru_maxrss or a sampling monitor including child processes; until then relabel the column and drop the 2.4 personal-computer sentence. Found by: Integrity check, Simulated reviewers, Reporting check, Story.</w:t>
      </w:r>
    </w:p>
  </w:comment>
  <w:comment w:id="126" w:author="Integrity check" w:initials="IC" w:date="2026-10-22T10:17:48Z">
    <w:p>
      <w:pPr>
        <w:pStyle w:val="CommentText"/>
      </w:pPr>
      <w:r>
        <w:rPr>
          <w:rStyle w:val="CommentReference"/>
        </w:rPr>
        <w:annotationRef/>
      </w:r>
      <w:r>
        <w:t>IC-3 · Major, fix now: PRS speed-up holds for medians only; totals 4.9x/3.4x, PLINK2 faster on large files. Table 5 means cover 100 vs 96 scores; on the 96 common scores DuckDB took 13.9 s and Polars 19.8 s vs PLINK2 67.5 s; the just-prs benchmark page shows PLINK2 faster on the three &gt;1M-variant files it completed, and PLINK2 was run once per score, re-reading the genotype file each call. Sources read: https://github.com/dna-seq/just-prs/blob/v0.10.0/docs/benchmarks.md (“For the three files where PLINK2 did succeed, PLINK2 was faster for very large”). Fix: Add one sentence giving totals on the 96 common scores, that PLINK2 was faster on the largest completed files, and that it was invoked per score. Found by: Integrity check, Simulated reviewers, Reporting check.</w:t>
      </w:r>
    </w:p>
  </w:comment>
  <w:comment w:id="127" w:author="Integrity check" w:initials="IC" w:date="2026-10-22T10:17:48Z">
    <w:p>
      <w:pPr>
        <w:pStyle w:val="CommentText"/>
      </w:pPr>
      <w:r>
        <w:rPr>
          <w:rStyle w:val="CommentReference"/>
        </w:rPr>
        <w:annotationRef/>
      </w:r>
      <w:r>
        <w:t>IC-4 · Major, fix now: Agreement claim rests on correlation across heterogeneous scores; 21.4 unscaled. Correlation across 96 different scoring models for one genome is dominated by the spread of raw sums; the maximum difference has no scale; the PLINK2 input was autosomes only while just-prs engines scored chrX, unmentioned in the paper. Sources read: https://github.com/dna-seq/just-prs/blob/v0.10.0/docs/benchmarks.md (“The pre-converted pgen covers autosomes only (chr 1–22)”). Fix: Report per-score relative differences (median, maximum, count above a tolerance), name the 21.4 score and its value, state the autosome-only PLINK2 input, round r. Found by: Integrity check, Simulated reviewers, Reporting check.</w:t>
      </w:r>
    </w:p>
  </w:comment>
  <w:comment w:id="128" w:author="Deslop" w:initials="D" w:date="2026-10-22T10:17:48Z">
    <w:p>
      <w:pPr>
        <w:pStyle w:val="CommentText"/>
      </w:pPr>
      <w:r>
        <w:rPr>
          <w:rStyle w:val="CommentReference"/>
        </w:rPr>
        <w:annotationRef/>
      </w:r>
      <w:r>
        <w:t>IC-5 · Major, fix now: Absence claims are contradicted by OpenCRAVAT, OakVar and the authors' own Just-DNA-Seq. Two 'no existing tool' sentences have no reported search; OpenCRAVAT (co-authored by this paper's co-author Ryangguk Kim), OakVar, impute.me and the authors' own Just-DNA-Seq are open-source tools in the same space. Fix: Replace with a cited comparison stating how Just-DNA-Lite differs, or report a dated search. Found by: Deslop, Integrity check, Simulated reviewers, Reference check, Story.</w:t>
      </w:r>
    </w:p>
  </w:comment>
  <w:comment w:id="129" w:author="Integrity check" w:initials="IC" w:date="2026-10-22T10:17:48Z">
    <w:p>
      <w:pPr>
        <w:pStyle w:val="CommentText"/>
      </w:pPr>
      <w:r>
        <w:rPr>
          <w:rStyle w:val="CommentReference"/>
        </w:rPr>
        <w:annotationRef/>
      </w:r>
      <w:r>
        <w:t>IC-6 · Major, fix now: The PRS view shows an individual absolute lifetime risk the paper never describes. The platform's PRS page uses prs-ui 0.3.16, which computes absolute-risk estimates (OR per SD, AUROC, h2-liability) shown as approximate lifetime disease probability; the existing Figure 3 image shows 96.7% for intelligence quotient. This is stronger than the population-relative framing and the statement that the platform does not interpret results clinically. Fix: Describe absolute-risk estimation with its assumptions and lack of validation, or remove it from the view; route scope to manuscript-policy-fit. Found by: Integrity check, Policy fit.</w:t>
      </w:r>
    </w:p>
  </w:comment>
  <w:comment w:id="130" w:author="Integrity check" w:initials="IC" w:date="2026-10-22T10:17:48Z">
    <w:p>
      <w:pPr>
        <w:pStyle w:val="CommentText"/>
      </w:pPr>
      <w:r>
        <w:rPr>
          <w:rStyle w:val="CommentReference"/>
        </w:rPr>
        <w:annotationRef/>
      </w:r>
      <w:r>
        <w:t>IC-7 · Major, fix now: Table 1 lists six modules; the default source ships ten, including ClinVar, cancer, thrombophilia and pharmacogenomic panels. The default just-dna-seq set is ten modules including thrombophilia, pharmgkb and three ClinVar-aggregate panels (cardio, cancer, pathogenic); Longevity Variants 2026 is a locally created walkthrough module, not shipped; the ClinVar panels are not expert-curated and flag pathogenic variants, which the paper's scope never mentions. Fix: Rebuild Table 1 from the default source with a curation column, move Longevity Variants 2026 to Section 4, describe the ClinVar panels in 3.3. Found by: Integrity check, Policy fit, Story.</w:t>
      </w:r>
    </w:p>
  </w:comment>
  <w:comment w:id="131" w:author="Integrity check" w:initials="IC" w:date="2026-10-22T10:17:48Z">
    <w:p>
      <w:pPr>
        <w:pStyle w:val="CommentText"/>
      </w:pPr>
      <w:r>
        <w:rPr>
          <w:rStyle w:val="CommentReference"/>
        </w:rPr>
        <w:annotationRef/>
      </w:r>
      <w:r>
        <w:t>IC-8 · Major, fix now: Reference-homozygote restoration is on by default for WGS in the web UI. The library default is off, but the platform's PRS state defaults samples to WGS and turns restoration on for them; platform users see restored scores unless they switch to array. Fix: State library and web-interface defaults separately and say which setting Figure 3 and the Section 5.2 benchmark used. Found by: Integrity check.</w:t>
      </w:r>
    </w:p>
  </w:comment>
  <w:comment w:id="132" w:author="Integrity check" w:initials="IC" w:date="2026-10-22T10:17:48Z">
    <w:p>
      <w:pPr>
        <w:pStyle w:val="CommentText"/>
      </w:pPr>
      <w:r>
        <w:rPr>
          <w:rStyle w:val="CommentReference"/>
        </w:rPr>
        <w:annotationRef/>
      </w:r>
      <w:r>
        <w:t>IC-9 · Major, fix now: 6.4 denies ancestry inference that 3.2.1 and the code provide. Section 3.2.1 lists ancestry detection, and the web interface infers the superpopulation on file load (just-prs reference-PCA projection plus nearest-neighbour classifier) and uses it as the default percentile panel. Fix: Correct 6.4 and 3.2, describe the method in one sentence and mention the override. Found by: Integrity check, Simulated reviewers, Policy fit, Story.</w:t>
      </w:r>
    </w:p>
  </w:comment>
  <w:comment w:id="133" w:author="Integrity check" w:initials="IC" w:date="2026-10-22T10:17:48Z">
    <w:p>
      <w:pPr>
        <w:pStyle w:val="CommentText"/>
      </w:pPr>
      <w:r>
        <w:rPr>
          <w:rStyle w:val="CommentReference"/>
        </w:rPr>
        <w:annotationRef/>
      </w:r>
      <w:r>
        <w:t>IC-10 · Major, fix now: Liftover and chip support claimed for the platform exist only in just-prs. The annotation pipeline has no liftover; just-prs liftover needs an optional extra (pyliftover) absent from uv.lock; uploads accept only .vcf/.vcf.gz and the upload page says chip support is planned; 6.5 lists the same items as underway or planned. Fix: Attribute each capability to the component that has it and make 6.4 and 6.5 agree. Found by: Integrity check, Simulated reviewers, Story.</w:t>
      </w:r>
    </w:p>
  </w:comment>
  <w:comment w:id="134" w:author="Integrity check" w:initials="IC" w:date="2026-10-22T10:17:48Z">
    <w:p>
      <w:pPr>
        <w:pStyle w:val="CommentText"/>
      </w:pPr>
      <w:r>
        <w:rPr>
          <w:rStyle w:val="CommentReference"/>
        </w:rPr>
        <w:annotationRef/>
      </w:r>
      <w:r>
        <w:t>IC-11 · Major, fix now: Join default is position in code, not rsID. annotate_vcf_with_module_weights defaults to a position+genotype join and falls back to rsID only for modules without coordinates; the benchmark DeepVariant VCF has no rsIDs, so an rsID default would match nothing. Fix: Write that the default is genomic position and genotype, with rsID for modules lacking coordinates. Found by: Integrity check, Simulated reviewers.</w:t>
      </w:r>
    </w:p>
  </w:comment>
  <w:comment w:id="135" w:author="Integrity check" w:initials="IC" w:date="2026-10-22T10:17:48Z">
    <w:p>
      <w:pPr>
        <w:pStyle w:val="CommentText"/>
      </w:pPr>
      <w:r>
        <w:rPr>
          <w:rStyle w:val="CommentReference"/>
        </w:rPr>
        <w:annotationRef/>
      </w:r>
      <w:r>
        <w:t>IC-12 · Major, fix now · candidate to verify: Curator provenance safeguard not shown in UI or report. The field exists in module rows, but ported expert modules carry 'just-dna-seq', no UI page or report field displays it, and the public registry marks all ten just-dna-seq modules curated: false; Section 6.5 relies on it as the mitigation for AI and community errors. Fix: Show where users see it, add it to the report's module table, or reword 6.5; align with the companion's definition. Found by: Integrity check.</w:t>
      </w:r>
    </w:p>
  </w:comment>
  <w:comment w:id="136" w:author="Integrity check" w:initials="IC" w:date="2026-10-22T10:17:48Z">
    <w:p>
      <w:pPr>
        <w:pStyle w:val="CommentText"/>
      </w:pPr>
      <w:r>
        <w:rPr>
          <w:rStyle w:val="CommentReference"/>
        </w:rPr>
        <w:annotationRef/>
      </w:r>
      <w:r>
        <w:t>IC-13 · Major, fix now · candidate to verify: No MCP server for the wider platform in the repository or Table 7. The code snapshot uses MCP only as a client (BioContext KB); Table 7 lists no repository for such a server; the project's workshop notes record the just-dna-agents MCP server as unpublished. Fix: Name the package and repository and add them to Table 7, or remove the sentence. Found by: Integrity check.</w:t>
      </w:r>
    </w:p>
  </w:comment>
  <w:comment w:id="137" w:author="Integrity check" w:initials="IC" w:date="2026-10-22T10:17:48Z">
    <w:p>
      <w:pPr>
        <w:pStyle w:val="CommentText"/>
      </w:pPr>
      <w:r>
        <w:rPr>
          <w:rStyle w:val="CommentReference"/>
        </w:rPr>
        <w:annotationRef/>
      </w:r>
      <w:r>
        <w:t>IC-14 · Major, fix now: The annotation benchmark cannot be rerun: no script, run table, gVCF or OakVar setup, despite 'fully reproducible'. The only annotation benchmark script compares Polars and DuckDB on the Ensembl join; nothing produces Tables 2 or 3 or holds per-run times; OakVar runs exist only as three numbers in S2. Fix: Commit the script and raw timings behind Tables 2-3 (and OakVar logs) and name them, or say they will be archived with the release. Found by: Integrity check, Simulated reviewers, Reporting check.</w:t>
      </w:r>
    </w:p>
  </w:comment>
  <w:comment w:id="138" w:author="Integrity check" w:initials="IC" w:date="2026-10-22T10:17:48Z">
    <w:p>
      <w:pPr>
        <w:pStyle w:val="CommentText"/>
      </w:pPr>
      <w:r>
        <w:rPr>
          <w:rStyle w:val="CommentReference"/>
        </w:rPr>
        <w:annotationRef/>
      </w:r>
      <w:r>
        <w:t>IC-15 · Major, fix now: Figures are missing, so readers see no real output; the candidate images have their own problems. No figure is embedded; the Figure 3 image shows absolute risk and inconsistent quality labels and no reference population; the Figure 1 candidate image has garbled interface text typical of generative upscaling and browser bookmarks; no image fits Figure 2's caption. Fix: Capture plain current screenshots, crop browser chrome, embed all four; check the chosen journal's rule on AI-altered images. Found by: Integrity check, Policy fit, Story.</w:t>
      </w:r>
    </w:p>
  </w:comment>
  <w:comment w:id="139" w:author="Integrity check" w:initials="IC" w:date="2026-10-22T10:17:48Z">
    <w:p>
      <w:pPr>
        <w:pStyle w:val="CommentText"/>
      </w:pPr>
      <w:r>
        <w:rPr>
          <w:rStyle w:val="CommentReference"/>
        </w:rPr>
        <w:annotationRef/>
      </w:r>
      <w:r>
        <w:t>IC-16 · Major, fix now: The cited Whitley 2020 entry matches no published work; it merges three real papers. EJHG 28(8) pages 1056-1065 and 1066-1077 are other articles; Crossref and Europe PMC hold no work with this title; a 2020 Whitley KV paper in IJMS 21(3):768 may be the intended work. It supports the Introduction's first sentence. Fix: Identify the intended source and replace the entry; give the sequencing-cost statement its own source. Found by: Integrity check, Reference check.</w:t>
      </w:r>
    </w:p>
  </w:comment>
  <w:comment w:id="140" w:author="Integrity check" w:initials="IC" w:date="2026-10-22T10:17:48Z">
    <w:p>
      <w:pPr>
        <w:pStyle w:val="CommentText"/>
      </w:pPr>
      <w:r>
        <w:rPr>
          <w:rStyle w:val="CommentReference"/>
        </w:rPr>
        <w:annotationRef/>
      </w:r>
      <w:r>
        <w:t>IC-17 · Major, fix now: The uncited Alteri 2024 entry matches no published work; possibly fabricated. EJHG volume 32 pages 1314-1318 and 1319-1326 are other issue-10 articles and issue 11 starts at page 1343; Europe PMC has no such record; the text never cites it. Fix: Delete the entry, or replace it with the intended work once found. Found by: Integrity check, Reference check.</w:t>
      </w:r>
    </w:p>
  </w:comment>
  <w:comment w:id="141" w:author="Integrity check" w:initials="IC" w:date="2026-10-22T10:17:48Z">
    <w:p>
      <w:pPr>
        <w:pStyle w:val="CommentText"/>
      </w:pPr>
      <w:r>
        <w:rPr>
          <w:rStyle w:val="CommentReference"/>
        </w:rPr>
        <w:annotationRef/>
      </w:r>
      <w:r>
        <w:t>IC-20 · Minor, fix now: DP and QUAL filters are on by default and removed 30% of records. Both thresholds are set in the shipped modules.yaml; the project's run report shows they removed 30.0% of the benchmark genome's records. Fix: Say they are on by default and give their effect on the benchmark input. Found by: Integrity check.</w:t>
      </w:r>
    </w:p>
  </w:comment>
  <w:comment w:id="142" w:author="Integrity check" w:initials="IC" w:date="2026-10-22T10:17:48Z">
    <w:p>
      <w:pPr>
        <w:pStyle w:val="CommentText"/>
      </w:pPr>
      <w:r>
        <w:rPr>
          <w:rStyle w:val="CommentReference"/>
        </w:rPr>
        <w:annotationRef/>
      </w:r>
      <w:r>
        <w:t>IC-21 · Minor, fix now: DuckDB does the Ensembl join, not module joins. Module joins in hf_logic.py are Polars-only; DuckDB is used for the optional Ensembl join; the companion paper says modules are joined using DuckDB. Fix: Move the DuckDB sentence to step 4 and align the companion paper. Found by: Integrity check.</w:t>
      </w:r>
    </w:p>
  </w:comment>
  <w:comment w:id="143" w:author="Integrity check" w:initials="IC" w:date="2026-10-22T10:17:48Z">
    <w:p>
      <w:pPr>
        <w:pStyle w:val="CommentText"/>
      </w:pPr>
      <w:r>
        <w:rPr>
          <w:rStyle w:val="CommentReference"/>
        </w:rPr>
        <w:annotationRef/>
      </w:r>
      <w:r>
        <w:t>IC-24 · Major, fix now: S3 compares Python-heap tracemalloc with PLINK2 process memory. tracemalloc does not see DuckDB's C++ or Polars' Rust allocations, and both engines give identical figures (0.2, 139, 2,594 MB), so the numbers describe shared Python-side loading, not engine memory. Sources read: https://github.com/dna-seq/just-prs/blob/v0.10.0/docs/benchmarks.md (“**polars / duckdb**: `tracemalloc` peak Python heap allocation per scoring call.”). Fix: Measure process memory for all three engines or keep S3 to runtimes. Found by: Integrity check, Simulated reviewers, Reporting check.</w:t>
      </w:r>
    </w:p>
  </w:comment>
  <w:comment w:id="144" w:author="Integrity check" w:initials="IC" w:date="2026-10-22T10:17:48Z">
    <w:p>
      <w:pPr>
        <w:pStyle w:val="CommentText"/>
      </w:pPr>
      <w:r>
        <w:rPr>
          <w:rStyle w:val="CommentReference"/>
        </w:rPr>
        <w:annotationRef/>
      </w:r>
      <w:r>
        <w:t>IC-25 · Minor, fix now: S2 attributes speed-up to causes that 5.1 says were not isolated. Section 5.1 states the comparison does not isolate individual contributions; S2 assigns causes without an ablation. Fix: Reword S2 as a list of design differences. Found by: Integrity check, Simulated reviewers, Story.</w:t>
      </w:r>
    </w:p>
  </w:comment>
  <w:comment w:id="145" w:author="Integrity check" w:initials="IC" w:date="2026-10-22T10:17:48Z">
    <w:p>
      <w:pPr>
        <w:pStyle w:val="CommentText"/>
      </w:pPr>
      <w:r>
        <w:rPr>
          <w:rStyle w:val="CommentReference"/>
        </w:rPr>
        <w:annotationRef/>
      </w:r>
      <w:r>
        <w:t>IC-26 · Major, fix now: Named tools and resources lack citations, and the closest open-source neighbours are not named. PLINK/PLINK2, ANNOVAR, VEP, DeepVariant, 1000 Genomes, Ensembl Variation, Dagster, Polars, polars-bio, DuckDB, Reflex and OakVar are named without references, including the benchmark comparator. Fix: Add verified citations (DOIs listed in the report) and URL plus version for software without a paper. Found by: Integrity check, Reference check, Story.</w:t>
      </w:r>
    </w:p>
  </w:comment>
  <w:comment w:id="146" w:author="Integrity check" w:initials="IC" w:date="2026-10-22T10:17:48Z">
    <w:p>
      <w:pPr>
        <w:pStyle w:val="CommentText"/>
      </w:pPr>
      <w:r>
        <w:rPr>
          <w:rStyle w:val="CommentReference"/>
        </w:rPr>
        <w:annotationRef/>
      </w:r>
      <w:r>
        <w:t>IC-27 · Optional, fix now: just-prs also uses a PLINK2 binary for LD pruning at build time. just-prs downloads a PLINK2 binary for LD pruning when building reference models and keeps a legacy PLINK2 reference-score function, so 'only' overstates. Fix: Say PLINK2 is not a just-prs scoring engine and was the benchmark comparator. Found by: Integrity check.</w:t>
      </w:r>
    </w:p>
  </w:comment>
  <w:comment w:id="147" w:author="Integrity check" w:initials="IC" w:date="2026-10-22T10:17:48Z">
    <w:p>
      <w:pPr>
        <w:pStyle w:val="CommentText"/>
      </w:pPr>
      <w:r>
        <w:rPr>
          <w:rStyle w:val="CommentReference"/>
        </w:rPr>
        <w:annotationRef/>
      </w:r>
      <w:r>
        <w:t>IC-28 · Optional, fix now · candidate to verify: Wild-type presence check not found in validator. No wild-type rule found in just-dna-compiler 0.6.6 or just-dna-format 0.6.6 or the project's validation description; weight/state disagreement is only a warning. Fix: Point to the rule or drop it from the list. Found by: Integrity check.</w:t>
      </w:r>
    </w:p>
  </w:comment>
  <w:comment w:id="148" w:author="Integrity check" w:initials="IC" w:date="2026-10-22T10:17:48Z">
    <w:p>
      <w:pPr>
        <w:pStyle w:val="CommentText"/>
      </w:pPr>
      <w:r>
        <w:rPr>
          <w:rStyle w:val="CommentReference"/>
        </w:rPr>
        <w:annotationRef/>
      </w:r>
      <w:r>
        <w:t>IC-29 · Minor, then the writing: Names are inconsistent (runs, modules) and the 2.2 heading contradicts its text. warm-run/normal/Normal (average) name the same runs and cold start is undefined; Longevity Map/Longevity Variants/Longevity Variants 2026 are easy to confuse; 'Modular Plugin System' heads a section saying modules are not plugins; a provider's VCF is not annotated. Fix: Use one term for each and define warm and cold runs at Table 2. Found by: Integrity check, Simulated reviewers, Story.</w:t>
      </w:r>
    </w:p>
  </w:comment>
  <w:comment w:id="149" w:author="Integrity check" w:initials="IC" w:date="2026-10-22T10:17:48Z">
    <w:p>
      <w:pPr>
        <w:pStyle w:val="CommentText"/>
      </w:pPr>
      <w:r>
        <w:rPr>
          <w:rStyle w:val="CommentReference"/>
        </w:rPr>
        <w:annotationRef/>
      </w:r>
      <w:r>
        <w:t>IC-33 · Minor, then the writing: Draft markers remain, affiliations 5-7 are unattached and the equal-contribution note names nobody. Affiliations 5, 6 and 7 are assigned to no author and the equal-contribution sentence does not say which authors. Fix: Assign or remove the affiliations and name the equal contributors. Found by: Integrity check, Journal adaptation, Story.</w:t>
      </w:r>
    </w:p>
  </w:comment>
  <w:comment w:id="150" w:author="Integrity check" w:initials="IC" w:date="2026-10-22T10:17:48Z">
    <w:p>
      <w:pPr>
        <w:pStyle w:val="CommentText"/>
      </w:pPr>
      <w:r>
        <w:rPr>
          <w:rStyle w:val="CommentReference"/>
        </w:rPr>
        <w:annotationRef/>
      </w:r>
      <w:r>
        <w:t>IC-34 · Minor, then the writing: Cross-references to absent supplement; S2, tables and figures uncited. S1 points to a supplement readers will not have; S2 is never cited; Tables 1, 2, 4-7 and all figures are never cited in the text. Fix: Cite each table, figure and supplement where used; make S1 self-contained. Found by: Integrity check.</w:t>
      </w:r>
    </w:p>
  </w:comment>
  <w:comment w:id="151" w:author="Integrity check" w:initials="IC" w:date="2026-10-22T10:17:48Z">
    <w:p>
      <w:pPr>
        <w:pStyle w:val="CommentText"/>
      </w:pPr>
      <w:r>
        <w:rPr>
          <w:rStyle w:val="CommentReference"/>
        </w:rPr>
        <w:annotationRef/>
      </w:r>
      <w:r>
        <w:t>IC-36 · Minor, then the writing: Six bibliography entries are never cited. Alteri, Annas and Elias, AMP v. Myriad, Bloss, Doffman and Green and Farahany are listed but not cited, apparently carried over from the combined manuscript. Fix: Cite each where it supports a sentence, or remove it. Found by: Integrity check, Reference check.</w:t>
      </w:r>
    </w:p>
  </w:comment>
  <w:comment w:id="152" w:author="Integrity check" w:initials="IC" w:date="2026-10-22T10:17:48Z">
    <w:p>
      <w:pPr>
        <w:pStyle w:val="CommentText"/>
      </w:pPr>
      <w:r>
        <w:rPr>
          <w:rStyle w:val="CommentReference"/>
        </w:rPr>
        <w:annotationRef/>
      </w:r>
      <w:r>
        <w:t>IC-37 · Major, before submission: No data availability statement; placeholders and internal pointers remain. No Data Availability statement; three placeholders (Funding TODO, bibliography note, Figure 3 HTML comment); the banner points to an internal strategy file. Fix: Add a Data Availability paragraph and clear placeholders and the banner before submission. Found by: Integrity check, Journal adaptation, Reporting check.</w:t>
      </w:r>
    </w:p>
  </w:comment>
  <w:comment w:id="153" w:author="Integrity check" w:initials="IC" w:date="2026-10-22T10:17:48Z">
    <w:p>
      <w:pPr>
        <w:pStyle w:val="CommentText"/>
      </w:pPr>
      <w:r>
        <w:rPr>
          <w:rStyle w:val="CommentReference"/>
        </w:rPr>
        <w:annotationRef/>
      </w:r>
      <w:r>
        <w:t>IC-38 · Minor, once the journal is chosen: No software or data versions, tagged release, archive DOI or availability block are cited. The snapshot pins just-dna-lite 0.3.21, just-prs 0.10.0, prs-ui 0.3.16, format/compiler 0.6.6, registry client 0.18.2 and Python &gt;=3.13,&lt;3.14; the public registry now reports format 0.7.1, which the pyproject comment treats as contract-breaking for a 0.6 client. Fix: State versions and archive the release with a DOI. Found by: Integrity check, Journal adaptation, Journal selection, Simulated reviewers, Reporting check.</w:t>
      </w:r>
    </w:p>
  </w:comment>
  <w:comment w:id="154" w:author="Integrity check" w:initials="IC" w:date="2026-10-22T10:17:48Z">
    <w:p>
      <w:pPr>
        <w:pStyle w:val="CommentText"/>
      </w:pPr>
      <w:r>
        <w:rPr>
          <w:rStyle w:val="CommentReference"/>
        </w:rPr>
        <w:annotationRef/>
      </w:r>
      <w:r>
        <w:t>IC-39 · Minor, before submission: Table 7 omits just-dna-compiler and prs-ui; repo config has local paths. Section 2.2 names just-dna-compiler and the PRS view uses prs-ui, neither listed; just-dna-format no longer contains the compiler; root modules.yaml lists two developer-only absolute paths as sources. Fix: Add the two repositories to Table 7 and remove the local paths before tagging. Found by: Integrity check.</w:t>
      </w:r>
    </w:p>
  </w:comment>
  <w:comment w:id="155" w:author="Journal adaptation" w:initials="JA" w:date="2026-10-22T10:17:48Z">
    <w:p>
      <w:pPr>
        <w:pStyle w:val="CommentText"/>
      </w:pPr>
      <w:r>
        <w:rPr>
          <w:rStyle w:val="CommentReference"/>
        </w:rPr>
        <w:annotationRef/>
      </w:r>
      <w:r>
        <w:t>JA-9 · Major, before submission: Competing interests do not account for every author. Frontiers requires every author to be accounted for when there are commercial affiliations; three further authors list SecvADN SRL and the statement says nothing about six authors. Fix: Use the JA-C10 wording and fill in any further relationships. Found by: Journal adaptation.</w:t>
      </w:r>
    </w:p>
  </w:comment>
  <w:comment w:id="156" w:author="Journal adaptation" w:initials="JA" w:date="2026-10-22T10:17:48Z">
    <w:p>
      <w:pPr>
        <w:pStyle w:val="CommentText"/>
      </w:pPr>
      <w:r>
        <w:rPr>
          <w:rStyle w:val="CommentReference"/>
        </w:rPr>
        <w:annotationRef/>
      </w:r>
      <w:r>
        <w:t>JA-10 · Minor, before submission: Contributions are not in CRediT terms; most authors lack a writing role. Genes asks for CRediT roles with initials, Frontiers has the roles chosen at submission and requires each author to have written or critically reviewed the manuscript, and BMC asks for initials. Fix: Use the JA-C11 mapping after checking each role. Found by: Journal adaptation.</w:t>
      </w:r>
    </w:p>
  </w:comment>
  <w:comment w:id="157" w:author="Journal adaptation" w:initials="JA" w:date="2026-10-22T10:17:48Z">
    <w:p>
      <w:pPr>
        <w:pStyle w:val="CommentText"/>
      </w:pPr>
      <w:r>
        <w:rPr>
          <w:rStyle w:val="CommentReference"/>
        </w:rPr>
        <w:annotationRef/>
      </w:r>
      <w:r>
        <w:t>JA-14 · Minor, once the journal is chosen: No methods or results section by name. Genes requires Materials and Methods and Results, Frontiers Method and Results, BioData Mining Implementation and Results; the content is already grouped that way, so only headings and 18 cross-references change. Fix: Apply JA-C15 with the chosen journal's labels. Found by: Journal adaptation.</w:t>
      </w:r>
    </w:p>
  </w:comment>
  <w:comment w:id="158" w:author="Journal adaptation" w:initials="JA" w:date="2026-10-22T10:17:48Z">
    <w:p>
      <w:pPr>
        <w:pStyle w:val="CommentText"/>
      </w:pPr>
      <w:r>
        <w:rPr>
          <w:rStyle w:val="CommentReference"/>
        </w:rPr>
        <w:annotationRef/>
      </w:r>
      <w:r>
        <w:t>JA-17 · Minor, before submission: Funding has a placeholder and no funder role or fee line. The ROGEN acknowledgment text is still a placeholder; Genes asks for its sentence form, a publication-cost line and the funder's role, and BMC asks for the funder's role when it had one. Fix: Use JA-C20 and JA-C21 once the facts are known. Found by: Journal adaptation.</w:t>
      </w:r>
    </w:p>
  </w:comment>
  <w:comment w:id="159" w:author="Journal selection" w:initials="JS" w:date="2026-10-22T10:17:48Z">
    <w:p>
      <w:pPr>
        <w:pStyle w:val="CommentText"/>
      </w:pPr>
      <w:r>
        <w:rPr>
          <w:rStyle w:val="CommentReference"/>
        </w:rPr>
        <w:annotationRef/>
      </w:r>
      <w:r>
        <w:t>JS-1 · Major, fix now: No measured comparison with functionally similar software such as pgsc_calc, which software articles require. The annotation benchmark compares the platform only with the authors' own earlier system and the scoring benchmark only with PLINK2, while BMC-family software articles (BioData Mining, BMC Bioinformatics, BMC Genomics, Genome Medicine) require 'a significant advance over previously published software (usually demonstrated by direct comparison with available related software)' and Genome Biology a side-by-side demonstration on the same dataset. The Introduction's claim that 'There is no open-source platform that combines comprehensive variant annotation with ease of use, transparency, and extensibility' rests on the same missing comparison. Sources read: https://link.springer.com/journal/13040/submission-guidelines/software-article (“Software articles should describe a tool likely to be of broad utility that represents a significant advance over previously published software (usually demonst”). Fix: Run the PGS Catalog Calculator on the same genome and 100 scores beside DuckDB, Polars and PLINK2, and add a feature-comparison table against OpenCRAVAT, VEP or ANNOVAR and the commercial reports named in the Introduction. Found by: Journal selection, Simulated reviewers.</w:t>
      </w:r>
    </w:p>
  </w:comment>
  <w:comment w:id="160" w:author="Journal selection" w:initials="JS" w:date="2026-10-22T10:17:48Z">
    <w:p>
      <w:pPr>
        <w:pStyle w:val="CommentText"/>
      </w:pPr>
      <w:r>
        <w:rPr>
          <w:rStyle w:val="CommentReference"/>
        </w:rPr>
        <w:annotationRef/>
      </w:r>
      <w:r>
        <w:t>JS-2 · Major, before submission: Banner names the companion's anonymous venue and internal files; would leak into the preprint.. The preprint is the next step and must be public before the companion paper; a named preprint that states the companion is in review at EASRP 2026 lets that venue's reviewers identify the companion's authors, and the banner also points to an internal strategy file. EASRP's rules on preprints and self-citation could not be found. Fix: Delete the banner before posting; cite the companion as a manuscript under review without naming the venue, and check EASRP's anonymity rules. Found by: Journal selection.</w:t>
      </w:r>
    </w:p>
  </w:comment>
  <w:comment w:id="161" w:author="Journal adaptation" w:initials="JA" w:date="2026-10-22T10:17:48Z">
    <w:p>
      <w:pPr>
        <w:pStyle w:val="CommentText"/>
      </w:pPr>
      <w:r>
        <w:rPr>
          <w:rStyle w:val="CommentReference"/>
        </w:rPr>
        <w:annotationRef/>
      </w:r>
      <w:r>
        <w:t>JS-5 · Minor, once the journal is chosen: The unstructured abstract fits none of the three journals' abstract formats. Genes asks for about 250 words under Background/Objectives, Methods, Results and Conclusions, and BioData Mining and the other BMC journals for at most 350 words under Background, Results and Conclusions; the content can stay, the headings cannot be avoided. Fix: Once the journal is chosen, add that journal's headings to the existing abstract without adding numbers. Found by: Journal adaptation, Journal selection.</w:t>
      </w:r>
    </w:p>
  </w:comment>
  <w:comment w:id="162" w:author="Journal adaptation" w:initials="JA" w:date="2026-10-22T10:17:48Z">
    <w:p>
      <w:pPr>
        <w:pStyle w:val="CommentText"/>
      </w:pPr>
      <w:r>
        <w:rPr>
          <w:rStyle w:val="CommentReference"/>
        </w:rPr>
        <w:annotationRef/>
      </w:r>
      <w:r>
        <w:t>JS-7 · Minor, once the journal is chosen: No corresponding author is named, and the equal-contribution and co-supervision notes are unclear. A corresponding author at the University of Rostock gets 20% off BMC fees through Projekt DEAL, MDPI central invoicing through the institutional program, and possibly Frontiers' 2019 agreement; no agreement was found for the Romanian affiliations. Fix: Name the corresponding author before submission, with the fee route in mind. Found by: Journal adaptation, Journal selection.</w:t>
      </w:r>
    </w:p>
  </w:comment>
  <w:comment w:id="163" w:author="Journal selection" w:initials="JS" w:date="2026-10-22T10:17:48Z">
    <w:p>
      <w:pPr>
        <w:pStyle w:val="CommentText"/>
      </w:pPr>
      <w:r>
        <w:rPr>
          <w:rStyle w:val="CommentReference"/>
        </w:rPr>
        <w:annotationRef/>
      </w:r>
      <w:r>
        <w:t>JS-8 · Minor, once the journal is chosen · candidate to verify: Single-genome benchmark could draw Frontiers' validation rule for public-data computation.. Frontiers asks manuscripts 'primarily comprising solely of bioinformatics analyses, computational studies of public data' to include validation; a Technology and Code paper is not named in the rule, but an editor could apply it to a benchmark on one public genome. Fix: If Frontiers in Bioinformatics is used, say in the cover letter that this is a software paper with no biological claims and that PLINK2 agreement is the computational check; more genomes would also help. Found by: Journal selection.</w:t>
      </w:r>
    </w:p>
  </w:comment>
  <w:comment w:id="164" w:author="Journal selection" w:initials="JS" w:date="2026-10-22T10:17:48Z">
    <w:p>
      <w:pPr>
        <w:pStyle w:val="CommentText"/>
      </w:pPr>
      <w:r>
        <w:rPr>
          <w:rStyle w:val="CommentReference"/>
        </w:rPr>
        <w:annotationRef/>
      </w:r>
      <w:r>
        <w:t>JS-10 · Optional, once the journal is chosen: Research-and-education framing conflicts with clinical-genomics journals' disease scope.. Genome Medicine publishes work 'to understand, diagnose and treat disease' and npj Genomic Medicine is a clinical genomic-medicine journal; the paper's accurate disclaimer makes them a poor fit, which is why they sit low on the ladder. Fix: None for the recommended journals; keep the disclaimer. Found by: Journal selection.</w:t>
      </w:r>
    </w:p>
  </w:comment>
  <w:comment w:id="165" w:author="Simulated reviewers" w:initials="SR" w:date="2026-10-22T10:17:48Z">
    <w:p>
      <w:pPr>
        <w:pStyle w:val="CommentText"/>
      </w:pPr>
      <w:r>
        <w:rPr>
          <w:rStyle w:val="CommentReference"/>
        </w:rPr>
        <w:annotationRef/>
      </w:r>
      <w:r>
        <w:t>PR-2 · Major, fix now: No check that the new engine's annotations match Generation I or expected outputs.. Nothing shows that Just-DNA-Lite returns the same annotations as Generation I on the benchmark genome, or the expected output on a test set, so faster is not shown to mean faster at the same task; the test suites are not described. Frontiers in Bioinformatics expects this validation (SK-2, SM-8, SM-13). Fix: Report per-module agreement with Generation I on the benchmark genome (matched variants, genotype states, weights) and describe the test suites; or state that output equivalence was not checked. Found by: Simulated reviewers.</w:t>
      </w:r>
    </w:p>
  </w:comment>
  <w:comment w:id="166" w:author="Simulated reviewers" w:initials="SR" w:date="2026-10-22T10:17:48Z">
    <w:p>
      <w:pPr>
        <w:pStyle w:val="CommentText"/>
      </w:pPr>
      <w:r>
        <w:rPr>
          <w:rStyle w:val="CommentReference"/>
        </w:rPr>
        <w:annotationRef/>
      </w:r>
      <w:r>
        <w:t>PR-5 · Major, fix now: The variant-matching and missing-variant rules that decide every polygenic score are not described. Beyond absent loci, the paper does not describe strand flips, palindromic SNPs, multiallelic and indel records, the scoring-file build, chromosome X dosage or the quality tiers, although the matching difference is used to explain the disagreement with PLINK2 (SM-4, CH-2). Fix: Add a Methods paragraph with the matching rules and, ideally, per-rule variant counts for the benchmark genome. Found by: Simulated reviewers, Reporting check.</w:t>
      </w:r>
    </w:p>
  </w:comment>
  <w:comment w:id="167" w:author="Simulated reviewers" w:initials="SR" w:date="2026-10-22T10:17:48Z">
    <w:p>
      <w:pPr>
        <w:pStyle w:val="CommentText"/>
      </w:pPr>
      <w:r>
        <w:rPr>
          <w:rStyle w:val="CommentReference"/>
        </w:rPr>
        <w:annotationRef/>
      </w:r>
      <w:r>
        <w:t>PR-6 · Major, fix now: How the percentile reference is built and matched to the user's variants is not described.. With about half of each score's variants matched and restoration off, a user's sum can omit loci the reference sums include, shifting the percentile; the build, sample counts and variant-set matching are not given. The integrity check found that the web interface turns restoration on for whole-genome samples, although Section 3.2 says it is off by default (SM-5, CH-3, SK-6). Fix: Describe the reference method and correct the stated default; show percentiles with restoration off and on for the benchmark genome, or say percentiles are approximate when coverage is incomplete. Found by: Simulated reviewers.</w:t>
      </w:r>
    </w:p>
  </w:comment>
  <w:comment w:id="168" w:author="Simulated reviewers" w:initials="SR" w:date="2026-10-22T10:17:48Z">
    <w:p>
      <w:pPr>
        <w:pStyle w:val="CommentText"/>
      </w:pPr>
      <w:r>
        <w:rPr>
          <w:rStyle w:val="CommentReference"/>
        </w:rPr>
        <w:annotationRef/>
      </w:r>
      <w:r>
        <w:t>PR-7 · Major, fix now: The paper is not positioned against pgsc_calc, OpenCRAVAT or impute.me.. The paper measures its change from Generation I but cites none of the closest open-source tools (pgsc_calc, https://doi.org/10.1038/s41588-024-01937-x; OpenCRAVAT, https://doi.org/10.1200/CCI.19.00132; impute.me, https://doi.org/10.3389/fgene.2020.00578), all resolved in this review. For Genes and Frontiers a feature table and a sentence on the difference suffice (SM-7, SK-9, CH-5). Fix: Cite the three tools and add a short feature table and a sentence on what Just-DNA-Lite does that they do not. Found by: Simulated reviewers.</w:t>
      </w:r>
    </w:p>
  </w:comment>
  <w:comment w:id="169" w:author="Simulated reviewers" w:initials="SR" w:date="2026-10-22T10:17:48Z">
    <w:p>
      <w:pPr>
        <w:pStyle w:val="CommentText"/>
      </w:pPr>
      <w:r>
        <w:rPr>
          <w:rStyle w:val="CommentReference"/>
        </w:rPr>
        <w:annotationRef/>
      </w:r>
      <w:r>
        <w:t>PR-8 · Minor, fix now: The w_SNP weighting rule is not given, so the shipped weights cannot be audited.. Section 3.1 names the kinds of evidence w_SNP reflects but gives no formula, decision table or range, against the Introduction's contrast with opaque commercial curation (SK-12, CH-10). Fix: Give the rubric in Section 3.1 or a supplement, or state that w_SNP is curator judgement with evidence recorded per variant. Found by: Simulated reviewers.</w:t>
      </w:r>
    </w:p>
  </w:comment>
  <w:comment w:id="170" w:author="Simulated reviewers" w:initials="SR" w:date="2026-10-22T10:17:48Z">
    <w:p>
      <w:pPr>
        <w:pStyle w:val="CommentText"/>
      </w:pPr>
      <w:r>
        <w:rPr>
          <w:rStyle w:val="CommentReference"/>
        </w:rPr>
        <w:annotationRef/>
      </w:r>
      <w:r>
        <w:t>PR-10 · Minor, then the writing: Ease of use is presented as solved although the paper does not evaluate it.. The Introduction lists ease of use as a problem the platform solves; Section 6.3 concedes usability is untested, so only the framing remains (SK-13). Fix: Call ease of use a design aim not evaluated here, or report what the workshops showed. Found by: Simulated reviewers.</w:t>
      </w:r>
    </w:p>
  </w:comment>
  <w:comment w:id="171" w:author="Simulated reviewers" w:initials="SR" w:date="2026-10-22T10:17:48Z">
    <w:p>
      <w:pPr>
        <w:pStyle w:val="CommentText"/>
      </w:pPr>
      <w:r>
        <w:rPr>
          <w:rStyle w:val="CommentReference"/>
        </w:rPr>
        <w:annotationRef/>
      </w:r>
      <w:r>
        <w:t>PR-15 · Minor, fix now · candidate to verify: How homozygous-reference module rows are reported from variant-only VCFs is not stated.. A variant-only VCF has no record at homozygous-reference sites and restoration is described only for just-prs, so report completeness for wild-type module rows is open; the integrity check could not locate the validator's wild-type presence rule (CH-9). Fix: State how homozygous-reference genotypes are reported for module rows when the input is a variant-only VCF. Found by: Simulated reviewers.</w:t>
      </w:r>
    </w:p>
  </w:comment>
  <w:comment w:id="172" w:author="Integrity check" w:initials="IC" w:date="2026-10-22T10:17:48Z">
    <w:p>
      <w:pPr>
        <w:pStyle w:val="CommentText"/>
      </w:pPr>
      <w:r>
        <w:rPr>
          <w:rStyle w:val="CommentReference"/>
        </w:rPr>
        <w:annotationRef/>
      </w:r>
      <w:r>
        <w:t>PF-1 · Major, fix now: The benchmark genome is the first author's, but the contribution statement implies Livia Zaharia's. Zenodo record 18370498 is 'Anton Kulaga genome', self-deposited by him under CC0; the only author described as providing a genome is Livia Zaharia, whose genome is a different record (19487816, CC BY 4.0). Readers will attach the wrong name to a public genome. Fix: State in 5.1 that the input is the first author's own genome deposited on Zenodo (record 18370498); correct the contribution statement and say whether record 19487816 was used for any reported result. Found by: Integrity check, Policy fit, Reference check, Reporting check.</w:t>
      </w:r>
    </w:p>
  </w:comment>
  <w:comment w:id="173" w:author="Policy fit" w:initials="PF" w:date="2026-10-22T10:17:48Z">
    <w:p>
      <w:pPr>
        <w:pStyle w:val="CommentText"/>
      </w:pPr>
      <w:r>
        <w:rPr>
          <w:rStyle w:val="CommentReference"/>
        </w:rPr>
        <w:annotationRef/>
      </w:r>
      <w:r>
        <w:t>PF-6 · Major, then the writing: Right-to-read argument overstates GDPR, EHDS and public-genome rights. Public genomes carry their owners' terms and GDPR still governs research processing of identifiable genetic data (Art. 9(2)(e) lifts only the special-category ban); the EHDS is adopted law whose access right covers healthcare records from 2029; Art. 15 grants a copy, which a tool does not 'instrument'. Fix: Replace the opening and closing sentences of 6.3 with the proposed wording that keeps the conviction and states the legal hooks accurately (claim correction, needs approval). Found by: Policy fit.</w:t>
      </w:r>
    </w:p>
  </w:comment>
  <w:comment w:id="174" w:author="Policy fit" w:initials="PF" w:date="2026-10-22T10:17:48Z">
    <w:p>
      <w:pPr>
        <w:pStyle w:val="CommentText"/>
      </w:pPr>
      <w:r>
        <w:rPr>
          <w:rStyle w:val="CommentReference"/>
        </w:rPr>
        <w:annotationRef/>
      </w:r>
      <w:r>
        <w:t>PF-7 · Minor, then the writing: Introduction misdescribes GDPR and EHDS as frameworks avoiding uploads. The GDPR regulates processing of genetic data as a special category; the EHDS largely enables secondary use of health data including genomic data. The sentence cites nothing although Alteri et al. (2024) is in the bibliography. Fix: Replace with the proposed sentence on GDPR Article 9 and the 23andMe breach (Alteri et al., 2024); optionally note the Article 2(2)(c) personal-activity exemption. Found by: Policy fit.</w:t>
      </w:r>
    </w:p>
  </w:comment>
  <w:comment w:id="175" w:author="Integrity check" w:initials="IC" w:date="2026-10-22T10:17:48Z">
    <w:p>
      <w:pPr>
        <w:pStyle w:val="CommentText"/>
      </w:pPr>
      <w:r>
        <w:rPr>
          <w:rStyle w:val="CommentReference"/>
        </w:rPr>
        <w:annotationRef/>
      </w:r>
      <w:r>
        <w:t>PF-8 · Minor, then the writing: The paper does not say what the AI features send off the machine, or to which services. Reports carry 'AI explain' buttons that open ChatGPT, Claude, Perplexity or Grok with a prompt containing rsID, gene, genotype, ClinVar interpretation and drug response; the module creator sends prompts and attached documents to Gemini and optionally OpenAI and Anthropic. The paper never describes these. Fix: Add one sentence per route to 6.2 naming what is sent and when. Found by: Integrity check, Policy fit, Story.</w:t>
      </w:r>
    </w:p>
  </w:comment>
  <w:comment w:id="176" w:author="Policy fit" w:initials="PF" w:date="2026-10-22T10:17:48Z">
    <w:p>
      <w:pPr>
        <w:pStyle w:val="CommentText"/>
      </w:pPr>
      <w:r>
        <w:rPr>
          <w:rStyle w:val="CommentReference"/>
        </w:rPr>
        <w:annotationRef/>
      </w:r>
      <w:r>
        <w:t>PF-9 · Minor, then the writing: Local app and saved reports load an analytics script from the project server. By default the interface and every saved HTML report load an Umami script from lite.just-dna.life (no genome data; events likely recorded only on the demo domain), and UI libraries come from a CDN; the report tells users 'opening this report sends nothing anywhere'. The paper's own claims hold. Fix: Disable analytics outside the public demo and drop the tag from saved reports; add one sentence to 6.2 listing what a default install contacts. Found by: Policy fit.</w:t>
      </w:r>
    </w:p>
  </w:comment>
  <w:comment w:id="177" w:author="Simulated reviewers" w:initials="SR" w:date="2026-10-22T10:17:48Z">
    <w:p>
      <w:pPr>
        <w:pStyle w:val="CommentText"/>
      </w:pPr>
      <w:r>
        <w:rPr>
          <w:rStyle w:val="CommentReference"/>
        </w:rPr>
        <w:annotationRef/>
      </w:r>
      <w:r>
        <w:t>PF-10 · Minor, then the writing: Sentence reads as if the AGPL restricted use to research and education. The AGPL has no such restriction, so the sentence can be read as stating a licence term that does not exist. Fix: Write 'is released under the AGPL v3 licence and is intended for research and education'. Found by: Simulated reviewers, Policy fit, Story.</w:t>
      </w:r>
    </w:p>
  </w:comment>
  <w:comment w:id="178" w:author="Policy fit" w:initials="PF" w:date="2026-10-22T10:17:48Z">
    <w:p>
      <w:pPr>
        <w:pStyle w:val="CommentText"/>
      </w:pPr>
      <w:r>
        <w:rPr>
          <w:rStyle w:val="CommentReference"/>
        </w:rPr>
        <w:annotationRef/>
      </w:r>
      <w:r>
        <w:t>PF-11 · Optional, then the writing: 'Risk' in the title suggests individual disease-risk estimates. Many scored traits are not diseases and the PGS Catalog itself uses 'polygenic score'; 'risk' is the most prominent word pointing toward a clinical reading. Fix: Optional: use 'Polygenic Scoring' in the title and 'polygenic score' for the general case; the title is the authors' decision. Found by: Policy fit.</w:t>
      </w:r>
    </w:p>
  </w:comment>
  <w:comment w:id="179" w:author="Policy fit" w:initials="PF" w:date="2026-10-22T10:17:48Z">
    <w:p>
      <w:pPr>
        <w:pStyle w:val="CommentText"/>
      </w:pPr>
      <w:r>
        <w:rPr>
          <w:rStyle w:val="CommentReference"/>
        </w:rPr>
        <w:annotationRef/>
      </w:r>
      <w:r>
        <w:t>PF-12 · Optional, then the writing: Keep intended-use wording; do not add a regulatory status claim. Under IVDR, intended purpose is read from labels, instructions and promotional statements, and software giving predisposition or treatment-response information can qualify; the RUO exclusion and the commercial-activity test (SecvADN) are open questions for the software, not defects of the paper. Fix: Keep the current wording, do not import 'not a medical device' or 'Research Use Only'; consider aligning the README; seek regulatory advice only if the company will offer reports from these modules. Found by: Policy fit.</w:t>
      </w:r>
    </w:p>
  </w:comment>
  <w:comment w:id="180" w:author="Policy fit" w:initials="PF" w:date="2026-10-22T10:17:48Z">
    <w:p>
      <w:pPr>
        <w:pStyle w:val="CommentText"/>
      </w:pPr>
      <w:r>
        <w:rPr>
          <w:rStyle w:val="CommentReference"/>
        </w:rPr>
        <w:annotationRef/>
      </w:r>
      <w:r>
        <w:t>PF-J1 · Optional, once the journal is chosen · candidate to verify: Named public genome may conflict with venue identification rules. The cited record's title names the first author; bioRxiv's FAQ declines articles with information that could identify an individual, with no self-release exception, and medRxiv and some journals have similar rules. This is a decision for the authors at venue choice. Fix: When the venue is chosen, read its identification and consent-for-publication rules; naming the author or not is the authors' decision. Found by: Policy fit.</w:t>
      </w:r>
    </w:p>
  </w:comment>
  <w:comment w:id="181" w:author="Policy fit" w:initials="PF" w:date="2026-10-22T10:17:48Z">
    <w:p>
      <w:pPr>
        <w:pStyle w:val="CommentText"/>
      </w:pPr>
      <w:r>
        <w:rPr>
          <w:rStyle w:val="CommentReference"/>
        </w:rPr>
        <w:annotationRef/>
      </w:r>
      <w:r>
        <w:t>PF-14 · Minor, before submission: Data licences are missing; blanket dataset licences may not match the source terms. The annotators dataset card declares MIT while the pharmacogenomics module declares CC-BY-SA-4.0 and the code records a bar on sale for ClinPGx content. Fix: Give each dataset's licence in the availability statement and correct the dataset card. Found by: Policy fit, Reporting check.</w:t>
      </w:r>
    </w:p>
  </w:comment>
  <w:comment w:id="182" w:author="Prose edit" w:initials="PE" w:date="2026-10-22T10:17:48Z">
    <w:p>
      <w:pPr>
        <w:pStyle w:val="CommentText"/>
      </w:pPr>
      <w:r>
        <w:rPr>
          <w:rStyle w:val="CommentReference"/>
        </w:rPr>
        <w:annotationRef/>
      </w:r>
      <w:r>
        <w:t>PE-1 · Minor, then the writing: Subsection 3.2.1 has the same heading level as Section 3.2. The subsection is written as a level-three heading, like its parent, so a table of contents or a converted file shows it beside Section 3.2 instead of under it. Fix: Make the heading one level lower (PE-C16). Found by: Prose edit.</w:t>
      </w:r>
    </w:p>
  </w:comment>
  <w:comment w:id="183" w:author="Prose edit" w:initials="PE" w:date="2026-10-22T10:17:48Z">
    <w:p>
      <w:pPr>
        <w:pStyle w:val="CommentText"/>
      </w:pPr>
      <w:r>
        <w:rPr>
          <w:rStyle w:val="CommentReference"/>
        </w:rPr>
        <w:annotationRef/>
      </w:r>
      <w:r>
        <w:t>PE-2 · Optional, then the writing · candidate to verify: One author is listed given name first; all others surname first. Ryangguk Kim appears given name first in both the author list and the Contribution Statements, while every other author is listed surname first. The two places agree, so it may be intended. Fix: Confirm the order; change both places if surname first is wanted. Found by: Prose edit.</w:t>
      </w:r>
    </w:p>
  </w:comment>
  <w:comment w:id="184" w:author="Reference check" w:initials="RC" w:date="2026-10-22T10:17:48Z">
    <w:p>
      <w:pPr>
        <w:pStyle w:val="CommentText"/>
      </w:pPr>
      <w:r>
        <w:rPr>
          <w:rStyle w:val="CommentReference"/>
        </w:rPr>
        <w:annotationRef/>
      </w:r>
      <w:r>
        <w:t>RC-3 · Major, fix now · candidate to verify: Uncited Forbes article by Doffman not found by any search.. Forbes site search, web searches and the Internet Archive index of 143 archived Doffman Forbes pages from October-December 2023 show no such article. News items are often unindexed, so this is not proof of fabrication. Fix: Delete the entry, or supply its URL. Found by: Reference check.</w:t>
      </w:r>
    </w:p>
  </w:comment>
  <w:comment w:id="185" w:author="Reference check" w:initials="RC" w:date="2026-10-22T10:17:48Z">
    <w:p>
      <w:pPr>
        <w:pStyle w:val="CommentText"/>
      </w:pPr>
      <w:r>
        <w:rPr>
          <w:rStyle w:val="CommentReference"/>
        </w:rPr>
        <w:annotationRef/>
      </w:r>
      <w:r>
        <w:t>RC-4 · Major, fix now: Opening cost claim of 'billions' is not what the cited or primary source says.. Whitley et al. 2020 give $95,263,072 for the HGP genome and under $1000 today, citing NHGRI; the NHGRI fact sheet puts the first genome at $0.5-1 billion and says this should not be confused with the ~$2.7 billion total HGP cost. Only partly supported. Fix: Rewrite as 'from an estimated $0.5-1 billion for the Human Genome Project's reference sequence ... to under $1,000 (NHGRI; Whitley et al., 2020)'. Found by: Reference check.</w:t>
      </w:r>
    </w:p>
  </w:comment>
  <w:comment w:id="186" w:author="Reference check" w:initials="RC" w:date="2026-10-22T10:17:48Z">
    <w:p>
      <w:pPr>
        <w:pStyle w:val="CommentText"/>
      </w:pPr>
      <w:r>
        <w:rPr>
          <w:rStyle w:val="CommentReference"/>
        </w:rPr>
        <w:annotationRef/>
      </w:r>
      <w:r>
        <w:t>RC-7 · Minor, fix now: Sources say FOXO3 came from candidate-gene studies, not GWAS; consistency overstated.. Broer et al. say FOXO3 'was not identified in GWAS' and their meta-analysis was European-ancestry only; Caruso et al. say both genes came from case-control studies and FOXO3 replicates 'to less extent'. Only partly supported. Fix: Use: 'Candidate-gene studies first associated APOE and FOXO3 with longevity, and they remain the only two genes replicated in multiple independent studies, including a genome-wide meta-analysis of European-ancestry cohorts (Broer et al., 2015; Caruso et al., 2022).' Found by: Reference check.</w:t>
      </w:r>
    </w:p>
  </w:comment>
  <w:comment w:id="187" w:author="Reference check" w:initials="RC" w:date="2026-10-22T10:17:48Z">
    <w:p>
      <w:pPr>
        <w:pStyle w:val="CommentText"/>
      </w:pPr>
      <w:r>
        <w:rPr>
          <w:rStyle w:val="CommentReference"/>
        </w:rPr>
        <w:annotationRef/>
      </w:r>
      <w:r>
        <w:t>RC-8 · Minor, fix now: LongevityMap counts 3,144 variants in 550 entries, not 3,144 associations.. Tacutu et al. report 550 entries, 884 genes and 3144 variants, with only 275 entries significant and negative results included; the Introduction's 'thousands of variant-trait associations' has the same problem. The 876 'existing records' edited also needs its unit stated against 550 entries. Fix: Write '3,144 variants in 884 genes from 550 study entries, 275 of them reporting a significant association (Tacutu et al., 2018)', and say what a curated 'record' is. Found by: Reference check.</w:t>
      </w:r>
    </w:p>
  </w:comment>
  <w:comment w:id="188" w:author="Reference check" w:initials="RC" w:date="2026-10-22T10:17:48Z">
    <w:p>
      <w:pPr>
        <w:pStyle w:val="CommentText"/>
      </w:pPr>
      <w:r>
        <w:rPr>
          <w:rStyle w:val="CommentReference"/>
        </w:rPr>
        <w:annotationRef/>
      </w:r>
      <w:r>
        <w:t>RC-9 · Minor, fix now: PGS Catalog paper supports aggregation and weighted sum, not 'common' or population-relative.. Lambert et al. 2021 describe trait-associated variants combined by a weighted sum; they do not describe a population-relative measure. Low stakes, partly supported. Fix: Drop 'common' and put the reference-population comparison in its own uncited clause. Found by: Reference check.</w:t>
      </w:r>
    </w:p>
  </w:comment>
  <w:comment w:id="189" w:author="Integrity check" w:initials="IC" w:date="2026-10-22T10:17:48Z">
    <w:p>
      <w:pPr>
        <w:pStyle w:val="CommentText"/>
      </w:pPr>
      <w:r>
        <w:rPr>
          <w:rStyle w:val="CommentReference"/>
        </w:rPr>
        <w:annotationRef/>
      </w:r>
      <w:r>
        <w:t>RC-10 · Minor, fix now: LongevityMap curation numbers come from the 2024 Generation I paper, uncited and presented as new. Kulaga et al. 2024 already report editing 876 records and adding 50 entries, from meta-analyses published after 2017. Calling this 'Our contribution here' presents published work as new; the Generation I Monte Carlo percentile method in Section 3.2 is also uncited. Fix: Cite Kulaga et al. 2024 for the curation and for the Generation I percentile method, say the module carries over that curation, and list separately anything added since. Found by: Integrity check, Reference check.</w:t>
      </w:r>
    </w:p>
  </w:comment>
  <w:comment w:id="190" w:author="Reference check" w:initials="RC" w:date="2026-10-22T10:17:48Z">
    <w:p>
      <w:pPr>
        <w:pStyle w:val="CommentText"/>
      </w:pPr>
      <w:r>
        <w:rPr>
          <w:rStyle w:val="CommentReference"/>
        </w:rPr>
        <w:annotationRef/>
      </w:r>
      <w:r>
        <w:t>RC-11 · Minor, then the writing: Borrowed 20-25% heritability figure has no citation.. Shenhar et al. 2026 state that twin studies show 20 to 25%, but as a summary of unnamed earlier studies. Fix: Write 'as summarised by Shenhar et al.' or cite a primary twin study. Found by: Reference check.</w:t>
      </w:r>
    </w:p>
  </w:comment>
  <w:comment w:id="191" w:author="Reference check" w:initials="RC" w:date="2026-10-22T10:17:48Z">
    <w:p>
      <w:pPr>
        <w:pStyle w:val="CommentText"/>
      </w:pPr>
      <w:r>
        <w:rPr>
          <w:rStyle w:val="CommentReference"/>
        </w:rPr>
        <w:annotationRef/>
      </w:r>
      <w:r>
        <w:t>RC-12 · Minor, then the writing: Undated, uncited live count; the PGS Catalog now holds 6,991 scores.. The PGS Catalog REST interface reports 6,991 scores in the 17 September 2026 release. Whether just-prs reaches every score was not checked. Fix: Give the dated count and cite the PGS Catalog (e.g., Lambert et al. 2024, https://doi.org/10.1038/s41588-024-01937-x). Found by: Reference check.</w:t>
      </w:r>
    </w:p>
  </w:comment>
  <w:comment w:id="192" w:author="Reference check" w:initials="RC" w:date="2026-10-22T10:17:48Z">
    <w:p>
      <w:pPr>
        <w:pStyle w:val="CommentText"/>
      </w:pPr>
      <w:r>
        <w:rPr>
          <w:rStyle w:val="CommentReference"/>
        </w:rPr>
        <w:annotationRef/>
      </w:r>
      <w:r>
        <w:t>RC-13 · Minor, then the writing: European-ancestry statement about PGS Catalog has no citation.. Lambert et al. 2021 carry it as of December 2020. Fix: Cite Lambert et al. 2021 with its date, or a newer PGS Catalog source. Found by: Reference check.</w:t>
      </w:r>
    </w:p>
  </w:comment>
  <w:comment w:id="193" w:author="Reference check" w:initials="RC" w:date="2026-10-22T10:17:48Z">
    <w:p>
      <w:pPr>
        <w:pStyle w:val="CommentText"/>
      </w:pPr>
      <w:r>
        <w:rPr>
          <w:rStyle w:val="CommentReference"/>
        </w:rPr>
        <w:annotationRef/>
      </w:r>
      <w:r>
        <w:t>RC-14 · Minor, then the writing · candidate to verify: Winner's-curse statement has no citation.. A candidate source (Ioannidis et al. 2001, Nat Genet 29:306) was verified to exist but not read for this claim. Fix: Add a citation after reading it for this point. Found by: Reference check.</w:t>
      </w:r>
    </w:p>
  </w:comment>
  <w:comment w:id="194" w:author="Reference check" w:initials="RC" w:date="2026-10-22T10:17:48Z">
    <w:p>
      <w:pPr>
        <w:pStyle w:val="CommentText"/>
      </w:pPr>
      <w:r>
        <w:rPr>
          <w:rStyle w:val="CommentReference"/>
        </w:rPr>
        <w:annotationRef/>
      </w:r>
      <w:r>
        <w:t>RC-15 · Minor, then the writing: GDPR and European Health Data Space named without citation.. The statement matches Article 15(3) of Regulation (EU) 2016/679; the EHDS is Regulation (EU) 2025/327. Also named uncited in Section 1. Fix: Cite Regulation (EU) 2016/679 Art. 15 and Regulation (EU) 2025/327 with their EUR-Lex links. Found by: Reference check.</w:t>
      </w:r>
    </w:p>
  </w:comment>
  <w:comment w:id="195" w:author="Reference check" w:initials="RC" w:date="2026-10-22T10:17:48Z">
    <w:p>
      <w:pPr>
        <w:pStyle w:val="CommentText"/>
      </w:pPr>
      <w:r>
        <w:rPr>
          <w:rStyle w:val="CommentReference"/>
        </w:rPr>
        <w:annotationRef/>
      </w:r>
      <w:r>
        <w:t>RC-16 · Minor, then the writing · candidate to verify: Claims about named companies are uncited and undated; 'formerly' is doubtful.. Public pages describe DNA Complete as a ProPhase Labs service launched November 2024 and 'powered by' Nebula Genomics, not as a renaming; current report practices were not checked. Fix: Add a dated source for each company's reports, or soften to what a cited source shows. Found by: Reference check.</w:t>
      </w:r>
    </w:p>
  </w:comment>
  <w:comment w:id="196" w:author="Reference check" w:initials="RC" w:date="2026-10-22T10:17:48Z">
    <w:p>
      <w:pPr>
        <w:pStyle w:val="CommentText"/>
      </w:pPr>
      <w:r>
        <w:rPr>
          <w:rStyle w:val="CommentReference"/>
        </w:rPr>
        <w:annotationRef/>
      </w:r>
      <w:r>
        <w:t>RC-20 · Minor, then the writing: Sixteen registry-settled metadata repairs, including the published Shenhar version.. 10 missing DOIs, 3 shortened titles, 2 online-versus-issue years, and Shenhar et al. published in Science 2026 391(6784):504-510 under a different title (in-text year 2025 becomes 2026). None changes what a sentence claims; the published abstract still carries the borrowed numbers. Fix: Apply the patch listed in the report's per-reference table. Found by: Reference check.</w:t>
      </w:r>
    </w:p>
  </w:comment>
  <w:comment w:id="197" w:author="Reference check" w:initials="RC" w:date="2026-10-22T10:17:48Z">
    <w:p>
      <w:pPr>
        <w:pStyle w:val="CommentText"/>
      </w:pPr>
      <w:r>
        <w:rPr>
          <w:rStyle w:val="CommentReference"/>
        </w:rPr>
        <w:annotationRef/>
      </w:r>
      <w:r>
        <w:t>RC-21 · Optional, fix now: Shenhar 50% estimate is contested by two 2026 preprints; attribution wording is fine.. Hamilton 2026 and Kornilov 2026 preprints argue the estimate is inflated; the sentence attributes rather than asserts, so no change is required. Fix: Optional: note that the estimate is debated. Found by: Reference check.</w:t>
      </w:r>
    </w:p>
  </w:comment>
  <w:comment w:id="198" w:author="Reference check" w:initials="RC" w:date="2026-10-22T10:17:48Z">
    <w:p>
      <w:pPr>
        <w:pStyle w:val="CommentText"/>
      </w:pPr>
      <w:r>
        <w:rPr>
          <w:rStyle w:val="CommentReference"/>
        </w:rPr>
        <w:annotationRef/>
      </w:r>
      <w:r>
        <w:t>RC-22 · Optional, once the journal is chosen: Journal names mix abbreviations and full titles; arXiv entry has no version.. Reference style depends on the chosen journal. Fix: Format references in the chosen journal's style. Found by: Reference check.</w:t>
      </w:r>
    </w:p>
  </w:comment>
  <w:comment w:id="199" w:author="Reporting check" w:initials="RC" w:date="2026-10-22T10:17:48Z">
    <w:p>
      <w:pPr>
        <w:pStyle w:val="CommentText"/>
      </w:pPr>
      <w:r>
        <w:rPr>
          <w:rStyle w:val="CommentReference"/>
        </w:rPr>
        <w:annotationRef/>
      </w:r>
      <w:r>
        <w:t>RP.RC-4 · Major, fix now: Authors' own just-prs benchmark page now marks Tables 5-6 numbers as superseded.. Tables 5-6 and the Abstract match the March 2026 just-prs benchmark page; the page as read on 2026-10-22 reports an 11 October 2026 rerun (just-prs 0.10.2, PLINK2 a6.33) where PLINK2 scored all 100, r = 0.99999996, max difference 0.049, and medians giving ratios of about 7.3 and 1.9 rather than 12.3 and 5.7, and gives different causes for the failures and differences. This page postdates the draft. Fix: Decide which run the paper reports; if the October run, update Tables 5-6, Abstract, Section 5.2 and S3; if the March run, explain why and address RC-5 to RC-9. Found by: Reporting check.</w:t>
      </w:r>
    </w:p>
  </w:comment>
  <w:comment w:id="200" w:author="Reporting check" w:initials="RC" w:date="2026-10-22T10:17:48Z">
    <w:p>
      <w:pPr>
        <w:pStyle w:val="CommentText"/>
      </w:pPr>
      <w:r>
        <w:rPr>
          <w:rStyle w:val="CommentReference"/>
        </w:rPr>
        <w:annotationRef/>
      </w:r>
      <w:r>
        <w:t>RP.RC-7 · Major, fix now · candidate to verify: Stated cause of PLINK2's four failures does not fit how PLINK2 handles unmatched IDs.. PLINK2 skips score-file entries with absent variant IDs and continues; it stops on malformed score files (one line per scored allele is required). The authors' current just-prs page attributes the failures to duplicated (variant, allele) lines after liftover. Fix: Quote the error from each failed run's PLINK2 log and correct the Table 5 footnote, S3 and Section 5.2; if caused by score-input preparation, attribute it to the comparator configuration. Found by: Reporting check.</w:t>
      </w:r>
    </w:p>
  </w:comment>
  <w:comment w:id="201" w:author="Reporting check" w:initials="RC" w:date="2026-10-22T10:17:48Z">
    <w:p>
      <w:pPr>
        <w:pStyle w:val="CommentText"/>
      </w:pPr>
      <w:r>
        <w:rPr>
          <w:rStyle w:val="CommentReference"/>
        </w:rPr>
        <w:annotationRef/>
      </w:r>
      <w:r>
        <w:t>RP.RC-9 · Major, fix now: PRS per-score results not deposited; script path wrong and script changed since run.. The script is at just-prs/benchmarks/benchmark_engines.py (no root benchmarks folder); it was modified on 5 and 27 May 2026 after the March run; the March run's per-score outputs are not in the repository, at the March commit or now (it holds only October results). Fix: Deposit the per-score table of the reported run (times, scores, matched counts, PLINK2 errors), cite the just-prs commit or tag that produced it, and correct the path. Found by: Reporting check.</w:t>
      </w:r>
    </w:p>
  </w:comment>
  <w:comment w:id="202" w:author="Integrity check" w:initials="IC" w:date="2026-10-22T10:17:48Z">
    <w:p>
      <w:pPr>
        <w:pStyle w:val="CommentText"/>
      </w:pPr>
      <w:r>
        <w:rPr>
          <w:rStyle w:val="CommentReference"/>
        </w:rPr>
        <w:annotationRef/>
      </w:r>
      <w:r>
        <w:t>RP.RC-10 · Major, fix now: The input genome's caller version and record counts disagree with the project's records and with each other. The project's run report on the same file says DeepVariant 1.1.0, 6,079,744 rows read and 4,257,537 after filters; the paper gives 6,138,868 records, 4,661,444 'biallelic variants' in 5.2, and an SNP+indel split summing to 6,144,050; the sequencing platform is not named. Fix: Check the caller in the VCF header, state which count is which and which filters each benchmark applied, reconcile the SNP/indel split, and name the platform. Found by: Integrity check, Reporting check, Story.</w:t>
      </w:r>
    </w:p>
  </w:comment>
  <w:comment w:id="203" w:author="Reporting check" w:initials="RC" w:date="2026-10-22T10:17:48Z">
    <w:p>
      <w:pPr>
        <w:pStyle w:val="CommentText"/>
      </w:pPr>
      <w:r>
        <w:rPr>
          <w:rStyle w:val="CommentReference"/>
        </w:rPr>
        <w:annotationRef/>
      </w:r>
      <w:r>
        <w:t>RP.RC-13 · Major, then the writing: The exact list of 100 PGS IDs is not given.. Without IDs the benchmark cannot be repeated or the mix of score sizes judged; the draft-date just-prs page gives 'PGS000006 – PGS000106', which is 101 IDs, so the excluded one is not identified; the PGS Catalog release is not stated. Fix: List the IDs in a supplementary table with variant counts, harmonized build and download date, and give the PGS Catalog release. Found by: Reporting check.</w:t>
      </w:r>
    </w:p>
  </w:comment>
  <w:comment w:id="204" w:author="Reporting check" w:initials="RC" w:date="2026-10-22T10:17:48Z">
    <w:p>
      <w:pPr>
        <w:pStyle w:val="CommentText"/>
      </w:pPr>
      <w:r>
        <w:rPr>
          <w:rStyle w:val="CommentReference"/>
        </w:rPr>
        <w:annotationRef/>
      </w:r>
      <w:r>
        <w:t>RP.RC-16 · Minor, then the writing: PRS repeats, warm-up exclusions, spread and n of excl-large columns unreported.. Table 5 gives medians and means only; the number of timed calls per score, the warm-up IDs (five per the draft-date page) and an IQR or range are missing, and the excl-large n (93 for every engine) is not stated. Fix: State repeats per score and warm-up exclusions, add IQR or range per engine, and give n = 93 for the excl-large columns. Found by: Reporting check.</w:t>
      </w:r>
    </w:p>
  </w:comment>
  <w:comment w:id="205" w:author="Story" w:initials="S" w:date="2026-10-22T10:17:48Z">
    <w:p>
      <w:pPr>
        <w:pStyle w:val="CommentText"/>
      </w:pPr>
      <w:r>
        <w:rPr>
          <w:rStyle w:val="CommentReference"/>
        </w:rPr>
        <w:annotationRef/>
      </w:r>
      <w:r>
        <w:t>ST-2 · Minor, then the writing: The Introduction opens on sequencing costs; the reader's problem comes third. The first sentence is field background a reader does not need for the next one; the problem a reader has is the third sentence and the privacy stake behind the title waits until paragraph 4. Fix: Open with the reader's problem and follow with the cost background (ST-C1). Found by: Story.</w:t>
      </w:r>
    </w:p>
  </w:comment>
  <w:comment w:id="206" w:author="Story" w:initials="S" w:date="2026-10-22T10:17:48Z">
    <w:p>
      <w:pPr>
        <w:pStyle w:val="CommentText"/>
      </w:pPr>
      <w:r>
        <w:rPr>
          <w:rStyle w:val="CommentReference"/>
        </w:rPr>
        <w:annotationRef/>
      </w:r>
      <w:r>
        <w:t>ST-3 · Minor, then the writing: The Abstract moves from what is needed straight to 'We present'. The obstacle that makes the platform necessary is stated in the Introduction and missing from the Abstract, so its first sentences read as need then solution with no 'but'. Fix: Add one obstacle sentence drawn from Introduction paragraph 2 (ST-C2). Found by: Story.</w:t>
      </w:r>
    </w:p>
  </w:comment>
  <w:comment w:id="207" w:author="Story" w:initials="S" w:date="2026-10-22T10:17:48Z">
    <w:p>
      <w:pPr>
        <w:pStyle w:val="CommentText"/>
      </w:pPr>
      <w:r>
        <w:rPr>
          <w:rStyle w:val="CommentReference"/>
        </w:rPr>
        <w:annotationRef/>
      </w:r>
      <w:r>
        <w:t>ST-6 · Minor, then the writing: All three readers lost attention where the text turns to build tools and packages. The ageing biologist stopped at the Introduction's list of libraries, the skimmer at the uv workspace paragraph and the potential user at the just-dna-format contract; each came back only at something concrete. This is reader feedback from simulated readers. Fix: Move build and package detail after what the tool does (ST-C4, ST-C5, ST-C8). Found by: Story.</w:t>
      </w:r>
    </w:p>
  </w:comment>
  <w:comment w:id="208" w:author="Journal adaptation" w:initials="JA" w:date="2026-10-22T10:17:48Z">
    <w:p>
      <w:pPr>
        <w:pStyle w:val="CommentText"/>
      </w:pPr>
      <w:r>
        <w:rPr>
          <w:rStyle w:val="CommentReference"/>
        </w:rPr>
        <w:annotationRef/>
      </w:r>
      <w:r>
        <w:t>ST-8 · Minor, then the writing: Readers stopped at undefined terms and code names. The readers listed terms they could not follow, from the Abstract's 'shared module contract' to 'quality tiers', the score scale and T2T; the report gathers them in one table with where each occurs. Fix: Define each term at first use or keep it out of the Abstract (report section 5). Found by: Journal adaptation, Story.</w:t>
      </w:r>
    </w:p>
  </w:comment>
  <w:comment w:id="209" w:author="Story" w:initials="S" w:date="2026-10-22T10:17:48Z">
    <w:p>
      <w:pPr>
        <w:pStyle w:val="CommentText"/>
      </w:pPr>
      <w:r>
        <w:rPr>
          <w:rStyle w:val="CommentReference"/>
        </w:rPr>
        <w:annotationRef/>
      </w:r>
      <w:r>
        <w:t>ST-10 · Minor, then the writing: Both results sections open with setup instead of the finding. 5.1 and 5.2 begin with what was benchmarked; the numbers a reader keeps come in the tables and later paragraphs. Fix: Open each section with its finding and the number to keep (ST-C12, ST-C15). Found by: Story.</w:t>
      </w:r>
    </w:p>
  </w:comment>
  <w:comment w:id="210" w:author="Story" w:initials="S" w:date="2026-10-22T10:17:48Z">
    <w:p>
      <w:pPr>
        <w:pStyle w:val="CommentText"/>
      </w:pPr>
      <w:r>
        <w:rPr>
          <w:rStyle w:val="CommentReference"/>
        </w:rPr>
        <w:annotationRef/>
      </w:r>
      <w:r>
        <w:t>ST-16 · Minor, fix now: Readers kept the 50 to 54% match rate but could not interpret it. Two readers remembered the match rate and two asked why only half the score variants matched on a high-coverage genome and what restoration would give; the paper says only that it reflects the benchmark configuration. Fix: Give the reason beside the number, or the rate with reference-homozygote restoration on. Found by: Story.</w:t>
      </w:r>
    </w:p>
  </w:comment>
  <w:comment w:id="211" w:author="Story" w:initials="S" w:date="2026-10-22T10:17:48Z">
    <w:p>
      <w:pPr>
        <w:pStyle w:val="CommentText"/>
      </w:pPr>
      <w:r>
        <w:rPr>
          <w:rStyle w:val="CommentReference"/>
        </w:rPr>
        <w:annotationRef/>
      </w:r>
      <w:r>
        <w:t>ST-19 · Minor, then the writing: A paragraph on module reliability closes the PRS benchmark section. The paragraph is a scope statement about annotation modules; at the end of the scoring benchmark the potential user found it out of place. Fix: Move it unchanged to 6.1 (ST-C16). Found by: Story.</w:t>
      </w:r>
    </w:p>
  </w:comment>
  <w:comment w:id="212" w:author="Story" w:initials="S" w:date="2026-10-22T10:17:48Z">
    <w:p>
      <w:pPr>
        <w:pStyle w:val="CommentText"/>
      </w:pPr>
      <w:r>
        <w:rPr>
          <w:rStyle w:val="CommentReference"/>
        </w:rPr>
        <w:annotationRef/>
      </w:r>
      <w:r>
        <w:t>ST-20 · Minor, then the writing: The interface list, the disclaimer and the speed comparison are repeated. The interface list appears seven times, the no-diagnosis disclaimer six and the OakVar comparison five; several sentences answer a referee rather than tell a reader what was found. Fix: Say each once where readers look (ST-C11 for the interface list); sort the referee-directed sentences with the authors. Found by: Story.</w:t>
      </w:r>
    </w:p>
  </w:comment>
  <w:comment w:id="213" w:author="Story" w:initials="S" w:date="2026-10-22T10:17:48Z">
    <w:p>
      <w:pPr>
        <w:pStyle w:val="CommentText"/>
      </w:pPr>
      <w:r>
        <w:rPr>
          <w:rStyle w:val="CommentReference"/>
        </w:rPr>
        <w:annotationRef/>
      </w:r>
      <w:r>
        <w:t>ST-21 · Minor, then the writing: The paper's last sentence is a disclaimer. The Conclusion, like the Abstract, ends on a caveat; the paper never closes on what a reader can do with it. Fix: Add a closing sentence on what readers can rerun or add, keeping both caveats (ST-C18). Found by: Story.</w:t>
      </w:r>
    </w:p>
  </w:comment>
  <w:comment w:id="214" w:author="Story" w:initials="S" w:date="2026-10-22T10:17:48Z">
    <w:p>
      <w:pPr>
        <w:pStyle w:val="CommentText"/>
      </w:pPr>
      <w:r>
        <w:rPr>
          <w:rStyle w:val="CommentReference"/>
        </w:rPr>
        <w:annotationRef/>
      </w:r>
      <w:r>
        <w:t>ST-22 · Minor, then the writing: The lead theme shifts between the title and the closing passages. The title leads with local-first and open source; the end of the Introduction and the Conclusion lead with a component list and give the MCP interface its own sentence. No reader carried the MCP interface, the registry or inspectable reports into their takeaway. Fix: Confirm the story entry and choose among the direction options in the report. Found by: Story.</w:t>
      </w:r>
    </w:p>
  </w:comment>
  <w:comment w:id="215" w:author="Story" w:initials="S" w:date="2026-10-22T10:17:48Z">
    <w:p>
      <w:pPr>
        <w:pStyle w:val="CommentText"/>
      </w:pPr>
      <w:r>
        <w:rPr>
          <w:rStyle w:val="CommentReference"/>
        </w:rPr>
        <w:annotationRef/>
      </w:r>
      <w:r>
        <w:t>ST-24 · Minor, then the writing: The installation facts a user needs are missing. Two readers looked for what a configured checkout is, supported operating systems, disk space and download time for reference data, and batch use. Fix: Add these facts in Code Availability, where the installation paragraph would move (ST-C5). Found by: Story.</w:t>
      </w:r>
    </w:p>
  </w:comment>
  <w:comment w:id="216" w:author="Workflow" w:initials="W" w:date="2026-10-22T10:17:48Z">
    <w:p>
      <w:pPr>
        <w:pStyle w:val="CommentText"/>
      </w:pPr>
      <w:r>
        <w:rPr>
          <w:rStyle w:val="CommentReference"/>
        </w:rPr>
        <w:annotationRef/>
      </w:r>
      <w:r>
        <w:t>16 problems about this part whose passage is not quoted in this text:</w:t>
      </w:r>
    </w:p>
    <w:p>
      <w:pPr>
        <w:pStyle w:val="CommentText"/>
      </w:pPr>
      <w:r>
        <w:t>About Companion paper consistency: IC-35 · Minor, then the writing: Companion paper states module-join engine and runtime differently. The companion says modules are joined using DuckDB and that a whole-genome VCF is annotated in under 40 seconds; this paper's code joins modules with Polars and its 38.9 s is a mean with SD 10.9 s. Fix: Align the companion's two sentences with this paper. Found by: Integrity check.</w:t>
      </w:r>
    </w:p>
    <w:p>
      <w:pPr>
        <w:pStyle w:val="CommentText"/>
      </w:pPr>
      <w:r>
        <w:t>About Front matter: JA-1 · Minor, once the journal is chosen: No keywords; all three journals require them. Genes and BioData Mining ask for three to ten keywords and Frontiers for five to eight; the draft has none. Fix: Add five to eight keywords after the Abstract (JA-C1). Found by: Journal adaptation.</w:t>
      </w:r>
    </w:p>
    <w:p>
      <w:pPr>
        <w:pStyle w:val="CommentText"/>
      </w:pPr>
      <w:r>
        <w:t>About 5. Benchmarking and Validation; 6. Discussion: JA-8 · Optional, once the journal is chosen · candidate to verify: BioData Mining reserves results and discussion for the authors. Under the Springer Nature AI policy AI may not write the results or discussion independently; whether this applies depends on how the authors used AI, which only they know. Fix: Weigh it before BioData Mining, the third choice; Genes and Frontiers need only the declaration. Found by: Journal adaptation.</w:t>
      </w:r>
    </w:p>
    <w:p>
      <w:pPr>
        <w:pStyle w:val="CommentText"/>
      </w:pPr>
      <w:r>
        <w:t>About Code Availability; Bibliography: JA-11 · Minor, before submission: Datasets, including the benchmark genome's Zenodo record, are not cited or described as data. Genes enforces data citation before publication, Frontiers asks that deposited datasets be in the reference list, and BMC requires all public datasets to be referenced. Fix: Add the genome and the Hugging Face datasets as references (JA-C12). Found by: Journal adaptation, Reporting check.</w:t>
      </w:r>
    </w:p>
    <w:p>
      <w:pPr>
        <w:pStyle w:val="CommentText"/>
      </w:pPr>
      <w:r>
        <w:t>About Back matter: JA-16 · Minor, once the journal is chosen: Genes back matter uses other names, order and two ethics sections. Genes lists Supplementary Materials, Author Contributions, Funding, the Institutional Review Board and Informed Consent Statements, Data Availability Statement, Acknowledgments, Conflicts of Interest and References, in that order. Fix: Use JA-C17, JA-C18 and JA-C19 if Genes is chosen. Found by: Journal adaptation.</w:t>
      </w:r>
    </w:p>
    <w:p>
      <w:pPr>
        <w:pStyle w:val="CommentText"/>
      </w:pPr>
      <w:r>
        <w:t>About Cover letter and submission forms: JA-21 · Optional, before submission: Cover letter statements, scope statement and preprint citation wait. Genes requires two cover-letter statements, Frontiers a 200-word scope statement, Frontiers a preprint citation in the Acknowledgements and references, and BMC the preprint DOI at submission. Fix: Prepare these at submission. Found by: Journal adaptation.</w:t>
      </w:r>
    </w:p>
    <w:p>
      <w:pPr>
        <w:pStyle w:val="CommentText"/>
      </w:pPr>
      <w:r>
        <w:t>About Back matter (Contribution Statements, Acknowledgments): JS-4 · Major, before submission: No statement of AI use in preparing the manuscript; all venues ask for one.. AI tools were used in preparing the project; Genes wants the use in Materials and Methods and in the Acknowledgments in a set sentence, Frontiers in the Acknowledgements with name, version, model and source, and BioData Mining in Methods under the Springer Nature framework, which does not permit AI to write results or discussion independently. Which rule bites depends on what the tools did, which only the authors know. Fix: Write one factual AI-use statement covering tool, version, model, purpose, what it affected and author checking, and place it where the chosen journal asks. Found by: Journal adaptation, Journal selection.</w:t>
      </w:r>
    </w:p>
    <w:p>
      <w:pPr>
        <w:pStyle w:val="CommentText"/>
      </w:pPr>
      <w:r>
        <w:t>About Whole manuscript: JS-9 · Optional, once the journal is chosen: Length exceeds Scientific Reports, PLOS Software and Bioinformatics Application Note limits only.. About 4,600 main-text words and 11 display items fit the top three, but would need cuts for Scientific Reports (4,500 words, 8 display items), PLOS Computational Biology Software (under 3,500 words) and a Bioinformatics Application Note (about 2,600 words). Fix: No change unless one of those journals is chosen. Found by: Journal selection.</w:t>
      </w:r>
    </w:p>
    <w:p>
      <w:pPr>
        <w:pStyle w:val="CommentText"/>
      </w:pPr>
      <w:r>
        <w:t>About Declarations (none yet): PF-13 · Major, once the journal is chosen: No ethics, consent-for-publication or human-data statement for the benchmark genome. Most journals ask for a statement on human data. The facts support a short one: one author's self-released CC0 genome, no other individuals, no recruitment, no intervention. Whether a committee statement is needed depends on the venue. Fix: Use the drafted statement at submission; add a committee statement only if the chosen journal requires one. Found by: Journal adaptation, Journal selection, Simulated reviewers, Policy fit.</w:t>
      </w:r>
    </w:p>
    <w:p>
      <w:pPr>
        <w:pStyle w:val="CommentText"/>
      </w:pPr>
      <w:r>
        <w:t>About 5.1 Annotation Speed (Table 4) and 5.2: RP.RC-11 · Major, fix now: The PRS benchmark machine, PLINK2 version and command are not given; Table 4 describes a different machine. Table 4 is titled as the benchmark hardware, but the draft-date just-prs page gives 32 logical cores and 94 GB for the PRS run, not the 8C/16T, 128 GB machine. Fix: Add the PRS machine, thread settings and load conditions, or retitle Table 4 for Section 5.1 and add a column for 5.2. Found by: Integrity check, Reporting check.</w:t>
      </w:r>
    </w:p>
    <w:p>
      <w:pPr>
        <w:pStyle w:val="CommentText"/>
      </w:pPr>
      <w:r>
        <w:t>About 5.1 Annotation Speed (Tables 2 and 3): RP.RC-12 · Major, then the writing: Warm, normal and cold runs are undefined; Table 3 rows and the S2 ± are not labelled. The paper uses 'warm' and 'normal' for the same runs and never defines cold start; on HDD storage cache state changes times several-fold; Table 3's cold start (216 s) is an unidentified single run versus a 203.3 s mean, and the normal row gives a RAM range over unstated runs and no CPU. Fix: Define each run type by what was cleared beforehand, identify which runs each Table 3 row summarises, or give per-run values. Found by: Integrity check, Reporting check, Story.</w:t>
      </w:r>
    </w:p>
    <w:p>
      <w:pPr>
        <w:pStyle w:val="CommentText"/>
      </w:pPr>
      <w:r>
        <w:t>About 5.1 Annotation Speed and 5.2 PRS Computation: RP.RC-14 · Major, then the writing: No benchmark states software versions or commits of tools or comparators.. No version of Just-DNA-Lite, just-prs, Polars, DuckDB, polars-bio, Dagster, Python, OakVar or PLINK2 is given; the March PRS run is documented at just-prs commit 5add116 (2 March 2026) while the platform locks just-prs 0.10.0, several releases later. Fix: Add a version table per benchmark and say if the benchmarked version predates the released one. Found by: Reporting check.</w:t>
      </w:r>
    </w:p>
    <w:p>
      <w:pPr>
        <w:pStyle w:val="CommentText"/>
      </w:pPr>
      <w:r>
        <w:t>About 5.1 Annotation Speed (Table 2): RP.RC-15 · Minor, then the writing: Eleven warm runs reported only as mean, SEM and SD; wide spread unexplained.. SD 10.9 s on a 38.9 s mean is wide for repeated warm runs of one input and may reflect pooled sessions, module sets or versions; with n = 11 the individual values, order and any exclusions should be given. Fix: Give the 11 values (or median and range), whether consecutive in one session, and whether any run was dropped. Found by: Reporting check.</w:t>
      </w:r>
    </w:p>
    <w:p>
      <w:pPr>
        <w:pStyle w:val="CommentText"/>
      </w:pPr>
      <w:r>
        <w:t>About 5.1 Annotation Speed (Table 2): RP.RC-17 · Minor, then the writing: gVCF speedup compares a single run on a different input with OakVar VCF runs.. The 7.7x divides OakVar's VCF runs by one run on a different, larger gVCF file. Fix: Drop the speedup for this row or label it as a different input and a single run. Found by: Reporting check.</w:t>
      </w:r>
    </w:p>
    <w:p>
      <w:pPr>
        <w:pStyle w:val="CommentText"/>
      </w:pPr>
      <w:r>
        <w:t>About Abstract; Code Availability: RP.RC-22 · Optional, once the journal is chosen: Software-paper requirements and availability-statement form await the journal choice.. No reporting guideline binds this paper; venues that publish software papers often require the software location and licence in the Abstract, an archived release, install instructions and test data, and their own availability-statement wording. Fix: After choosing the journal, check its software rules and rerun the availability check with that venue. Found by: Reporting check.</w:t>
      </w:r>
    </w:p>
    <w:p>
      <w:pPr>
        <w:pStyle w:val="CommentText"/>
      </w:pPr>
      <w:r>
        <w:t>About Code Availability (Table 7): RP.RC-27 · Optional, before submission: just-dna-format link redirects to just-dna-compiler repository.. https://github.com/dna-seq/just-dna-format now redirects to https://github.com/dna-seq/just-dna-compiler, while Section 2.2 names the two as separate libraries. Fix: Update Table 7's link and description. Found by: Reporting check.</w:t>
      </w:r>
    </w:p>
  </w:comment>
  <w:comment w:id="217" w:author="Workflow" w:initials="W" w:date="2026-10-22T10:17:48Z">
    <w:p>
      <w:pPr>
        <w:pStyle w:val="CommentText"/>
      </w:pPr>
      <w:r>
        <w:rPr>
          <w:rStyle w:val="CommentReference"/>
        </w:rPr>
        <w:annotationRef/>
      </w:r>
      <w:r>
        <w:t>1 problem about this part whose passage is not quoted in this text:</w:t>
      </w:r>
    </w:p>
    <w:p>
      <w:pPr>
        <w:pStyle w:val="CommentText"/>
      </w:pPr>
      <w:r>
        <w:t>About 5.2 PRS Computation: RP.RC-20 · Minor, then the writing: Repository README states r = 0.9999 across 100 PGS IDs; paper says 96.. The just-dna-lite README in the snapshot gives a different count of scores for the PLINK2 correlation than Table 6. Fix: Align the README with whichever run the paper reports. Found by: Reporting check.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na-seq/just-dna-lite" TargetMode="External"/><Relationship Id="rId10" Type="http://schemas.openxmlformats.org/officeDocument/2006/relationships/hyperlink" Target="https://github.com/dna-seq/just-prs" TargetMode="External"/><Relationship Id="rId11" Type="http://schemas.openxmlformats.org/officeDocument/2006/relationships/hyperlink" Target="https://github.com/dna-seq/just-dna-format" TargetMode="External"/><Relationship Id="rId12" Type="http://schemas.openxmlformats.org/officeDocument/2006/relationships/hyperlink" Target="https://github.com/dna-seq/just-dna-registry" TargetMode="External"/><Relationship Id="rId13" Type="http://schemas.openxmlformats.org/officeDocument/2006/relationships/hyperlink" Target="https://github.com/dna-seq/just-prs-mcp" TargetMode="External"/><Relationship Id="rId14" Type="http://schemas.openxmlformats.org/officeDocument/2006/relationships/hyperlink" Target="https://github.com/dna-seq/prepare-annotations" TargetMode="External"/><Relationship Id="rId15" Type="http://schemas.openxmlformats.org/officeDocument/2006/relationships/hyperlink" Target="https://github.com/dna-seq/reflex-mui-datagrid" TargetMode="External"/><Relationship Id="rId16" Type="http://schemas.openxmlformats.org/officeDocument/2006/relationships/hyperlink" Target="https://github.com/dna-seq/just-biomarkers" TargetMode="External"/><Relationship Id="rId17" Type="http://schemas.openxmlformats.org/officeDocument/2006/relationships/hyperlink" Target="https://github.com/dna-seq/just-module-creator" TargetMode="External"/><Relationship Id="rId18" Type="http://schemas.openxmlformats.org/officeDocument/2006/relationships/hyperlink" Target="https://github.com/dna-seq/dna-seq" TargetMode="External"/><Relationship Id="rId1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manuscript-improve run found in Paper 1 v0.3</dc:title>
  <dc:subject/>
  <dc:creator>manuscript-improve</dc:creator>
  <cp:keywords/>
  <dc:description>generated by python-docx</dc:description>
  <cp:lastModifiedBy/>
  <cp:revision>1</cp:revision>
  <dcterms:created xsi:type="dcterms:W3CDTF">2013-12-23T23:15:00Z</dcterms:created>
  <dcterms:modified xsi:type="dcterms:W3CDTF">2013-12-23T23:15:00Z</dcterms:modified>
  <cp:category/>
</cp:coreProperties>
</file>