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5"/>
      <w:commentRangeStart w:id="11"/>
      <w:commentRangeStart w:id="16"/>
      <w:r>
        <w:rPr>
          <w:b/>
        </w:rPr>
        <w:t>Just-DNA-Lite: a Local-First, Open-Source Platform for Personal Genome Annotation and Polygenic Risk Scoring</w:t>
      </w:r>
      <w:commentRangeEnd w:id="16"/>
      <w:r>
        <w:rPr>
          <w:rStyle w:val="CommentReference"/>
        </w:rPr>
        <w:commentReference w:id="16"/>
      </w:r>
      <w:commentRangeEnd w:id="11"/>
      <w:r>
        <w:rPr>
          <w:rStyle w:val="CommentReference"/>
        </w:rPr>
        <w:commentReference w:id="11"/>
      </w:r>
      <w:commentRangeEnd w:id="5"/>
      <w:r>
        <w:rPr>
          <w:rStyle w:val="CommentReference"/>
        </w:rPr>
        <w:commentReference w:id="5"/>
      </w:r>
    </w:p>
    <w:p>
      <w:pPr>
        <w:pStyle w:val="Quote"/>
      </w:pPr>
      <w:r>
        <w:rPr>
          <w:b/>
        </w:rPr>
        <w:t>Draft v0.6 (Paper 1 of 2).</w:t>
      </w:r>
      <w:r>
        <w:rPr/>
        <w:t xml:space="preserve"> This is the platform paper: the local-first platform and the compute engines it runs — the annotation pipeline, the just-prs computation library </w:t>
      </w:r>
      <w:r>
        <w:rPr>
          <w:b/>
        </w:rPr>
        <w:t xml:space="preserve">and its </w:t>
      </w:r>
      <w:r>
        <w:rPr>
          <w:rFonts w:ascii="Consolas" w:hAnsi="Consolas"/>
          <w:b/>
        </w:rPr>
        <w:t>just-prs-mcp</w:t>
      </w:r>
      <w:r>
        <w:rPr>
          <w:b/>
        </w:rPr>
        <w:t xml:space="preserve"> access layer</w:t>
      </w:r>
      <w:r>
        <w:rPr/>
        <w:t xml:space="preserve">, the no-code module format, the web UI, </w:t>
      </w:r>
      <w:r>
        <w:rPr>
          <w:rFonts w:ascii="Consolas" w:hAnsi="Consolas"/>
        </w:rPr>
        <w:t>just-dna-format</w:t>
      </w:r>
      <w:r>
        <w:rPr/>
        <w:t>, and the module registry.</w:t>
      </w:r>
      <w:r>
        <w:rPr/>
        <w:t xml:space="preserve"> The boundary with the companion paper is </w:t>
      </w:r>
      <w:r>
        <w:rPr>
          <w:i/>
        </w:rPr>
        <w:t>consuming</w:t>
      </w:r>
      <w:r>
        <w:rPr/>
        <w:t xml:space="preserve"> versus </w:t>
      </w:r>
      <w:r>
        <w:rPr>
          <w:i/>
        </w:rPr>
        <w:t>authoring</w:t>
      </w:r>
      <w:r>
        <w:rPr/>
        <w:t>: this paper covers how a compiled module or a published score is discovered, computed against a genome, and reported, including from an AI assistant that calls these operations as typed tools.</w:t>
      </w:r>
      <w:r>
        <w:rPr/>
        <w:t xml:space="preserve"> The companion paper covers the other direction — an assistant </w:t>
      </w:r>
      <w:r>
        <w:rPr>
          <w:i/>
        </w:rPr>
        <w:t>producing</w:t>
      </w:r>
      <w:r>
        <w:rPr/>
        <w:t xml:space="preserve"> new annotation content: the authoring plugin, the enrichment and compilation toolchain, and how modules are published and versioned.</w:t>
      </w:r>
      <w:r>
        <w:rPr/>
        <w:t xml:space="preserve"> It is </w:t>
      </w:r>
      <w:r>
        <w:rPr>
          <w:i/>
        </w:rPr>
        <w:t>Creating and Sharing Genomic Annotation Modules with AI: The Just-DNA Ecosystem</w:t>
      </w:r>
      <w:r>
        <w:rPr/>
        <w:t xml:space="preserve"> (entered at EASRP 2026 and not selected for the final, so its journal is still to be chosen; draft mirror: </w:t>
      </w:r>
      <w:r>
        <w:rPr>
          <w:rFonts w:ascii="Consolas" w:hAnsi="Consolas"/>
        </w:rPr>
        <w:t>paper2-just-module-creator.md</w:t>
      </w:r>
      <w:r>
        <w:rPr/>
        <w:t>).</w:t>
      </w:r>
      <w:r>
        <w:rPr/>
        <w:t xml:space="preserve"> See </w:t>
      </w:r>
      <w:r>
        <w:rPr>
          <w:rFonts w:ascii="Consolas" w:hAnsi="Consolas"/>
        </w:rPr>
        <w:t>docs/manuscript/v0.3/manuscript-strategy-v0.3.md</w:t>
      </w:r>
      <w:r>
        <w:rPr/>
        <w:t xml:space="preserve"> and, for venues, </w:t>
      </w:r>
      <w:r>
        <w:rPr>
          <w:rFonts w:ascii="Consolas" w:hAnsi="Consolas"/>
        </w:rPr>
        <w:t>docs/manuscript/manuscript_journal_strategy.md</w:t>
      </w:r>
      <w:r>
        <w:rPr/>
        <w:t xml:space="preserve"> (section "Venues, October 2026").</w:t>
      </w:r>
    </w:p>
    <w:p>
      <w:r>
        <w:rPr>
          <w:b/>
        </w:rPr>
        <w:t>Authors:</w:t>
      </w:r>
      <w:r>
        <w:rPr/>
        <w:t xml:space="preserve"> Kulaga Anton</w:t>
      </w:r>
      <w:r>
        <w:rPr>
          <w:vertAlign w:val="superscript"/>
        </w:rPr>
        <w:t>1,2,†</w:t>
      </w:r>
      <w:r>
        <w:rPr/>
        <w:t>, Usanov Nikolay</w:t>
      </w:r>
      <w:r>
        <w:rPr>
          <w:vertAlign w:val="superscript"/>
        </w:rPr>
        <w:t>3,4,†</w:t>
      </w:r>
      <w:r>
        <w:rPr/>
        <w:t>, Borysova Olga</w:t>
      </w:r>
      <w:r>
        <w:rPr>
          <w:vertAlign w:val="superscript"/>
        </w:rPr>
        <w:t>4</w:t>
      </w:r>
      <w:r>
        <w:rPr/>
        <w:t>, Karmazin Alexey</w:t>
      </w:r>
      <w:r>
        <w:rPr>
          <w:vertAlign w:val="superscript"/>
        </w:rPr>
        <w:t>3,4</w:t>
      </w:r>
      <w:r>
        <w:rPr/>
        <w:t>, Koval Maria</w:t>
      </w:r>
      <w:r>
        <w:rPr>
          <w:vertAlign w:val="superscript"/>
        </w:rPr>
        <w:t>4</w:t>
      </w:r>
      <w:r>
        <w:rPr/>
        <w:t>, Pushkareva Malvina</w:t>
      </w:r>
      <w:r>
        <w:rPr>
          <w:vertAlign w:val="superscript"/>
        </w:rPr>
        <w:t>4</w:t>
      </w:r>
      <w:r>
        <w:rPr/>
        <w:t>, Zaharia Livia</w:t>
      </w:r>
      <w:r>
        <w:rPr>
          <w:vertAlign w:val="superscript"/>
        </w:rPr>
        <w:t>1</w:t>
      </w:r>
      <w:r>
        <w:rPr/>
        <w:t>, Fuellen Georg</w:t>
      </w:r>
      <w:r>
        <w:rPr>
          <w:vertAlign w:val="superscript"/>
        </w:rPr>
        <w:t>1,*</w:t>
      </w:r>
      <w:r>
        <w:rPr/>
        <w:t>, Tacutu Robi</w:t>
      </w:r>
      <w:r>
        <w:rPr>
          <w:vertAlign w:val="superscript"/>
        </w:rPr>
        <w:t>2,*</w:t>
      </w:r>
    </w:p>
    <w:p>
      <w:r>
        <w:rPr>
          <w:b/>
        </w:rPr>
        <w:t>Affiliations:</w:t>
      </w:r>
    </w:p>
    <w:p>
      <w:pPr>
        <w:pStyle w:val="ListNumber"/>
      </w:pPr>
      <w:r>
        <w:rPr/>
        <w:t>Institute for Biostatistics and Informatics in Medicine and Ageing Research, Rostock University Medical Center, Rostock, Germany</w:t>
      </w:r>
    </w:p>
    <w:p>
      <w:pPr>
        <w:pStyle w:val="ListNumber"/>
      </w:pPr>
      <w:r>
        <w:rPr/>
        <w:t>Institute of Biochemistry of the Romanian Academy, Bucharest, Romania</w:t>
      </w:r>
    </w:p>
    <w:p>
      <w:pPr>
        <w:pStyle w:val="ListNumber"/>
      </w:pPr>
      <w:r>
        <w:rPr/>
        <w:t>HEALES (Healthy Life Extension Society)</w:t>
      </w:r>
    </w:p>
    <w:p>
      <w:pPr>
        <w:pStyle w:val="ListNumber"/>
      </w:pPr>
      <w:r>
        <w:rPr/>
        <w:t>SecvADN SRL</w:t>
      </w:r>
    </w:p>
    <w:p>
      <w:r>
        <w:rPr/>
        <w:t>† These authors contributed equally.</w:t>
      </w:r>
      <w:r>
        <w:rPr/>
        <w:t xml:space="preserve"> * Co-supervising authors.</w:t>
      </w:r>
    </w:p>
    <w:p/>
    <w:p>
      <w:pPr>
        <w:pStyle w:val="Heading1"/>
      </w:pPr>
      <w:r>
        <w:rPr>
          <w:b/>
        </w:rPr>
        <w:t>Abstract</w:t>
      </w:r>
    </w:p>
    <w:p>
      <w:commentRangeStart w:id="10"/>
      <w:r>
        <w:rPr/>
        <w:t>Just-DNA-Lite is the core of an open-source ecosystem for reading a personal genome against published evidence on the user's own computer.</w:t>
      </w:r>
      <w:commentRangeEnd w:id="10"/>
      <w:r>
        <w:rPr>
          <w:rStyle w:val="CommentReference"/>
        </w:rPr>
        <w:commentReference w:id="10"/>
      </w:r>
      <w:r>
        <w:rPr/>
        <w:t xml:space="preserve"> Its web platform annotates a whole-genome VCF and computes polygenic risk scores locally, so the genome does not have to be uploaded.</w:t>
      </w:r>
      <w:r>
        <w:rPr/>
        <w:t xml:space="preserve"> Every matched variant links to its reported effect and its sources.</w:t>
      </w:r>
      <w:r>
        <w:rPr/>
        <w:t xml:space="preserve"> What the platform reports comes from modules, versioned tables of variant-trait associations that researchers write without programming.</w:t>
      </w:r>
      <w:r>
        <w:rPr/>
        <w:t xml:space="preserve"> Ready-made modules cover longevity, disease predisposition and drug response.</w:t>
      </w:r>
      <w:r>
        <w:rPr/>
        <w:t xml:space="preserve"> Researchers publish new ones to just-dna-registry, an open registry that works like an app store, where others browse, install and apply them with no software update.</w:t>
      </w:r>
      <w:r>
        <w:rPr/>
        <w:t xml:space="preserve"> The just-module-creator plugin drafts modules from the literature and public databases inside the AI assistant a researcher already uses.</w:t>
      </w:r>
      <w:commentRangeStart w:id="6"/>
      <w:r>
        <w:rPr/>
        <w:t xml:space="preserve"> Polygenic scores come from just-prs, a library that also works on its own.</w:t>
      </w:r>
      <w:commentRangeEnd w:id="6"/>
      <w:r>
        <w:rPr>
          <w:rStyle w:val="CommentReference"/>
        </w:rPr>
        <w:commentReference w:id="6"/>
      </w:r>
      <w:r>
        <w:rPr/>
        <w:t xml:space="preserve"> It places each PGS Catalog score that passes its reference-distribution audit within a reference population matched to the genome's inferred ancestry and shows all models for a trait side by side, so users see where the models agree and differ.</w:t>
      </w:r>
      <w:r>
        <w:rPr/>
        <w:t xml:space="preserve"> AI assistants can also run annotation and scoring through Model Context Protocol servers, and a public demonstration lets anyone try the platform on public genomes.</w:t>
      </w:r>
    </w:p>
    <w:p>
      <w:pPr>
        <w:pStyle w:val="Heading1"/>
      </w:pPr>
      <w:r>
        <w:rPr>
          <w:b/>
        </w:rPr>
        <w:t>1.</w:t>
      </w:r>
      <w:r>
        <w:rPr>
          <w:b/>
        </w:rPr>
        <w:t xml:space="preserve"> Introduction</w:t>
      </w:r>
    </w:p>
    <w:p>
      <w:pPr>
        <w:pStyle w:val="Heading2"/>
      </w:pPr>
      <w:r>
        <w:rPr>
          <w:b/>
        </w:rPr>
        <w:t>1.1 Background and Significance</w:t>
      </w:r>
    </w:p>
    <w:p>
      <w:r>
        <w:rPr/>
        <w:t>Researchers and individuals who receive raw variant files (VCFs) containing millions of variants</w:t>
      </w:r>
      <w:r>
        <w:rPr/>
        <w:t xml:space="preserve"> </w:t>
      </w:r>
      <w:r>
        <w:rPr/>
        <w:t>can find it hard to annotate them against published databases without bioinformatics and programming expertise (Chen et al., 2023), and acquiring that expertise takes time away from the questions they set out to answer.</w:t>
      </w:r>
      <w:r>
        <w:rPr/>
        <w:t xml:space="preserve"> Many consumers who download their raw data from a testing company take it to third-party interpretation tools (Nelson et al., 2019; O'Daniel et al., 2025).</w:t>
      </w:r>
    </w:p>
    <w:p>
      <w:r>
        <w:rPr/>
        <w:t>Several companies now offer direct-to-consumer sequencing services (O'Daniel et al., 2025).</w:t>
      </w:r>
      <w:r>
        <w:rPr/>
        <w:t xml:space="preserve"> The National Human Genome Research Institute (NHGRI) estimates that the first human genome cost US$500 million to US$1 billion (NHGRI, 2021).</w:t>
      </w:r>
      <w:r>
        <w:rPr/>
        <w:t xml:space="preserve"> By 2025, manufacturers advertised the sequencing of a human genome for US$80 to US$200 (Illumina, 2023; Ultima Genomics, 2025).</w:t>
      </w:r>
      <w:r>
        <w:rPr/>
        <w:t xml:space="preserve"> Clinical laboratory studies report higher costs after including labour, computing and analysis, with estimates depending on the workflow and costing scope (Mordaunt et al., 2024; Ehman et al., 2025).</w:t>
      </w:r>
    </w:p>
    <w:p>
      <w:r>
        <w:rPr/>
        <w:t>Existing solutions generally belong to two extremes.</w:t>
      </w:r>
      <w:r>
        <w:rPr/>
        <w:t xml:space="preserve"> Commercial platforms such as DNA Complete (formerly Nebula Genomics) and Dante Labs provide curated reports, but the curation is opaque: users cannot verify which polymorphisms contributed to a score, whether the methodology is appropriate for their ancestry, or how findings were weighted.</w:t>
      </w:r>
      <w:r>
        <w:rPr/>
        <w:t xml:space="preserve"> At the other end, research-grade tools like PLINK (Chang et al., 2015), ANNOVAR (Wang et al., 2010) and VEP (McLaren et al., 2016) are powerful but demand command-line proficiency and a lengthy setup.</w:t>
      </w:r>
      <w:r>
        <w:rPr/>
        <w:t xml:space="preserve"> Open-source projects between these extremes each cover part of the task, such as local annotation with installable modules, ancestry-normalized scoring of models from the PGS Catalog, the open database of published polygenic scores, or access to a genome from an AI assistant.</w:t>
      </w:r>
      <w:r>
        <w:rPr/>
        <w:t xml:space="preserve"> Table S7 compares the documented features of 23 tools for personal-genome annotation, polygenic scoring and AI-assisted interpretation; none of them documents a graphical interface, annotation sets added without code, PGS Catalog scoring and ancestry-matched percentiles together.</w:t>
      </w:r>
    </w:p>
    <w:p>
      <w:r>
        <w:rPr/>
        <w:t>Recent progress in the genetics of longevity illustrates the need for such extensible annotation tools.</w:t>
      </w:r>
      <w:r>
        <w:rPr/>
        <w:t xml:space="preserve"> After correction for extrinsic mortality, the intrinsic heritability of lifespan has been estimated at about 50%, against 20–25% in twin studies (Shenhar et al., 2026).</w:t>
      </w:r>
      <w:r>
        <w:rPr/>
        <w:t xml:space="preserve"> Genetic association studies have repeatedly linked loci such as APOE and FOXO3 to longevity (Broer et al., 2015; Caruso et al., 2022).</w:t>
      </w:r>
      <w:r>
        <w:rPr/>
        <w:t xml:space="preserve"> Databases such as LongevityMap within the Human Ageing Genomic Resources (HAGR) (Tacutu et al., 2018) have compiled thousands of variants tested for association with longevity, but we found no tool that makes it straightforward to annotate a personal VCF against these databases transparently and extensibly.</w:t>
      </w:r>
      <w:r>
        <w:rPr/>
        <w:t xml:space="preserve"> More broadly, variant-trait associations are published faster than any single curation team can integrate them, which supports the case for platforms where new annotation modules can be added rapidly.</w:t>
      </w:r>
    </w:p>
    <w:p>
      <w:r>
        <w:rPr/>
        <w:t>Such a platform has to be easy to use, transparent in its methods and extensible without code.</w:t>
      </w:r>
      <w:r>
        <w:rPr/>
        <w:t xml:space="preserve"> It also has to protect privacy.</w:t>
      </w:r>
      <w:r>
        <w:rPr/>
        <w:t xml:space="preserve"> Genomic data are among the most sensitive personal information, and uploading them to third-party servers carries risks that individuals and regulations such as the General Data Protection Regulation (GDPR) seek to avoid.</w:t>
      </w:r>
    </w:p>
    <w:p>
      <w:pPr>
        <w:pStyle w:val="Heading2"/>
      </w:pPr>
      <w:r>
        <w:rPr>
          <w:b/>
        </w:rPr>
        <w:t>1.2 Overview of Just-DNA-Lite</w:t>
      </w:r>
    </w:p>
    <w:p>
      <w:r>
        <w:rPr/>
        <w:t>Just-DNA-Lite is a local, open-source platform for annotating a personal genome and computing polygenic scores.</w:t>
      </w:r>
      <w:r>
        <w:rPr/>
        <w:t xml:space="preserve"> We developed it as a ground-up rewrite of Just-DNA-Seq (Kulaga et al., 2024), whose first generation (Generation I) was a set of annotation and report modules for OakVar, a Python variant-analysis framework derived from OpenCRAVAT (Pagel et al., 2020).</w:t>
      </w:r>
      <w:r>
        <w:rPr/>
        <w:t xml:space="preserve"> Just-DNA-Lite (Generation II) removes the OakVar dependency entirely and uses a standalone annotation engine.</w:t>
      </w:r>
      <w:r>
        <w:rPr/>
        <w:t xml:space="preserve"> It also replaces Python annotation plugins with declarative modules discoverable from configured sources (Section 2.2).</w:t>
      </w:r>
      <w:r>
        <w:rPr/>
        <w:t xml:space="preserve"> Supplementary S1 describes Generation I.</w:t>
      </w:r>
    </w:p>
    <w:p>
      <w:r>
        <w:rPr/>
        <w:t>The resulting workflow lets users choose published annotation content, apply it to their own genome and inspect the evidence behind the report.</w:t>
      </w:r>
      <w:r>
        <w:rPr/>
        <w:t xml:space="preserve"> The reusable just-prs scoring library adds polygenic scores and reference-population comparisons to the same web interface.</w:t>
      </w:r>
      <w:r>
        <w:rPr/>
        <w:t xml:space="preserve"> Researchers can contribute new annotation modules through the open-source registry, and Model Context Protocol (MCP) servers let AI assistants call the annotation and scoring operations as tools instead of writing their own analysis code.</w:t>
      </w:r>
      <w:r>
        <w:rPr/>
        <w:t xml:space="preserve"> People with different needs enter this workflow at different points: the main features are listed below, and Box 1 names the user groups and where each starts.</w:t>
      </w:r>
    </w:p>
    <w:p>
      <w:r>
        <w:rPr>
          <w:b/>
        </w:rPr>
        <w:t>Key features.</w:t>
      </w:r>
    </w:p>
    <w:p>
      <w:pPr>
        <w:pStyle w:val="ListBullet"/>
      </w:pPr>
      <w:r>
        <w:rPr>
          <w:b/>
        </w:rPr>
        <w:t>A cleaned PGS Catalog, ready to use.</w:t>
      </w:r>
      <w:r>
        <w:rPr/>
        <w:t xml:space="preserve"> just-prs mirrors the PGS Catalog's harmonized scoring files as Parquet, with cleaned metadata in which genome-build labels are normalized and published performance metrics are parsed into numbers.</w:t>
      </w:r>
      <w:r>
        <w:rPr/>
        <w:t xml:space="preserve"> Its reference distributions cover 6,117 scores for 778 traits in five 1000 Genomes superpopulations.</w:t>
      </w:r>
      <w:r>
        <w:rPr/>
        <w:t xml:space="preserve"> Each result gives its percentile in the reference population matched to the genome's inferred ancestry, its coverage and a quality label (Section 3.2).</w:t>
      </w:r>
      <w:r>
        <w:rPr/>
        <w:t xml:space="preserve"> Each distribution is audited before release; 860 scores were withheld, 847 of them because most of seven public test genomes fell in the outermost 1% of the reference distribution with scores off its scale, which shows that a real genome's score would not be on the reference scale.</w:t>
      </w:r>
    </w:p>
    <w:p>
      <w:pPr>
        <w:pStyle w:val="ListBullet"/>
      </w:pPr>
      <w:r>
        <w:rPr>
          <w:b/>
        </w:rPr>
        <w:t>An app store for annotation modules.</w:t>
      </w:r>
      <w:r>
        <w:rPr/>
        <w:t xml:space="preserve"> Modules are data: versioned tables of variant-trait associations with their sources, written as CSV and YAML without code.</w:t>
      </w:r>
      <w:r>
        <w:rPr/>
        <w:t xml:space="preserve"> Researchers publish them to just-dna-registry, and users browse them in the web interface's Module Catalog (Figure 1a), install them and apply them to their genome, with no new software release.</w:t>
      </w:r>
      <w:r>
        <w:rPr/>
        <w:t xml:space="preserve"> On 26 October 2026 the registry held 24 modules from five publishing accounts, the ten defaults of Table 1 and fourteen others (Section 3.4).</w:t>
      </w:r>
    </w:p>
    <w:p>
      <w:pPr>
        <w:pStyle w:val="ListBullet"/>
      </w:pPr>
      <w:r>
        <w:rPr>
          <w:b/>
        </w:rPr>
        <w:t>Fast.</w:t>
      </w:r>
      <w:commentRangeStart w:id="3"/>
      <w:r>
        <w:rPr/>
        <w:t xml:space="preserve"> On one workstation, a whole genome is annotated with the ten default modules in 33 to 65 s, 128 to 231 times faster than Generation I's configured workflow (which also runs database annotators), and a rerun on an already normalized genome takes 16 to 20 s.</w:t>
      </w:r>
      <w:commentRangeEnd w:id="3"/>
      <w:r>
        <w:rPr>
          <w:rStyle w:val="CommentReference"/>
        </w:rPr>
        <w:commentReference w:id="3"/>
      </w:r>
      <w:r>
        <w:rPr/>
        <w:t xml:space="preserve"> just-prs computes a polygenic score in a median of 0.08 s.</w:t>
      </w:r>
      <w:r>
        <w:rPr/>
        <w:t xml:space="preserve"> In our benchmark configuration, in which PLINK2 was started once per score on four threads and just-prs used sixteen, that is about seven times faster than PLINK2 (Section 4).</w:t>
      </w:r>
    </w:p>
    <w:p>
      <w:pPr>
        <w:pStyle w:val="ListBullet"/>
      </w:pPr>
      <w:r>
        <w:rPr>
          <w:b/>
        </w:rPr>
        <w:t>Three ways in.</w:t>
      </w:r>
      <w:r>
        <w:rPr/>
        <w:t xml:space="preserve"> The same operations are available from a web interface; from AI assistants (Claude Code, Codex, Cursor and other MCP clients) through two MCP servers and installable plugin skills; and from Python libraries and command-line tools published on PyPI (just-prs, prs-ui, just-dna-format, just-dna-compiler and the just-dna-registry client).</w:t>
      </w:r>
    </w:p>
    <w:p>
      <w:pPr>
        <w:pStyle w:val="ListBullet"/>
      </w:pPr>
      <w:r>
        <w:rPr>
          <w:b/>
        </w:rPr>
        <w:t>Evidence a reader can follow.</w:t>
      </w:r>
      <w:r>
        <w:rPr/>
        <w:t xml:space="preserve"> Each matched variant in a report leads to its reported effect, the module's conclusion and its sources, and each polygenic score to its PGS Catalog model, coverage and reference population (Figures 1b, 2 and 3).</w:t>
      </w:r>
    </w:p>
    <w:p>
      <w:pPr>
        <w:pStyle w:val="ListBullet"/>
      </w:pPr>
      <w:r>
        <w:rPr>
          <w:b/>
        </w:rPr>
        <w:t>Local.</w:t>
      </w:r>
      <w:r>
        <w:rPr/>
        <w:t xml:space="preserve"> Annotation and scoring run on the user's computer.</w:t>
      </w:r>
      <w:r>
        <w:rPr/>
        <w:t xml:space="preserve"> Reference data are downloaded; the genome is not uploaded (Section 5.2).</w:t>
      </w:r>
    </w:p>
    <w:p>
      <w:r>
        <w:rPr>
          <w:b/>
        </w:rPr>
        <w:t>Box 1.</w:t>
      </w:r>
      <w:r>
        <w:rPr/>
        <w:t xml:space="preserve"> Who Just-DNA-Lite is for, and where each user starts.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User</w:t>
            </w:r>
          </w:p>
        </w:tc>
        <w:tc>
          <w:tcPr>
            <w:tcW w:type="dxa" w:w="2880"/>
          </w:tcPr>
          <w:p>
            <w:r>
              <w:rPr>
                <w:b/>
              </w:rPr>
              <w:t>What they can do</w:t>
            </w:r>
          </w:p>
        </w:tc>
        <w:tc>
          <w:tcPr>
            <w:tcW w:type="dxa" w:w="2880"/>
          </w:tcPr>
          <w:p>
            <w:r>
              <w:rPr>
                <w:b/>
              </w:rPr>
              <w:t>Where to start</w:t>
            </w:r>
          </w:p>
        </w:tc>
      </w:tr>
      <w:tr>
        <w:tc>
          <w:tcPr>
            <w:tcW w:type="dxa" w:w="2880"/>
          </w:tcPr>
          <w:p>
            <w:r>
              <w:rPr/>
              <w:t>People with a genome from a sequencing provider</w:t>
            </w:r>
          </w:p>
        </w:tc>
        <w:tc>
          <w:tcPr>
            <w:tcW w:type="dxa" w:w="2880"/>
          </w:tcPr>
          <w:p>
            <w:r>
              <w:rPr/>
              <w:t>Read their own VCF (on the GRCh38 human reference genome) against longevity, disease-predisposition, drug-response and other modules, and see where they fall for thousands of polygenic scores, with the studies and models behind each result, without uploading the genome</w:t>
            </w:r>
          </w:p>
        </w:tc>
        <w:tc>
          <w:tcPr>
            <w:tcW w:type="dxa" w:w="2880"/>
          </w:tcPr>
          <w:p>
            <w:r>
              <w:rPr/>
              <w:t>The web interface installed on their own computer, after trying the public demonstration</w:t>
            </w:r>
          </w:p>
        </w:tc>
      </w:tr>
      <w:tr>
        <w:tc>
          <w:tcPr>
            <w:tcW w:type="dxa" w:w="2880"/>
          </w:tcPr>
          <w:p>
            <w:r>
              <w:rPr/>
              <w:t>Researchers in ageing, genetics or a trait domain</w:t>
            </w:r>
          </w:p>
        </w:tc>
        <w:tc>
          <w:tcPr>
            <w:tcW w:type="dxa" w:w="2880"/>
          </w:tcPr>
          <w:p>
            <w:r>
              <w:rPr/>
              <w:t>Turn a curated variant list or a literature review into a versioned module that others can install; apply published modules to study genomes; compare all available models for a trait side by side</w:t>
            </w:r>
          </w:p>
        </w:tc>
        <w:tc>
          <w:tcPr>
            <w:tcW w:type="dxa" w:w="2880"/>
          </w:tcPr>
          <w:p>
            <w:r>
              <w:rPr/>
              <w:t>The module format (CSV and YAML) or the just-module-creator plugin in their AI assistant; the registry</w:t>
            </w:r>
          </w:p>
        </w:tc>
      </w:tr>
      <w:tr>
        <w:tc>
          <w:tcPr>
            <w:tcW w:type="dxa" w:w="2880"/>
          </w:tcPr>
          <w:p>
            <w:r>
              <w:rPr/>
              <w:t>Bioinformaticians and software developers</w:t>
            </w:r>
          </w:p>
        </w:tc>
        <w:tc>
          <w:tcPr>
            <w:tcW w:type="dxa" w:w="2880"/>
          </w:tcPr>
          <w:p>
            <w:r>
              <w:rPr/>
              <w:t>Use scoring, percentiles, ancestry inference and the module format inside their own pipelines; read every result as Parquet in Python, R or DuckDB</w:t>
            </w:r>
          </w:p>
        </w:tc>
        <w:tc>
          <w:tcPr>
            <w:tcW w:type="dxa" w:w="2880"/>
          </w:tcPr>
          <w:p>
            <w:r>
              <w:rPr/>
              <w:t>The PyPI libraries and command-line tools; the MCP servers</w:t>
            </w:r>
          </w:p>
        </w:tc>
      </w:tr>
      <w:tr>
        <w:tc>
          <w:tcPr>
            <w:tcW w:type="dxa" w:w="2880"/>
          </w:tcPr>
          <w:p>
            <w:r>
              <w:rPr/>
              <w:t>Users of AI assistants</w:t>
            </w:r>
          </w:p>
        </w:tc>
        <w:tc>
          <w:tcPr>
            <w:tcW w:type="dxa" w:w="2880"/>
          </w:tcPr>
          <w:p>
            <w:r>
              <w:rPr/>
              <w:t>Ask in plain language while the assistant runs annotation and scoring through typed tools and reads the results, instead of writing its own analysis code</w:t>
            </w:r>
          </w:p>
        </w:tc>
        <w:tc>
          <w:tcPr>
            <w:tcW w:type="dxa" w:w="2880"/>
          </w:tcPr>
          <w:p>
            <w:r>
              <w:rPr/>
              <w:t>The two MCP servers and the plugin skills</w:t>
            </w:r>
          </w:p>
        </w:tc>
      </w:tr>
      <w:tr>
        <w:tc>
          <w:tcPr>
            <w:tcW w:type="dxa" w:w="2880"/>
          </w:tcPr>
          <w:p>
            <w:r>
              <w:rPr/>
              <w:t>Educators and students</w:t>
            </w:r>
          </w:p>
        </w:tc>
        <w:tc>
          <w:tcPr>
            <w:tcW w:type="dxa" w:w="2880"/>
          </w:tcPr>
          <w:p>
            <w:r>
              <w:rPr/>
              <w:t>Show how variant annotation and polygenic scores work, and where models disagree, on real public genomes</w:t>
            </w:r>
          </w:p>
        </w:tc>
        <w:tc>
          <w:tcPr>
            <w:tcW w:type="dxa" w:w="2880"/>
          </w:tcPr>
          <w:p>
            <w:r>
              <w:rPr/>
              <w:t>The hosted demonstration (https://lite.just-dna.life/), which uses public genomes only</w:t>
            </w:r>
          </w:p>
        </w:tc>
      </w:tr>
    </w:tbl>
    <w:p>
      <w:pPr>
        <w:pStyle w:val="Heading1"/>
      </w:pPr>
      <w:r>
        <w:rPr>
          <w:b/>
        </w:rPr>
        <w:t>2.</w:t>
      </w:r>
      <w:r>
        <w:rPr>
          <w:b/>
        </w:rPr>
        <w:t xml:space="preserve"> System and Methods: Platform Architecture</w:t>
      </w:r>
    </w:p>
    <w:p>
      <w:r>
        <w:rPr/>
        <w:t>The architecture separates local computation, annotation content and user interfaces.</w:t>
      </w:r>
      <w:r>
        <w:rPr/>
        <w:t xml:space="preserve"> The pipeline reads modules as data artifacts, so the catalogue can change independently of the application code, and columnar storage with streaming operations limits memory use.</w:t>
      </w:r>
      <w:r>
        <w:rPr/>
        <w:t xml:space="preserve"> A web application is the main interface, and typed MCP tools serve AI assistants (Section 3.2.1).</w:t>
      </w:r>
    </w:p>
    <w:p>
      <w:pPr>
        <w:pStyle w:val="Heading2"/>
      </w:pPr>
      <w:r>
        <w:rPr>
          <w:b/>
        </w:rPr>
        <w:t>2.1 Annotation Pipeline</w:t>
      </w:r>
    </w:p>
    <w:p>
      <w:r>
        <w:rPr/>
        <w:t>The standalone annotation engine uses polars-bio for VCF reading (a genomics library with a Polars interface; Wiewiórka et al., 2025), Polars for columnar processing and DuckDB for out-of-core joins.</w:t>
      </w:r>
    </w:p>
    <w:p>
      <w:r>
        <w:rPr/>
        <w:t>The pipeline is built from Dagster (Dagster Labs, 2026) software-defined assets, which record data lineage and, for every step, its duration, CPU use and resident memory at the step's start and end.</w:t>
      </w:r>
      <w:r>
        <w:rPr/>
        <w:t xml:space="preserve"> An annotation run proceeds as follows:</w:t>
      </w:r>
    </w:p>
    <w:p>
      <w:pPr>
        <w:pStyle w:val="ListNumber"/>
      </w:pPr>
      <w:r>
        <w:rPr>
          <w:b/>
        </w:rPr>
        <w:t>VCF ingestion.</w:t>
      </w:r>
      <w:r>
        <w:rPr/>
        <w:t xml:space="preserve"> The user supplies a VCF or VCF.gz file on the GRCh38 reference (the build is not checked; Section 5.4), as delivered by a sequencing provider, downloaded from a public genome repository or produced by their own pipeline; Just-DNA-Lite does not perform sequencing, alignment or variant calling.</w:t>
      </w:r>
      <w:r>
        <w:rPr/>
        <w:t xml:space="preserve"> The file is read with polars-bio, "a Python library that enables fast, parallel and out-of-core operations on large genomic interval datasets" (Wiewiórka et al., 2025).</w:t>
      </w:r>
    </w:p>
    <w:p>
      <w:pPr>
        <w:pStyle w:val="ListNumber"/>
      </w:pPr>
      <w:r>
        <w:rPr>
          <w:b/>
        </w:rPr>
        <w:t>Normalization.</w:t>
      </w:r>
      <w:r>
        <w:rPr/>
        <w:t xml:space="preserve"> The raw VCF undergoes quality filtering (configurable via </w:t>
      </w:r>
      <w:r>
        <w:rPr>
          <w:rFonts w:ascii="Consolas" w:hAnsi="Consolas"/>
        </w:rPr>
        <w:t>modules.yaml</w:t>
      </w:r>
      <w:r>
        <w:rPr/>
        <w:t>): only variants passing specified FILTER values (by default, PASS and ".") are retained, with minimum depth (DP ≥ 10) and quality (QUAL ≥ 20) thresholds that are on by default and can be turned off.</w:t>
      </w:r>
      <w:r>
        <w:rPr/>
        <w:t xml:space="preserve"> A passing record that states no depth or quality is judged by its FILTER value alone.</w:t>
      </w:r>
      <w:r>
        <w:rPr/>
        <w:t xml:space="preserve"> Chromosome names lose their "chr" prefix ("chr7" becomes "7") for consistency with annotation databases, and the module join matches the mitochondrial genome whether the VCF names it "chrM", "M" or "MT".</w:t>
      </w:r>
      <w:r>
        <w:rPr/>
        <w:t xml:space="preserve"> The normalized data are written as a Parquet file, which is the shared input for all downstream annotations.</w:t>
      </w:r>
    </w:p>
    <w:p>
      <w:pPr>
        <w:pStyle w:val="ListNumber"/>
      </w:pPr>
      <w:r>
        <w:rPr>
          <w:b/>
        </w:rPr>
        <w:t>Module annotation.</w:t>
      </w:r>
      <w:r>
        <w:rPr/>
        <w:t xml:space="preserve"> For each selected annotation module, the pipeline performs a streaming join between the normalized VCF Parquet and the module's lead table, the table that lists its variants and their genotypes (for most modules, </w:t>
      </w:r>
      <w:r>
        <w:rPr>
          <w:rFonts w:ascii="Consolas" w:hAnsi="Consolas"/>
        </w:rPr>
        <w:t>weights.parquet</w:t>
      </w:r>
      <w:r>
        <w:rPr/>
        <w:t>).</w:t>
      </w:r>
      <w:r>
        <w:rPr/>
        <w:t xml:space="preserve"> The join is by chromosome, position and genotype, with the reference allele required to agree where the module states one.</w:t>
      </w:r>
      <w:r>
        <w:rPr/>
        <w:t xml:space="preserve"> Genotypes, the alleles the sample carries, are compared as written, so an insertion or deletion (indel), which can be written in more than one way, matches only when the VCF and the module write it the same way.</w:t>
      </w:r>
      <w:r>
        <w:rPr/>
        <w:t xml:space="preserve"> An empty disease-predisposition section therefore does not show that the genome carries none of the module's indels.</w:t>
      </w:r>
      <w:r>
        <w:rPr/>
        <w:t xml:space="preserve"> Older modules without coordinates are joined by rsID and genotype; such a module is listed as not read, with the reason, when the VCF carries no rsIDs.</w:t>
      </w:r>
      <w:r>
        <w:rPr/>
        <w:t xml:space="preserve"> The module joins use Polars streaming execution.</w:t>
      </w:r>
      <w:r>
        <w:rPr/>
        <w:t xml:space="preserve"> The optional Ensembl annotation uses DuckDB with configurable memory limits.</w:t>
      </w:r>
    </w:p>
    <w:p>
      <w:pPr>
        <w:pStyle w:val="ListNumber"/>
      </w:pPr>
      <w:r>
        <w:rPr>
          <w:b/>
        </w:rPr>
        <w:t>Ensembl annotation (optional).</w:t>
      </w:r>
      <w:r>
        <w:rPr/>
        <w:t xml:space="preserve"> When enabled, the pipeline also joins the normalized VCF against the Ensembl Variation database (Dyer et al., 2025).</w:t>
      </w:r>
      <w:r>
        <w:rPr/>
        <w:t xml:space="preserve"> For each variant, it adds clinical-significance flags, the variant class (such as single-nucleotide variant [SNV], insertion or deletion) and cross-references (the rsID and the sources that list the variant).</w:t>
      </w:r>
      <w:r>
        <w:rPr/>
        <w:t xml:space="preserve"> The database is cached locally as chromosome-level Parquet files, downloaded from HuggingFace and checked against each file's published size and SHA-256.</w:t>
      </w:r>
    </w:p>
    <w:p>
      <w:pPr>
        <w:pStyle w:val="ListNumber"/>
      </w:pPr>
      <w:r>
        <w:rPr>
          <w:b/>
        </w:rPr>
        <w:t>Report generation.</w:t>
      </w:r>
      <w:r>
        <w:rPr/>
        <w:t xml:space="preserve"> Annotated results are written as Parquet files and rendered as downloadable HTML reports, which a browser can print to PDF.</w:t>
      </w:r>
    </w:p>
    <w:p>
      <w:r>
        <w:rPr/>
        <w:t>The current annotation engine also distinguishes called genotypes from inferred homozygous-reference genotypes.</w:t>
      </w:r>
      <w:r>
        <w:rPr/>
        <w:t xml:space="preserve"> A variant-only call set has no record where the genome carries the reference allele on both copies, so a module row for that homozygous-reference genotype finds nothing to match.</w:t>
      </w:r>
      <w:r>
        <w:rPr/>
        <w:t xml:space="preserve"> For variant-only call sets classified as whole-genome, the engine can restore a module's authored reference-genotype rows at sites the caller did not emit.</w:t>
      </w:r>
      <w:r>
        <w:rPr/>
        <w:t xml:space="preserve"> Reports label restored rows as inferred and show their number on its own; the report's totals, positive and negative counts and summed weight include them.</w:t>
      </w:r>
      <w:r>
        <w:rPr/>
        <w:t xml:space="preserve"> A restored site must lie within a set distance of a called variant, and nearby calls do not establish per-base callability.</w:t>
      </w:r>
      <w:r>
        <w:rPr/>
        <w:t xml:space="preserve"> Supplementary S12 gives the whole-genome classification thresholds, distance limit and exclusion rules.</w:t>
      </w:r>
      <w:r>
        <w:rPr/>
        <w:t xml:space="preserve"> This annotation procedure is distinct from the optional restoration in polygenic risk score (PRS) computation described in Section 3.2.</w:t>
      </w:r>
    </w:p>
    <w:p>
      <w:pPr>
        <w:pStyle w:val="Heading2"/>
      </w:pPr>
      <w:r>
        <w:rPr>
          <w:b/>
        </w:rPr>
        <w:t>2.2 Annotation Modules as Data</w:t>
      </w:r>
    </w:p>
    <w:p>
      <w:r>
        <w:rPr/>
        <w:t>In Just-DNA-Lite, annotation modules are data, not executable plugins: the annotation engine reads their published Parquet tables directly.</w:t>
      </w:r>
      <w:r>
        <w:rPr/>
        <w:t xml:space="preserve"> A typical weighted-association module contains </w:t>
      </w:r>
      <w:r>
        <w:rPr>
          <w:rFonts w:ascii="Consolas" w:hAnsi="Consolas"/>
        </w:rPr>
        <w:t>weights.parquet</w:t>
      </w:r>
      <w:r>
        <w:rPr/>
        <w:t xml:space="preserve">, with accompanying </w:t>
      </w:r>
      <w:r>
        <w:rPr>
          <w:rFonts w:ascii="Consolas" w:hAnsi="Consolas"/>
        </w:rPr>
        <w:t>annotations.parquet</w:t>
      </w:r>
      <w:r>
        <w:rPr/>
        <w:t xml:space="preserve"> and </w:t>
      </w:r>
      <w:r>
        <w:rPr>
          <w:rFonts w:ascii="Consolas" w:hAnsi="Consolas"/>
        </w:rPr>
        <w:t>studies.parquet</w:t>
      </w:r>
      <w:r>
        <w:rPr/>
        <w:t xml:space="preserve"> when available; other module families have a different lead table.</w:t>
      </w:r>
    </w:p>
    <w:p>
      <w:r>
        <w:rPr/>
        <w:t xml:space="preserve">For researchers creating new modules, a separate authoring route accepts </w:t>
      </w:r>
      <w:r>
        <w:rPr>
          <w:rFonts w:ascii="Consolas" w:hAnsi="Consolas"/>
        </w:rPr>
        <w:t>module_spec.yaml</w:t>
      </w:r>
      <w:r>
        <w:rPr/>
        <w:t xml:space="preserve"> and CSV tables such as </w:t>
      </w:r>
      <w:r>
        <w:rPr>
          <w:rFonts w:ascii="Consolas" w:hAnsi="Consolas"/>
        </w:rPr>
        <w:t>variants.csv</w:t>
      </w:r>
      <w:r>
        <w:rPr/>
        <w:t xml:space="preserve"> and </w:t>
      </w:r>
      <w:r>
        <w:rPr>
          <w:rFonts w:ascii="Consolas" w:hAnsi="Consolas"/>
        </w:rPr>
        <w:t>studies.csv</w:t>
      </w:r>
      <w:r>
        <w:rPr/>
        <w:t>.</w:t>
      </w:r>
      <w:r>
        <w:rPr/>
        <w:t xml:space="preserve"> The </w:t>
      </w:r>
      <w:r>
        <w:rPr>
          <w:rFonts w:ascii="Consolas" w:hAnsi="Consolas"/>
        </w:rPr>
        <w:t>just-dna-compiler</w:t>
      </w:r>
      <w:r>
        <w:rPr/>
        <w:t xml:space="preserve"> library validates and compiles these specifications into Parquet artifacts and a manifest during custom-module registration.</w:t>
      </w:r>
      <w:r>
        <w:rPr/>
        <w:t xml:space="preserve"> Documentation and thumbnails may accompany the module.</w:t>
      </w:r>
      <w:r>
        <w:rPr/>
        <w:t xml:space="preserve"> This route lets authors prepare annotation content without writing Python code.</w:t>
      </w:r>
      <w:r>
        <w:rPr/>
        <w:t xml:space="preserve"> CSV files are used only for authoring: at runtime the platform reads the compiled Parquet tables, so existing Parquet modules need no CSV files.</w:t>
      </w:r>
    </w:p>
    <w:p>
      <w:r>
        <w:rPr/>
        <w:t xml:space="preserve">The </w:t>
      </w:r>
      <w:r>
        <w:rPr>
          <w:rFonts w:ascii="Consolas" w:hAnsi="Consolas"/>
        </w:rPr>
        <w:t>just-dna-format</w:t>
      </w:r>
      <w:r>
        <w:rPr/>
        <w:t xml:space="preserve"> library defines the authored specification and the manifest, integrity and versioning contract of compiled artifacts.</w:t>
      </w:r>
      <w:r>
        <w:rPr/>
        <w:t xml:space="preserve"> Discovery reads a module's declared files from its manifest, or finds the tables directly in older Parquet modules that have none.</w:t>
      </w:r>
    </w:p>
    <w:p>
      <w:r>
        <w:rPr/>
        <w:t xml:space="preserve">Module discovery uses sources configured in </w:t>
      </w:r>
      <w:r>
        <w:rPr>
          <w:rFonts w:ascii="Consolas" w:hAnsi="Consolas"/>
        </w:rPr>
        <w:t>modules.yaml</w:t>
      </w:r>
      <w:r>
        <w:rPr/>
        <w:t>, with repository defaults and a local working copy for runtime changes.</w:t>
      </w:r>
      <w:r>
        <w:rPr/>
        <w:t xml:space="preserve"> Sources may include HuggingFace datasets, GitHub repositories, HTTP/HTTPS servers, cloud storage or local paths accessible through fsspec.</w:t>
      </w:r>
      <w:r>
        <w:rPr/>
        <w:t xml:space="preserve"> The open-source </w:t>
      </w:r>
      <w:r>
        <w:rPr>
          <w:rFonts w:ascii="Consolas" w:hAnsi="Consolas"/>
        </w:rPr>
        <w:t>just-dna-registry</w:t>
      </w:r>
      <w:r>
        <w:rPr/>
        <w:t xml:space="preserve"> service (https://module-registry.just-dna.life) lets users submit and share their own annotation modules and browse and retrieve versioned modules contributed by others.</w:t>
      </w:r>
      <w:r>
        <w:rPr/>
        <w:t xml:space="preserve"> Artifact manifests provide identity and integrity information.</w:t>
      </w:r>
      <w:r>
        <w:rPr/>
        <w:t xml:space="preserve"> The platform records the digest each module states but does not yet recompute it when it discovers or installs a module; such a check would establish that downloaded content matches the recorded artifact, not that its scientific claims are correct.</w:t>
      </w:r>
    </w:p>
    <w:p>
      <w:pPr>
        <w:pStyle w:val="Heading2"/>
      </w:pPr>
      <w:r>
        <w:rPr>
          <w:b/>
        </w:rPr>
        <w:t>2.3 Web Interface and Self-Exploration</w:t>
      </w:r>
    </w:p>
    <w:p>
      <w:r>
        <w:rPr/>
        <w:t>The interface covers file management, module selection (including the optional Ensembl annotation), a sortable and filterable results grid, report download (one HTML report per run, with a section for each selected module), self-exploration and a Module Catalog from which registry modules are installed (Figure 1a).</w:t>
      </w:r>
      <w:r>
        <w:rPr/>
        <w:t xml:space="preserve"> Each report section opens with summary counts, and each matched variant opens to the module's conclusion and its sources (Figure 1b).</w:t>
      </w:r>
      <w:r>
        <w:rPr/>
        <w:t xml:space="preserve"> Users can browse the full variant table with sorting, filtering and search, cross-referenced against Ensembl for clinical-significance flags, the variant class and whether a phenotype or disease association is recorded.</w:t>
      </w:r>
      <w:r>
        <w:rPr/>
        <w:t xml:space="preserve"> All data can be exported as Parquet for downstream analysis in Python, R, DuckDB or any Arrow-compatible tool.</w:t>
      </w:r>
      <w:r>
        <w:rPr/>
        <w:t xml:space="preserve"> The web interface is built with Reflex (Reflex, 2026), a Python framework that compiles to React; the whole interface is written in Python.</w:t>
      </w:r>
    </w:p>
    <w:p>
      <w:r>
        <w:rPr/>
        <w:t>Users can install and run the web interface on their own computers to analyse their personal genomes locally.</w:t>
      </w:r>
      <w:commentRangeStart w:id="2"/>
      <w:r>
        <w:rPr/>
        <w:t xml:space="preserve"> A hosted demonstration at https://lite.just-dna.life/ provides access using public genomic data only; uploads of private genome files are disabled in this deployment.</w:t>
      </w:r>
      <w:commentRangeEnd w:id="2"/>
      <w:r>
        <w:rPr>
          <w:rStyle w:val="CommentReference"/>
        </w:rPr>
        <w:commentReference w:id="2"/>
      </w:r>
    </w:p>
    <w:p>
      <w:r>
        <w:drawing>
          <wp:inline xmlns:a="http://schemas.openxmlformats.org/drawingml/2006/main" xmlns:pic="http://schemas.openxmlformats.org/drawingml/2006/picture">
            <wp:extent cx="5486400" cy="6990430"/>
            <wp:docPr id="1" name="Picture 1"/>
            <wp:cNvGraphicFramePr>
              <a:graphicFrameLocks noChangeAspect="1"/>
            </wp:cNvGraphicFramePr>
            <a:graphic>
              <a:graphicData uri="http://schemas.openxmlformats.org/drawingml/2006/picture">
                <pic:pic>
                  <pic:nvPicPr>
                    <pic:cNvPr id="0" name="figure-1-catalog-and-report.png"/>
                    <pic:cNvPicPr/>
                  </pic:nvPicPr>
                  <pic:blipFill>
                    <a:blip r:embed="rId9"/>
                    <a:stretch>
                      <a:fillRect/>
                    </a:stretch>
                  </pic:blipFill>
                  <pic:spPr>
                    <a:xfrm>
                      <a:off x="0" y="0"/>
                      <a:ext cx="5486400" cy="6990430"/>
                    </a:xfrm>
                    <a:prstGeom prst="rect"/>
                  </pic:spPr>
                </pic:pic>
              </a:graphicData>
            </a:graphic>
          </wp:inline>
        </w:drawing>
      </w:r>
      <w:r>
        <w:rPr/>
        <w:t>{width=100% alt="Two screenshots of the Just-DNA-Lite web interface.</w:t>
      </w:r>
      <w:r>
        <w:rPr/>
        <w:t xml:space="preserve"> Top: the Module Catalog, with a panel for the selected Longevity Map module beside a grid of module cards, each with a Details and a Get button.</w:t>
      </w:r>
      <w:r>
        <w:rPr/>
        <w:t xml:space="preserve"> Bottom: the Longevity Variants section of a report, with summary cards above a table of variants; a FOXO3 row is open to the module's conclusion, method, direction and priority and to a table of supporting studies with their PubMed IDs, populations, study designs and conclusions."}</w:t>
      </w:r>
    </w:p>
    <w:p>
      <w:r>
        <w:rPr>
          <w:b/>
        </w:rPr>
        <w:t>Figure 1.</w:t>
      </w:r>
      <w:commentRangeStart w:id="15"/>
      <w:r>
        <w:rPr>
          <w:b/>
        </w:rPr>
        <w:t xml:space="preserve"> The Just-DNA-Lite web interface on the public demonstration.</w:t>
      </w:r>
      <w:commentRangeEnd w:id="15"/>
      <w:r>
        <w:rPr>
          <w:rStyle w:val="CommentReference"/>
        </w:rPr>
        <w:commentReference w:id="15"/>
      </w:r>
      <w:r>
        <w:rPr/>
        <w:t xml:space="preserve"> (</w:t>
      </w:r>
      <w:r>
        <w:rPr>
          <w:b/>
        </w:rPr>
        <w:t>a</w:t>
      </w:r>
      <w:r>
        <w:rPr/>
        <w:t>) The Module Catalog, which lists the modules published in just-dna-registry.</w:t>
      </w:r>
      <w:r>
        <w:rPr/>
        <w:t xml:space="preserve"> The panel on the left shows the selected module's publishing account, version picker, variant and gene counts and the button that installs it; each card gives a module's publishing account, version, variant count and downloads (here from the accounts </w:t>
      </w:r>
      <w:r>
        <w:rPr>
          <w:rFonts w:ascii="Consolas" w:hAnsi="Consolas"/>
        </w:rPr>
        <w:t>eric-mods</w:t>
      </w:r>
      <w:r>
        <w:rPr/>
        <w:t xml:space="preserve">, </w:t>
      </w:r>
      <w:r>
        <w:rPr>
          <w:rFonts w:ascii="Consolas" w:hAnsi="Consolas"/>
        </w:rPr>
        <w:t>just-dna-seq</w:t>
      </w:r>
      <w:r>
        <w:rPr/>
        <w:t xml:space="preserve"> and </w:t>
      </w:r>
      <w:r>
        <w:rPr>
          <w:rFonts w:ascii="Consolas" w:hAnsi="Consolas"/>
        </w:rPr>
        <w:t>ksuha-dna</w:t>
      </w:r>
      <w:r>
        <w:rPr/>
        <w:t>).</w:t>
      </w:r>
      <w:r>
        <w:rPr/>
        <w:t xml:space="preserve"> (</w:t>
      </w:r>
      <w:r>
        <w:rPr>
          <w:b/>
        </w:rPr>
        <w:t>b</w:t>
      </w:r>
      <w:r>
        <w:rPr/>
        <w:t>) The Longevity Variants section of an HTML report for Anton Kulaga's public genome.</w:t>
      </w:r>
      <w:commentRangeStart w:id="9"/>
      <w:r>
        <w:rPr/>
        <w:t xml:space="preserve"> It opens with counts of matched variants, of positive and negative associations and of inferred genotypes, and the summed module weight; the counts of matched variants and of associations, and the summed weight, include the inferred genotypes.</w:t>
      </w:r>
      <w:commentRangeEnd w:id="9"/>
      <w:r>
        <w:rPr>
          <w:rStyle w:val="CommentReference"/>
        </w:rPr>
        <w:commentReference w:id="9"/>
      </w:r>
      <w:r>
        <w:rPr/>
        <w:t xml:space="preserve"> Each table row gives the genotype, the module's alleles, zygosity, weight and buttons that open a prepared question in an external AI assistant; the first row is an inferred homozygous-reference genotype (Section 2.1).</w:t>
      </w:r>
      <w:r>
        <w:rPr/>
        <w:t xml:space="preserve"> The FOXO3 rs2802292 row is open to the module's conclusion, curation method, direction and priority, and to the first two of its five linked studies, each with its PubMed ID, population and design; its priority of 0.95 (the SNP weight, </w:t>
      </w:r>
      <w:r>
        <w:rPr>
          <w:i/>
        </w:rPr>
        <w:t>w</w:t>
      </w:r>
      <w:r>
        <w:rPr/>
        <w:t>_SNP, of Section 3.1), times 0.5 for a heterozygous genotype, gives its weight of 0.475.</w:t>
      </w:r>
      <w:r>
        <w:rPr/>
        <w:t xml:space="preserve"> Both panels were captured at https://lite.just-dna.life/ on 26 October 2026 and are cropped; panel b joins two parts of the section, its summary cards and the table of its insulin-signalling category, and leaves out the part between them.</w:t>
      </w:r>
    </w:p>
    <w:p>
      <w:pPr>
        <w:pStyle w:val="Heading1"/>
      </w:pPr>
      <w:r>
        <w:rPr>
          <w:b/>
        </w:rPr>
        <w:t>3.</w:t>
      </w:r>
      <w:r>
        <w:rPr>
          <w:b/>
        </w:rPr>
        <w:t xml:space="preserve"> Algorithm and Implementation: Annotation Modules and Polygenic Scoring</w:t>
      </w:r>
    </w:p>
    <w:p>
      <w:r>
        <w:rPr/>
        <w:t>Just-DNA-Lite ships with a default set of annotation modules, either curated by experts from the published literature or derived from public databases (ClinVar, Landrum et al., 2018; ClinPGx, Whirl-Carrillo et al., 2021), which illustrate the module system across several trait domains.</w:t>
      </w:r>
      <w:r>
        <w:rPr/>
        <w:t xml:space="preserve"> The platform is designed so that other researchers (e.g.</w:t>
      </w:r>
      <w:r>
        <w:rPr/>
        <w:t xml:space="preserve"> bioinformaticians and geneticists) can add their own modules without writing code, either by hand or with AI assistance (Section 3.4).</w:t>
      </w:r>
      <w:r>
        <w:rPr/>
        <w:t xml:space="preserve"> The modules annotate user variants against published variant-trait association databases; they do not perform clinical interpretation or generate diagnoses.</w:t>
      </w:r>
    </w:p>
    <w:p>
      <w:r>
        <w:rPr/>
        <w:t>The default modules originate in Generation I, the OakVar-based Just-DNA-Seq (Kulaga et al., 2024).</w:t>
      </w:r>
      <w:r>
        <w:rPr/>
        <w:t xml:space="preserve"> That system was built around longevity and longevity-associated traits, which is why the default set centres on that domain; for Generation II, most modules were ported, largely unchanged, to serve as worked examples of the no-code module format rather than as a definitive trait catalogue.</w:t>
      </w:r>
    </w:p>
    <w:p>
      <w:r>
        <w:rPr/>
        <w:t>The default collection brings together longevity-associated variants, disease-predisposing variants and drug-response associations (Table 1).</w:t>
      </w:r>
      <w:r>
        <w:rPr/>
        <w:t xml:space="preserve"> These were the linked questions behind Generation I.</w:t>
      </w:r>
    </w:p>
    <w:p>
      <w:r>
        <w:rPr>
          <w:b/>
        </w:rPr>
        <w:t>Table 1.</w:t>
      </w:r>
      <w:r>
        <w:rPr/>
        <w:t xml:space="preserve"> Annotation modules published by the Just-DNA-Lite project in the module registry (namespace </w:t>
      </w:r>
      <w:r>
        <w:rPr>
          <w:rFonts w:ascii="Consolas" w:hAnsi="Consolas"/>
        </w:rPr>
        <w:t>just-dna-seq</w:t>
      </w:r>
      <w:r>
        <w:rPr/>
        <w:t>), as of 2026-10-10 18:00 UTC.</w:t>
      </w:r>
      <w:r>
        <w:rPr/>
        <w:t xml:space="preserve"> Later versions may differ; versions, digests and every source are listed in Table S4.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Description</w:t>
            </w:r>
          </w:p>
        </w:tc>
        <w:tc>
          <w:tcPr>
            <w:tcW w:type="dxa" w:w="2880"/>
          </w:tcPr>
          <w:p>
            <w:r>
              <w:rPr>
                <w:b/>
              </w:rPr>
              <w:t>Curator</w:t>
            </w:r>
          </w:p>
        </w:tc>
      </w:tr>
      <w:tr>
        <w:tc>
          <w:tcPr>
            <w:tcW w:type="dxa" w:w="2880"/>
          </w:tcPr>
          <w:p>
            <w:r>
              <w:rPr/>
              <w:t>Longevity Map</w:t>
            </w:r>
          </w:p>
        </w:tc>
        <w:tc>
          <w:tcPr>
            <w:tcW w:type="dxa" w:w="2880"/>
          </w:tcPr>
          <w:p>
            <w:r>
              <w:rPr/>
              <w:t>Longevity-associated variants from the LongevityMap database, ported from the Generation I module: 528 variants in 272 genes, citing 126 papers (sources in Table S4)</w:t>
            </w:r>
          </w:p>
        </w:tc>
        <w:tc>
          <w:tcPr>
            <w:tcW w:type="dxa" w:w="2880"/>
          </w:tcPr>
          <w:p>
            <w:r>
              <w:rPr/>
              <w:t>Expert (Olga Borysova)</w:t>
            </w:r>
          </w:p>
        </w:tc>
      </w:tr>
      <w:tr>
        <w:tc>
          <w:tcPr>
            <w:tcW w:type="dxa" w:w="2880"/>
          </w:tcPr>
          <w:p>
            <w:r>
              <w:rPr/>
              <w:t>Coronary Artery Disease</w:t>
            </w:r>
          </w:p>
        </w:tc>
        <w:tc>
          <w:tcPr>
            <w:tcW w:type="dxa" w:w="2880"/>
          </w:tcPr>
          <w:p>
            <w:r>
              <w:rPr/>
              <w:t>Coronary artery disease risk associations from published studies, ported from the Generation I module: 27 variants in 22 genes, citing 59 papers (sources in Table S4)</w:t>
            </w:r>
          </w:p>
        </w:tc>
        <w:tc>
          <w:tcPr>
            <w:tcW w:type="dxa" w:w="2880"/>
          </w:tcPr>
          <w:p>
            <w:r>
              <w:rPr/>
              <w:t>Expert (Olga Borysova)</w:t>
            </w:r>
          </w:p>
        </w:tc>
      </w:tr>
      <w:tr>
        <w:tc>
          <w:tcPr>
            <w:tcW w:type="dxa" w:w="2880"/>
          </w:tcPr>
          <w:p>
            <w:r>
              <w:rPr/>
              <w:t>Lipid Metabolism</w:t>
            </w:r>
          </w:p>
        </w:tc>
        <w:tc>
          <w:tcPr>
            <w:tcW w:type="dxa" w:w="2880"/>
          </w:tcPr>
          <w:p>
            <w:r>
              <w:rPr/>
              <w:t>Lipid metabolism and cardiovascular risk variants from published studies: 15 variants in 12 genes, citing 37 papers (sources in Table S4)</w:t>
            </w:r>
          </w:p>
        </w:tc>
        <w:tc>
          <w:tcPr>
            <w:tcW w:type="dxa" w:w="2880"/>
          </w:tcPr>
          <w:p>
            <w:r>
              <w:rPr/>
              <w:t>Expert (Olga Borysova)</w:t>
            </w:r>
          </w:p>
        </w:tc>
      </w:tr>
      <w:tr>
        <w:tc>
          <w:tcPr>
            <w:tcW w:type="dxa" w:w="2880"/>
          </w:tcPr>
          <w:p>
            <w:r>
              <w:rPr/>
              <w:t>VO2 Max</w:t>
            </w:r>
          </w:p>
        </w:tc>
        <w:tc>
          <w:tcPr>
            <w:tcW w:type="dxa" w:w="2880"/>
          </w:tcPr>
          <w:p>
            <w:r>
              <w:rPr/>
              <w:t>Published studies of the oxygen-uptake response to exercise training: 13 variants in 12 genes, citing 7 papers (sources in Table S4)</w:t>
            </w:r>
          </w:p>
        </w:tc>
        <w:tc>
          <w:tcPr>
            <w:tcW w:type="dxa" w:w="2880"/>
          </w:tcPr>
          <w:p>
            <w:r>
              <w:rPr/>
              <w:t>Expert (Olga Borysova)</w:t>
            </w:r>
          </w:p>
        </w:tc>
      </w:tr>
      <w:tr>
        <w:tc>
          <w:tcPr>
            <w:tcW w:type="dxa" w:w="2880"/>
          </w:tcPr>
          <w:p>
            <w:r>
              <w:rPr/>
              <w:t>Superhuman (protective alleles)</w:t>
            </w:r>
          </w:p>
        </w:tc>
        <w:tc>
          <w:tcPr>
            <w:tcW w:type="dxa" w:w="2880"/>
          </w:tcPr>
          <w:p>
            <w:r>
              <w:rPr/>
              <w:t>Rare protective and enhancing alleles from the Church laboratory's list, checked against the primary literature: 74 variants in 28 genes, citing 29 papers (sources in Table S4)</w:t>
            </w:r>
          </w:p>
        </w:tc>
        <w:tc>
          <w:tcPr>
            <w:tcW w:type="dxa" w:w="2880"/>
          </w:tcPr>
          <w:p>
            <w:r>
              <w:rPr/>
              <w:t>Expert (Olga Borysova)</w:t>
            </w:r>
          </w:p>
        </w:tc>
      </w:tr>
      <w:tr>
        <w:tc>
          <w:tcPr>
            <w:tcW w:type="dxa" w:w="2880"/>
          </w:tcPr>
          <w:p>
            <w:r>
              <w:rPr/>
              <w:t>Thrombophilia</w:t>
            </w:r>
          </w:p>
        </w:tc>
        <w:tc>
          <w:tcPr>
            <w:tcW w:type="dxa" w:w="2880"/>
          </w:tcPr>
          <w:p>
            <w:r>
              <w:rPr/>
              <w:t>Inherited blood-clotting risk variants (Factor V Leiden, prothrombin and related loci) from published studies: 8 variants in 8 genes, citing 24 papers (sources in Table S4)</w:t>
            </w:r>
          </w:p>
        </w:tc>
        <w:tc>
          <w:tcPr>
            <w:tcW w:type="dxa" w:w="2880"/>
          </w:tcPr>
          <w:p>
            <w:r>
              <w:rPr/>
              <w:t>Expert (Olga Borysova)</w:t>
            </w:r>
          </w:p>
        </w:tc>
      </w:tr>
      <w:tr>
        <w:tc>
          <w:tcPr>
            <w:tcW w:type="dxa" w:w="2880"/>
          </w:tcPr>
          <w:p>
            <w:r>
              <w:rPr/>
              <w:t>Cardio</w:t>
            </w:r>
          </w:p>
        </w:tc>
        <w:tc>
          <w:tcPr>
            <w:tcW w:type="dxa" w:w="2880"/>
          </w:tcPr>
          <w:p>
            <w:r>
              <w:rPr/>
              <w:t>Pathogenic and likely pathogenic variants from ClinVar (release 2026-06-27, review status of at least one star) in 297 cardiac-disease genes (sources in Table S4)</w:t>
            </w:r>
          </w:p>
        </w:tc>
        <w:tc>
          <w:tcPr>
            <w:tcW w:type="dxa" w:w="2880"/>
          </w:tcPr>
          <w:p>
            <w:r>
              <w:rPr/>
              <w:t>Database-derived (ClinVar)</w:t>
            </w:r>
          </w:p>
        </w:tc>
      </w:tr>
      <w:tr>
        <w:tc>
          <w:tcPr>
            <w:tcW w:type="dxa" w:w="2880"/>
          </w:tcPr>
          <w:p>
            <w:r>
              <w:rPr/>
              <w:t>Cancer</w:t>
            </w:r>
          </w:p>
        </w:tc>
        <w:tc>
          <w:tcPr>
            <w:tcW w:type="dxa" w:w="2880"/>
          </w:tcPr>
          <w:p>
            <w:r>
              <w:rPr/>
              <w:t>Pathogenic and likely pathogenic variants from ClinVar (release 2026-06-27, at least one star) in 298 cancer-predisposition genes (sources in Table S4)</w:t>
            </w:r>
          </w:p>
        </w:tc>
        <w:tc>
          <w:tcPr>
            <w:tcW w:type="dxa" w:w="2880"/>
          </w:tcPr>
          <w:p>
            <w:r>
              <w:rPr/>
              <w:t>Database-derived (ClinVar)</w:t>
            </w:r>
          </w:p>
        </w:tc>
      </w:tr>
      <w:tr>
        <w:tc>
          <w:tcPr>
            <w:tcW w:type="dxa" w:w="2880"/>
          </w:tcPr>
          <w:p>
            <w:r>
              <w:rPr/>
              <w:t>Pathogenic</w:t>
            </w:r>
          </w:p>
        </w:tc>
        <w:tc>
          <w:tcPr>
            <w:tcW w:type="dxa" w:w="2880"/>
          </w:tcPr>
          <w:p>
            <w:r>
              <w:rPr/>
              <w:t>Genome-wide flag for ClinVar pathogenic and likely pathogenic variants (release 2026-06-27, at least one star) across 4,793 genes (sources in Table S4)</w:t>
            </w:r>
          </w:p>
        </w:tc>
        <w:tc>
          <w:tcPr>
            <w:tcW w:type="dxa" w:w="2880"/>
          </w:tcPr>
          <w:p>
            <w:r>
              <w:rPr/>
              <w:t>Database-derived (ClinVar)</w:t>
            </w:r>
          </w:p>
        </w:tc>
      </w:tr>
      <w:tr>
        <w:tc>
          <w:tcPr>
            <w:tcW w:type="dxa" w:w="2880"/>
          </w:tcPr>
          <w:p>
            <w:r>
              <w:rPr/>
              <w:t>Pharmacogenomics</w:t>
            </w:r>
          </w:p>
        </w:tc>
        <w:tc>
          <w:tcPr>
            <w:tcW w:type="dxa" w:w="2880"/>
          </w:tcPr>
          <w:p>
            <w:r>
              <w:rPr/>
              <w:t>Drug response by genotype from the ClinPGx (PharmGKB) clinical annotations at evidence levels 1A to 2B (release 2025-07-05): 240 annotations, 65 drugs, 35 genes (sources in Table S4)</w:t>
            </w:r>
          </w:p>
        </w:tc>
        <w:tc>
          <w:tcPr>
            <w:tcW w:type="dxa" w:w="2880"/>
          </w:tcPr>
          <w:p>
            <w:r>
              <w:rPr/>
              <w:t>Database-derived (ClinPGx)</w:t>
            </w:r>
          </w:p>
        </w:tc>
      </w:tr>
    </w:tbl>
    <w:p>
      <w:pPr>
        <w:pStyle w:val="Heading2"/>
      </w:pPr>
      <w:r>
        <w:rPr>
          <w:b/>
        </w:rPr>
        <w:t>3.1 Longevity Variants Module (example)</w:t>
      </w:r>
    </w:p>
    <w:p>
      <w:r>
        <w:rPr/>
        <w:t>The Longevity Variants module (published as Longevity Map) connects an individual's genotypes to studies of survival and exceptional longevity, with the source populations and findings available for inspection.</w:t>
      </w:r>
      <w:r>
        <w:rPr/>
        <w:t xml:space="preserve"> It builds on the LongevityMap database (Tacutu et al., 2018), which contains 3,144 variants in 884 genes (build 3, June 2017); the module keeps those with significant associations (Table S4).</w:t>
      </w:r>
      <w:commentRangeStart w:id="12"/>
      <w:r>
        <w:rPr/>
        <w:t xml:space="preserve"> We did not re-annotate or re-validate these variants; our contribution is (1) curation and expansion with post-2017 literature, adding 50 new entries and editing 876 existing records; (2) assignment of weighted scores based on study quality, replication across populations and statistical significance; and (3) pathway-based categorization for structured browsing.</w:t>
      </w:r>
      <w:commentRangeEnd w:id="12"/>
      <w:r>
        <w:rPr>
          <w:rStyle w:val="CommentReference"/>
        </w:rPr>
        <w:commentReference w:id="12"/>
      </w:r>
    </w:p>
    <w:p>
      <w:r>
        <w:rPr/>
        <w:t xml:space="preserve">The module's displayed score is the product of two component weights, </w:t>
      </w:r>
      <w:r>
        <w:rPr>
          <w:i/>
        </w:rPr>
        <w:t>W</w:t>
      </w:r>
      <w:r>
        <w:rPr/>
        <w:t xml:space="preserve">_display = </w:t>
      </w:r>
      <w:r>
        <w:rPr>
          <w:i/>
        </w:rPr>
        <w:t>w</w:t>
      </w:r>
      <w:r>
        <w:rPr/>
        <w:t xml:space="preserve">_SNP × </w:t>
      </w:r>
      <w:r>
        <w:rPr>
          <w:i/>
        </w:rPr>
        <w:t>w</w:t>
      </w:r>
      <w:r>
        <w:rPr/>
        <w:t>_genotype.</w:t>
      </w:r>
      <w:r>
        <w:rPr/>
        <w:t xml:space="preserve"> The SNP weight (</w:t>
      </w:r>
      <w:r>
        <w:rPr>
          <w:i/>
        </w:rPr>
        <w:t>w</w:t>
      </w:r>
      <w:r>
        <w:rPr/>
        <w:t>_SNP) summarizes the strength of statistical evidence for a variant-trait association (number of independent significant studies, reported p-values, number of replicating populations).</w:t>
      </w:r>
      <w:r>
        <w:rPr/>
        <w:t xml:space="preserve"> The genotype weight (</w:t>
      </w:r>
      <w:r>
        <w:rPr>
          <w:i/>
        </w:rPr>
        <w:t>w</w:t>
      </w:r>
      <w:r>
        <w:rPr/>
        <w:t>_genotype) captures the direction and magnitude of the reported association for a specific genotype: 0 for a genotype without the associated allele, and ±0.5 or ±1.0 for most heterozygous or homozygous carriers of the positively or negatively associated allele.</w:t>
      </w:r>
      <w:r>
        <w:rPr/>
        <w:t xml:space="preserve"> The associated allele can be the reference allele: for FOXO3 rs2802292 below, the module's genotype weights count G, the GRCh38 reference allele.</w:t>
      </w:r>
      <w:r>
        <w:rPr/>
        <w:t xml:space="preserve"> The summed (net) weight at the top of a report section adds the matched rows' weights, inferred genotypes included; it has no reference distribution and is not a longevity score.</w:t>
      </w:r>
      <w:r>
        <w:rPr/>
        <w:t xml:space="preserve"> The report groups variants into 12 functional pathway categories, such as insulin/IGF-1 signalling, mTOR, sirtuins and genome maintenance.</w:t>
      </w:r>
    </w:p>
    <w:p>
      <w:r>
        <w:rPr>
          <w:b/>
        </w:rPr>
        <w:t>A report in use.</w:t>
      </w:r>
      <w:r>
        <w:rPr/>
        <w:t xml:space="preserve"> In a stored Longevity Variants report for Anton Kulaga's public genome, FOXO3 rs2802292 is called G/T and appears in the insulin-signalling category with a module weight of 0.475.</w:t>
      </w:r>
      <w:r>
        <w:rPr/>
        <w:t xml:space="preserve"> Figure 1b shows this row as the report renders it, Figure 2 traces it from the called genotype to its linked studies, and Supplementary S13 preserves the extracted row and its provenance.</w:t>
      </w:r>
      <w:r>
        <w:rPr/>
        <w:t xml:space="preserve"> The expanded row shows the genotype's direction (Protective) and weight, the module's stored conclusion and five linked study records from Japanese-American, Southern Italian, Han Chinese and Danish populations.</w:t>
      </w:r>
      <w:r>
        <w:rPr/>
        <w:t xml:space="preserve"> The stored Danish-study conclusion distinguishes survival to old age from survival during old age.</w:t>
      </w:r>
      <w:r>
        <w:rPr/>
        <w:t xml:space="preserve"> The reader can therefore inspect which studies and populations underlie the annotation.</w:t>
      </w:r>
      <w:r>
        <w:rPr/>
        <w:t xml:space="preserve"> The weight ranks the curated association; it is not a predicted change in lifespan.</w:t>
      </w:r>
      <w:r>
        <w:rPr/>
        <w:t xml:space="preserve"> For this variant the stored study records report associations at FOXO3 without naming the associated allele at rs2802292, so the direction shown is the curators' reading of these studies.</w:t>
      </w:r>
    </w:p>
    <w:p>
      <w:r>
        <w:drawing>
          <wp:inline xmlns:a="http://schemas.openxmlformats.org/drawingml/2006/main" xmlns:pic="http://schemas.openxmlformats.org/drawingml/2006/picture">
            <wp:extent cx="5486400" cy="4082902"/>
            <wp:docPr id="2" name="Picture 2"/>
            <wp:cNvGraphicFramePr>
              <a:graphicFrameLocks noChangeAspect="1"/>
            </wp:cNvGraphicFramePr>
            <a:graphic>
              <a:graphicData uri="http://schemas.openxmlformats.org/drawingml/2006/picture">
                <pic:pic>
                  <pic:nvPicPr>
                    <pic:cNvPr id="0" name="figure-2-worked-annotation.png"/>
                    <pic:cNvPicPr/>
                  </pic:nvPicPr>
                  <pic:blipFill>
                    <a:blip r:embed="rId10"/>
                    <a:stretch>
                      <a:fillRect/>
                    </a:stretch>
                  </pic:blipFill>
                  <pic:spPr>
                    <a:xfrm>
                      <a:off x="0" y="0"/>
                      <a:ext cx="5486400" cy="4082902"/>
                    </a:xfrm>
                    <a:prstGeom prst="rect"/>
                  </pic:spPr>
                </pic:pic>
              </a:graphicData>
            </a:graphic>
          </wp:inline>
        </w:drawing>
      </w:r>
      <w:r>
        <w:rPr/>
        <w:t>{width=100% alt="Diagram of three boxes linked by arrows.</w:t>
      </w:r>
      <w:r>
        <w:rPr/>
        <w:t xml:space="preserve"> The called-genotype box gives FOXO3 rs2802292, genotype G/T, called, from Anton Kulaga's public genome on GRCh38.</w:t>
      </w:r>
      <w:r>
        <w:rPr/>
        <w:t xml:space="preserve"> One arrow leads down to the report annotation: category insulin signalling, displayed direction Protective and curation weight 0.475, with the note that a curation weight does not quantify a change in lifespan.</w:t>
      </w:r>
      <w:r>
        <w:rPr/>
        <w:t xml:space="preserve"> Another arrow leads right to the linked study records, five populations with their PubMed IDs, and an excerpt of the stored Danish-study conclusion."}</w:t>
      </w:r>
    </w:p>
    <w:p>
      <w:r>
        <w:rPr>
          <w:b/>
        </w:rPr>
        <w:t>Figure 2.</w:t>
      </w:r>
      <w:r>
        <w:rPr>
          <w:b/>
        </w:rPr>
        <w:t xml:space="preserve"> A genotype linked to its annotation and sources.</w:t>
      </w:r>
      <w:r>
        <w:rPr/>
        <w:t xml:space="preserve"> Selected fields from the Longevity Variants report for Anton Kulaga's public genome: the called FOXO3 genotype, the module's insulin-signalling category, curation weight and five linked study records.</w:t>
      </w:r>
      <w:r>
        <w:rPr/>
        <w:t xml:space="preserve"> The diagram reconstructs recorded report fields; the conclusion excerpt is reproduced as stored by the module.</w:t>
      </w:r>
      <w:r>
        <w:rPr/>
        <w:t xml:space="preserve"> Supplementary S13 provides the extracted fields, provenance and source report.</w:t>
      </w:r>
    </w:p>
    <w:p>
      <w:pPr>
        <w:pStyle w:val="Heading2"/>
      </w:pPr>
      <w:r>
        <w:rPr>
          <w:b/>
        </w:rPr>
        <w:t>3.2 Polygenic Risk Scores</w:t>
      </w:r>
    </w:p>
    <w:p>
      <w:r>
        <w:rPr/>
        <w:t>For traits with several published models, the interface displays the scores together, each with its percentile, coverage and quality label, beside a summary across the models and the reference population, so that users can inspect agreement and disagreement (Figure 3).</w:t>
      </w:r>
    </w:p>
    <w:p>
      <w:r>
        <w:rPr/>
        <w:t>Polygenic risk scores (PRS) aggregate the effects of many variants into a single weighted sum (Lambert et al., 2021), which is read as a position within a reference population for a given trait.</w:t>
      </w:r>
      <w:r>
        <w:rPr/>
        <w:t xml:space="preserve"> We developed the just-prs library (github.com/dna-seq/just-prs) as the PRS computation engine for Just-DNA-Lite; it can also be used on its own (Section 3.2.1).</w:t>
      </w:r>
      <w:r>
        <w:rPr/>
        <w:t xml:space="preserve"> just-prs scores the harmonized scoring files of the PGS Catalog (Lambert et al., 2021; harmonized files documented at https://www.pgscatalog.org/downloads/): a file-level audit of just-prs 0.10.1 against the PGS Catalog release of 17 September 2026 placed 6,910 of 6,991 files in Table S5's “as specified” category, 76 in “approximated” and 5 in “cannot be scored”.</w:t>
      </w:r>
      <w:r>
        <w:rPr/>
        <w:t xml:space="preserve"> These categories assess scoring-file compatibility, using a 10% absolute-weight threshold for omitted or ambiguous rows.</w:t>
      </w:r>
      <w:r>
        <w:rPr/>
        <w:t xml:space="preserve"> The first category can therefore include files with some omitted weight; it does not establish complete coverage in an individual genome or predictive validity.</w:t>
      </w:r>
    </w:p>
    <w:p>
      <w:r>
        <w:rPr>
          <w:b/>
        </w:rPr>
        <w:t>A catalogue that works out of the box.</w:t>
      </w:r>
      <w:r>
        <w:rPr/>
        <w:t xml:space="preserve"> The scoring files, metadata and reference distributions that just-prs reads are prepared once and downloaded on first use from HuggingFace (datasets </w:t>
      </w:r>
      <w:r>
        <w:rPr>
          <w:rFonts w:ascii="Consolas" w:hAnsi="Consolas"/>
        </w:rPr>
        <w:t>just-dna-seq/pgs-catalog</w:t>
      </w:r>
      <w:r>
        <w:rPr/>
        <w:t xml:space="preserve"> and </w:t>
      </w:r>
      <w:r>
        <w:rPr>
          <w:rFonts w:ascii="Consolas" w:hAnsi="Consolas"/>
        </w:rPr>
        <w:t>just-dna-seq/prs-percentiles</w:t>
      </w:r>
      <w:r>
        <w:rPr/>
        <w:t>), so users do not assemble them.</w:t>
      </w:r>
      <w:r>
        <w:rPr/>
        <w:t xml:space="preserve"> The metadata are cleaned: nine genome-build labels are mapped to three builds or "not reported", and performance metrics that the Catalog publishes as text, such as "1.55 [1.52,1.58]", are parsed into estimates, confidence intervals and standard errors for odds ratios, hazard ratios, betas, the area under the receiver operating characteristic curve (AUROC) and C-index.</w:t>
      </w:r>
      <w:r>
        <w:rPr/>
        <w:t xml:space="preserve"> Each score's 1000 Genomes reference distribution (described below) is audited before release.</w:t>
      </w:r>
      <w:r>
        <w:rPr/>
        <w:t xml:space="preserve"> In the reference-distribution release of 2 September 2026, 6,117 of 6,977 scores passed and 860 were withheld.</w:t>
      </w:r>
      <w:commentRangeStart w:id="8"/>
      <w:r>
        <w:rPr/>
        <w:t xml:space="preserve"> For 847 of them, at least four of seven public test genomes (all seven, for 783) fell in the outermost 1% of the reference distribution at either end and the scores failed a scale check (across the test genomes, a median of at least six standard deviations from the reference mean, or a median of fewer than half of the score's variants matched in them), which means that a real genome's score is not on the reference scale; the rest were withheld because too few of their variants matched the reference panel or their reference distribution had zero or undefined spread.</w:t>
      </w:r>
      <w:commentRangeEnd w:id="8"/>
      <w:r>
        <w:rPr>
          <w:rStyle w:val="CommentReference"/>
        </w:rPr>
        <w:commentReference w:id="8"/>
      </w:r>
      <w:r>
        <w:rPr/>
        <w:t xml:space="preserve"> The 6,117 scores map to 778 traits of the Experimental Factor Ontology.</w:t>
      </w:r>
    </w:p>
    <w:p>
      <w:r>
        <w:rPr/>
        <w:t xml:space="preserve">Each computed score carries a quality label: </w:t>
      </w:r>
      <w:r>
        <w:rPr>
          <w:i/>
        </w:rPr>
        <w:t>Very low</w:t>
      </w:r>
      <w:r>
        <w:rPr/>
        <w:t xml:space="preserve"> when the genome covers less than 20% of the score's absolute weight; </w:t>
      </w:r>
      <w:r>
        <w:rPr>
          <w:i/>
        </w:rPr>
        <w:t>High</w:t>
      </w:r>
      <w:r>
        <w:rPr/>
        <w:t xml:space="preserve"> when it covers at least 50% and the score's AUROC reported in the Catalog, taken from its largest European-ancestry evaluation or, without one, its largest evaluation, is at least 0.7; otherwise </w:t>
      </w:r>
      <w:r>
        <w:rPr>
          <w:i/>
        </w:rPr>
        <w:t>Moderate</w:t>
      </w:r>
      <w:r>
        <w:rPr/>
        <w:t xml:space="preserve">, except </w:t>
      </w:r>
      <w:r>
        <w:rPr>
          <w:i/>
        </w:rPr>
        <w:t>Low</w:t>
      </w:r>
      <w:r>
        <w:rPr/>
        <w:t xml:space="preserve"> for a score developed on another genome build whose AUROC is below 0.6 or not reported.</w:t>
      </w:r>
      <w:r>
        <w:rPr/>
        <w:t xml:space="preserve"> Such a score also has 0.05 subtracted from its AUROC before these thresholds are applied.</w:t>
      </w:r>
      <w:r>
        <w:rPr/>
        <w:t xml:space="preserve"> For 2,282 scores in the curation published on 27 September 2026, just-prs further records what a higher score means (higher or lower risk, or more or less of a measured trait), annotated from the source publications by AI agents (the curation skills of the just-prs plugin for Claude Code, run with Anthropic's Claude Opus models) and pending expert review.</w:t>
      </w:r>
    </w:p>
    <w:p>
      <w:r>
        <w:rPr/>
        <w:t>Generation I derived its PRS percentiles by simulating 10,000 genotypes from pooled gnomAD allele frequencies and fitting a normal distribution to the simulated scores (Kulaga et al., 2024).</w:t>
      </w:r>
      <w:r>
        <w:rPr/>
        <w:t xml:space="preserve"> just-prs instead scores the 3,202 individuals of the 1000 Genomes reference panel (Byrska-Bishop et al., 2022) with each model, summarizes the observed scores as a mean and standard deviation for each of five superpopulations (African, AFR; admixed American, AMR; East Asian, EAS; European, EUR; South Asian, SAS), and places a user's score on the corresponding normal distribution, so the reference reflects real genotypes and their linkage structure rather than simulated ones.</w:t>
      </w:r>
      <w:r>
        <w:rPr/>
        <w:t xml:space="preserve"> The reference superpopulation is inferred from the genome (Section 3.2.2) and the user can choose another; the percentile is the user's position within that distribution.</w:t>
      </w:r>
    </w:p>
    <w:p>
      <w:r>
        <w:rPr/>
        <w:t>just-prs provides two scoring engines: DuckDB (SQL-based, out-of-core scoring; Raasveldt and Mühleisen, 2019) and Polars (LazyFrame joins).</w:t>
      </w:r>
      <w:r>
        <w:rPr/>
        <w:t xml:space="preserve"> For diploid genotypes both engines compute the same score.</w:t>
      </w:r>
      <w:r>
        <w:rPr/>
        <w:t xml:space="preserve"> They join the scoring file to the genome by chromosome and position, then check that the genotype record is the scoring row's variant, since an indel shares its first base with any SNV at that position: an SNV row scores only from a record with an SNV alternate allele, and an indel row only from a record whose alleles include its effect allele and, where the scoring file names one, its other allele.</w:t>
      </w:r>
      <w:r>
        <w:rPr/>
        <w:t xml:space="preserve"> Multi-allelic records are split into their alleles.</w:t>
      </w:r>
      <w:r>
        <w:rPr/>
        <w:t xml:space="preserve"> The dosage is the number of called alleles equal to the effect allele (0, 1 or 2), and the score is the sum of dosage times effect weight.</w:t>
      </w:r>
      <w:r>
        <w:rPr/>
        <w:t xml:space="preserve"> No strand flipping is applied.</w:t>
      </w:r>
      <w:r>
        <w:rPr/>
        <w:t xml:space="preserve"> A position whose records all fail the check is handled as an absent locus, like a missing genotype.</w:t>
      </w:r>
      <w:r>
        <w:rPr/>
        <w:t xml:space="preserve"> The engines differ in how the join runs.</w:t>
      </w:r>
      <w:r>
        <w:rPr/>
        <w:t xml:space="preserve"> DuckDB runs it as SQL, joining large scoring files in chunks of 250,000 to 2,000,000 variants sized from available memory, under a memory limit of 75% of RAM by default.</w:t>
      </w:r>
      <w:r>
        <w:rPr/>
        <w:t xml:space="preserve"> Polars runs it as a single lazy in-memory dataframe join.</w:t>
      </w:r>
      <w:r>
        <w:rPr/>
        <w:t xml:space="preserve"> On the sex chromosomes and the mitochondrial genome, both engines count copies of the effect allele, using the sample's inferred karyotype (Supplementary S9).</w:t>
      </w:r>
      <w:r>
        <w:rPr/>
        <w:t xml:space="preserve"> PLINK2 is used only as an external comparator in the benchmark (Section 4.2); it is not a just-prs engine.</w:t>
      </w:r>
    </w:p>
    <w:p>
      <w:r>
        <w:rPr/>
        <w:t>For variant-only whole-genome VCFs, just-prs can optionally count absent scoring loci as homozygous reference, using a reference-allele dataset.</w:t>
      </w:r>
      <w:r>
        <w:rPr/>
        <w:t xml:space="preserve"> This raises coverage for many scores, assuming those loci were callable; it is off by default in the just-prs library and not applied to gVCF input.</w:t>
      </w:r>
      <w:r>
        <w:rPr/>
        <w:t xml:space="preserve"> The web interface turns it on for a sample it classifies as whole-genome by record count alone (one million records or more), and the user can turn it off by marking the sample as an array.</w:t>
      </w:r>
      <w:r>
        <w:rPr/>
        <w:t xml:space="preserve"> This rule is simpler than the annotation engine's whole-genome classification (Supplementary S12).</w:t>
      </w:r>
    </w:p>
    <w:p>
      <w:r>
        <w:rPr/>
        <w:t>For consumer arrays (23andMe, AncestryDNA), precomputed linkage disequilibrium (LD) proxy tables estimate untyped scoring variants from typed ones where suitable tables exist; as of October 2026, the just-prs library reads these files but the platform's web upload does not (Section 5.4).</w:t>
      </w:r>
      <w:r>
        <w:rPr/>
        <w:t xml:space="preserve"> Coverage, and the assumption used to recover each missing locus, remain part of the result's interpretation.</w:t>
      </w:r>
    </w:p>
    <w:p>
      <w:r>
        <w:drawing>
          <wp:inline xmlns:a="http://schemas.openxmlformats.org/drawingml/2006/main" xmlns:pic="http://schemas.openxmlformats.org/drawingml/2006/picture">
            <wp:extent cx="5486400" cy="6481672"/>
            <wp:docPr id="3" name="Picture 3"/>
            <wp:cNvGraphicFramePr>
              <a:graphicFrameLocks noChangeAspect="1"/>
            </wp:cNvGraphicFramePr>
            <a:graphic>
              <a:graphicData uri="http://schemas.openxmlformats.org/drawingml/2006/picture">
                <pic:pic>
                  <pic:nvPicPr>
                    <pic:cNvPr id="0" name="figure-3-prs-ldl-trait-view.png"/>
                    <pic:cNvPicPr/>
                  </pic:nvPicPr>
                  <pic:blipFill>
                    <a:blip r:embed="rId11"/>
                    <a:stretch>
                      <a:fillRect/>
                    </a:stretch>
                  </pic:blipFill>
                  <pic:spPr>
                    <a:xfrm>
                      <a:off x="0" y="0"/>
                      <a:ext cx="5486400" cy="6481672"/>
                    </a:xfrm>
                    <a:prstGeom prst="rect"/>
                  </pic:spPr>
                </pic:pic>
              </a:graphicData>
            </a:graphic>
          </wp:inline>
        </w:drawing>
      </w:r>
      <w:r>
        <w:rPr/>
        <w:t>{width=100% alt="Screenshot of a polygenic score trait report for LDL cholesterol.</w:t>
      </w:r>
      <w:r>
        <w:rPr/>
        <w:t xml:space="preserve"> Under the title, buttons ask four AI assistants about the result, and summary cards give the median percentile, the most reliable model, the number of models, absolute risk and the spread of percentiles.</w:t>
      </w:r>
      <w:r>
        <w:rPr/>
        <w:t xml:space="preserve"> A chart places each model as a dot on a normal density curve by its standardized score, with a red vertical line at the median.</w:t>
      </w:r>
      <w:r>
        <w:rPr/>
        <w:t xml:space="preserve"> A table below lists models with their PGS ID, reported trait, percentile, matched variants, match percentage and quality label."}</w:t>
      </w:r>
    </w:p>
    <w:p>
      <w:r>
        <w:rPr>
          <w:b/>
        </w:rPr>
        <w:t>Figure 3.</w:t>
      </w:r>
      <w:r>
        <w:rPr>
          <w:b/>
        </w:rPr>
        <w:t xml:space="preserve"> Polygenic scores for one trait in the current web interface.</w:t>
      </w:r>
      <w:r>
        <w:rPr/>
        <w:t xml:space="preserve"> The trait report for low-density lipoprotein (LDL) cholesterol on Anton Kulaga's public genome.</w:t>
      </w:r>
      <w:r>
        <w:rPr/>
        <w:t xml:space="preserve"> just-prs computed all 101 PGS Catalog models mapped to this trait.</w:t>
      </w:r>
      <w:r>
        <w:rPr/>
        <w:t xml:space="preserve"> The summary cards give the median percentile over the 94 models rated High or Moderate quality, the percentile of the most reliable of these models (the one with the highest numeric quality score, which combines reported discrimination, evaluation cohort size and coverage), the number of models, absolute risk (shown only when such a model has risk data; none here) and the spread of the models' percentiles.</w:t>
      </w:r>
      <w:r>
        <w:rPr/>
        <w:t xml:space="preserve"> The chart places each model's score, normalized separately, on the reference distribution of the genome's inferred superpopulation (European).</w:t>
      </w:r>
      <w:r>
        <w:rPr/>
        <w:t xml:space="preserve"> Only a dot's horizontal position is data: its height is the curve plus a small random offset that keeps dots apart, and a model more than 3.4 standard deviations from the mean is drawn at ±3.4.</w:t>
      </w:r>
      <w:r>
        <w:rPr/>
        <w:t xml:space="preserve"> Blue dots are models rated Moderate (all 94 here) and red dots models rated Very low; the red line is the median.</w:t>
      </w:r>
      <w:r>
        <w:rPr/>
        <w:t xml:space="preserve"> The table lists each model's percentile, matched variants and quality label; the ten rows shown are sorted from the highest percentile, so they are the models furthest above the median.</w:t>
      </w:r>
      <w:r>
        <w:rPr/>
        <w:t xml:space="preserve"> As the web interface does by default for a whole-genome VCF, scoring loci absent from the VCF were counted as homozygous reference (Section 3.2), so the matched variants, 99.9 to 100% for the models shown, and the coverage behind each quality label include these assumed genotypes.</w:t>
      </w:r>
      <w:r>
        <w:rPr/>
        <w:t xml:space="preserve"> The buttons under the title open a prepared question about this result in an external AI assistant (Section 5.2).</w:t>
      </w:r>
      <w:r>
        <w:rPr/>
        <w:t xml:space="preserve"> Showing all models, including where they disagree, is deliberate: it makes the differences among scores inspectable (Section 5.3).</w:t>
      </w:r>
      <w:r>
        <w:rPr/>
        <w:t xml:space="preserve"> Captured at https://lite.just-dna.life/ on 26 October 2026 and cropped above the report's note on reading the quality labels.</w:t>
      </w:r>
    </w:p>
    <w:p>
      <w:pPr>
        <w:pStyle w:val="Heading2"/>
      </w:pPr>
      <w:r>
        <w:rPr>
          <w:b/>
        </w:rPr>
        <w:t>3.2.1 Standalone PRS Use and MCP Access</w:t>
      </w:r>
    </w:p>
    <w:p>
      <w:r>
        <w:rPr/>
        <w:t xml:space="preserve">Users who only want polygenic scores can run just-prs on its own, through its Python API, command-line interface, dedicated web UI, </w:t>
      </w:r>
      <w:r>
        <w:rPr>
          <w:rFonts w:ascii="Consolas" w:hAnsi="Consolas"/>
        </w:rPr>
        <w:t>just-prs-mcp</w:t>
      </w:r>
      <w:r>
        <w:rPr/>
        <w:t xml:space="preserve"> server or the </w:t>
      </w:r>
      <w:r>
        <w:rPr>
          <w:rFonts w:ascii="Consolas" w:hAnsi="Consolas"/>
        </w:rPr>
        <w:t>/prs</w:t>
      </w:r>
      <w:r>
        <w:rPr/>
        <w:t xml:space="preserve"> skill of its Claude Code plugin, without the annotation-module workflow.</w:t>
      </w:r>
    </w:p>
    <w:p>
      <w:r>
        <w:rPr/>
        <w:t xml:space="preserve">Just-DNA-Lite also has its own MCP server for the full workflow (samples, modules, annotation jobs and their results), while </w:t>
      </w:r>
      <w:r>
        <w:rPr>
          <w:rFonts w:ascii="Consolas" w:hAnsi="Consolas"/>
        </w:rPr>
        <w:t>just-prs-mcp</w:t>
      </w:r>
      <w:r>
        <w:rPr/>
        <w:t xml:space="preserve"> covers PRS alone; both let AI assistants call the software through typed tools rather than write their own analysis code.</w:t>
      </w:r>
      <w:r>
        <w:rPr/>
        <w:t xml:space="preserve"> The PRS tools cover catalogue search, model metadata, genome-build and ancestry detection, scoring, reference-population comparison and result-quality assessment.</w:t>
      </w:r>
      <w:r>
        <w:rPr/>
        <w:t xml:space="preserve"> Both servers work with Claude Code, Codex, Cursor and other MCP clients, and the just-module-creator plugin adds module-authoring skills for Claude Code and Codex (Section 3.4).</w:t>
      </w:r>
    </w:p>
    <w:p>
      <w:r>
        <w:rPr/>
        <w:t>The tools return PGS IDs, variant-match rates, model quality tiers, reference populations, percentiles and agreement or disagreement among models for a trait.</w:t>
      </w:r>
      <w:r>
        <w:rPr/>
        <w:t xml:space="preserve"> These fields give the assistant computational context, but they do not ensure that the assistant will explain them correctly.</w:t>
      </w:r>
      <w:r>
        <w:rPr/>
        <w:t xml:space="preserve"> Both servers run locally, but a remotely hosted assistant may receive tool outputs containing genomic results.</w:t>
      </w:r>
      <w:r>
        <w:rPr/>
        <w:t xml:space="preserve"> Whether scoring is local and whether the conversation is private are therefore separate questions (Section 5.2).</w:t>
      </w:r>
    </w:p>
    <w:p>
      <w:r>
        <w:rPr/>
        <w:t>All these interfaces call one scoring implementation, so equivalent inputs, reference data and settings should give equivalent results with the same just-prs version.</w:t>
      </w:r>
      <w:r>
        <w:rPr/>
        <w:t xml:space="preserve"> The engine benchmark in Section 4.2 does not test each interface separately, nor the accuracy of assistant-generated explanations.</w:t>
      </w:r>
    </w:p>
    <w:p>
      <w:pPr>
        <w:pStyle w:val="Heading2"/>
      </w:pPr>
      <w:r>
        <w:rPr>
          <w:b/>
        </w:rPr>
        <w:t>3.2.2 Ancestry Inference</w:t>
      </w:r>
    </w:p>
    <w:p>
      <w:r>
        <w:rPr/>
        <w:t xml:space="preserve">The reference superpopulation is chosen by a k-nearest-neighbour classifier on principal components, built once from the 1000 Genomes high-coverage panel (Byrska-Bishop et al., 2022) and downloaded as a fixed model (HuggingFace dataset </w:t>
      </w:r>
      <w:r>
        <w:rPr>
          <w:rFonts w:ascii="Consolas" w:hAnsi="Consolas"/>
        </w:rPr>
        <w:t>just-dna-seq/pgs-catalog</w:t>
      </w:r>
      <w:r>
        <w:rPr/>
        <w:t xml:space="preserve">, folder </w:t>
      </w:r>
      <w:r>
        <w:rPr>
          <w:rFonts w:ascii="Consolas" w:hAnsi="Consolas"/>
        </w:rPr>
        <w:t>data/ancestry</w:t>
      </w:r>
      <w:r>
        <w:rPr/>
        <w:t>).</w:t>
      </w:r>
      <w:r>
        <w:rPr/>
        <w:t xml:space="preserve"> Its training data are the panel's unrelated individuals, 2,575 after related ones were removed with a KING kinship list (Manichaikul et al., 2010), each labelled with one of five superpopulations (AFR, AMR, EAS, EUR, SAS), and 53,526 autosomal biallelic SNVs kept after quality control and linkage pruning in PLINK2 (Chang et al., 2015): minor allele frequency at least 0.05, Hardy–Weinberg </w:t>
      </w:r>
      <w:r>
        <w:rPr>
          <w:i/>
        </w:rPr>
        <w:t>P</w:t>
      </w:r>
      <w:r>
        <w:rPr/>
        <w:t xml:space="preserve"> at least 10⁻⁴, and </w:t>
      </w:r>
      <w:r>
        <w:rPr>
          <w:i/>
        </w:rPr>
        <w:t>r</w:t>
      </w:r>
      <w:r>
        <w:rPr/>
        <w:t>² below 0.05 within windows of 1,000 variants.</w:t>
      </w:r>
      <w:r>
        <w:rPr/>
        <w:t xml:space="preserve"> A principal component analysis of these genotypes defines the space.</w:t>
      </w:r>
      <w:r>
        <w:rPr/>
        <w:t xml:space="preserve"> A user's genome is projected into it with the online augmentation, decomposition and Procrustes method of FRAPOSA (Zhang et al., 2020), and its superpopulation is the majority among its 20 nearest reference individuals on the first 10 components.</w:t>
      </w:r>
      <w:r>
        <w:rPr/>
        <w:t xml:space="preserve"> Model sites a variant-only VCF does not list are coded as homozygous reference, and sites whose alleles disagree with the model as missing.</w:t>
      </w:r>
      <w:r>
        <w:rPr/>
        <w:t xml:space="preserve"> There is no separate test set.</w:t>
      </w:r>
      <w:r>
        <w:rPr/>
        <w:t xml:space="preserve"> In leave-one-out classification of the reference individuals, on principal components computed from the whole panel, 99.65% were assigned their own superpopulation (2,566 of 2,575); seven of the nine misassigned individuals belong to the admixed American group, of whom 344 of 351 were assigned correctly.</w:t>
      </w:r>
      <w:r>
        <w:rPr/>
        <w:t xml:space="preserve"> This measures how well the five groups separate within the panel; accuracy on admixed genomes and on populations the panel does not sample was not measured (Section 5.4).</w:t>
      </w:r>
      <w:r>
        <w:rPr/>
        <w:t xml:space="preserve"> When fewer than 20% of the model's sites can be used, the ancestry is reported as unknown and the user chooses the reference.</w:t>
      </w:r>
      <w:r>
        <w:rPr/>
        <w:t xml:space="preserve"> Sites coded as homozygous reference count as used, so for exome or array input, where most model sites are not read, the call rests largely on assumed genotypes.</w:t>
      </w:r>
    </w:p>
    <w:p>
      <w:pPr>
        <w:pStyle w:val="Heading2"/>
      </w:pPr>
      <w:r>
        <w:rPr>
          <w:b/>
        </w:rPr>
        <w:t>3.3 Additional Trait Annotation Modules</w:t>
      </w:r>
    </w:p>
    <w:p>
      <w:r>
        <w:rPr/>
        <w:t>The platform includes several additional modules curated by hand from the published literature: coronary artery disease (SNPs selected on meta-study p-values and the number of studies across populations), lipid metabolism (selected by the same criteria), VO2 max (published studies of the oxygen-uptake response to exercise training, mostly candidate-gene and cohort studies) and Superhuman (rare protective alleles from the Church laboratory's Protective and Enhancing Alleles list, checked against the primary literature).</w:t>
      </w:r>
      <w:r>
        <w:rPr/>
        <w:t xml:space="preserve"> Table S4 gives each module's curation and every source it cites.</w:t>
      </w:r>
      <w:r>
        <w:rPr/>
        <w:t xml:space="preserve"> These modules work by joining the user's VCF against curated variant-trait databases, adding annotation columns (weight, state, gene, conclusion) to matching variants.</w:t>
      </w:r>
    </w:p>
    <w:p>
      <w:pPr>
        <w:pStyle w:val="Heading2"/>
      </w:pPr>
      <w:r>
        <w:rPr>
          <w:b/>
        </w:rPr>
        <w:t>3.4 Growing the Module Ecosystem</w:t>
      </w:r>
    </w:p>
    <w:p>
      <w:r>
        <w:rPr/>
        <w:t xml:space="preserve">Because modules are data, new content reaches users through configured repositories or </w:t>
      </w:r>
      <w:r>
        <w:rPr>
          <w:rFonts w:ascii="Consolas" w:hAnsi="Consolas"/>
        </w:rPr>
        <w:t>just-dna-registry</w:t>
      </w:r>
      <w:r>
        <w:rPr/>
        <w:t xml:space="preserve"> without changes to the annotation engine or a new application release, while evidence review and scientific curation stay with module contributors.</w:t>
      </w:r>
      <w:r>
        <w:rPr/>
        <w:t xml:space="preserve"> Rather than embedding its own assistant, the platform exposes its operations to the AI assistants authors already use.</w:t>
      </w:r>
      <w:r>
        <w:rPr/>
        <w:t xml:space="preserve"> Modules can be drafted in such an assistant through the just-module-creator plugin (github.com/dna-seq/just-module-creator); the result is the same kind of artifact, validated and compiled the same way.</w:t>
      </w:r>
      <w:r>
        <w:rPr/>
        <w:t xml:space="preserve"> Its manifest can mark it as AI-generated through its authorship entries, which tag each contributor as human or AI.</w:t>
      </w:r>
      <w:r>
        <w:rPr/>
        <w:t xml:space="preserve"> Through the platform's MCP server, the assistant can then install the draft, annotate a genome with it and inspect the result (Section 3.2.1).</w:t>
      </w:r>
    </w:p>
    <w:p>
      <w:r>
        <w:rPr/>
        <w:t>The registry works like an app store for this content.</w:t>
      </w:r>
      <w:r>
        <w:rPr/>
        <w:t xml:space="preserve"> A researcher claims a namespace and publishes a compiled module; each published version is immutable and identified by its digest.</w:t>
      </w:r>
      <w:r>
        <w:rPr/>
        <w:t xml:space="preserve"> Users browse the registry in the web interface's Module Catalog (Figure 1a), install a module with one action and apply it in their next run.</w:t>
      </w:r>
      <w:r>
        <w:rPr/>
        <w:t xml:space="preserve"> On 26 October 2026 the public registry held 24 modules from five publishing accounts: the ten modules of Table 1, ten more from the first author's own account and four from three other accounts.</w:t>
      </w:r>
      <w:r>
        <w:rPr/>
        <w:t xml:space="preserve"> The fourteen beyond Table 1 include modules on APOE type, ABO and Rh blood groups, FUT2 secretor status, HFE iron storage, lactose tolerance, ADHD-associated loci and the genetics of placebo response.</w:t>
      </w:r>
      <w:r>
        <w:rPr/>
        <w:t xml:space="preserve"> Some of these combine several variants into one result, such as a blood group or an APOE type, instead of reporting each variant alone.</w:t>
      </w:r>
    </w:p>
    <w:p>
      <w:pPr>
        <w:pStyle w:val="Heading1"/>
      </w:pPr>
      <w:r>
        <w:rPr>
          <w:b/>
        </w:rPr>
        <w:t>4.</w:t>
      </w:r>
      <w:r>
        <w:rPr>
          <w:b/>
        </w:rPr>
        <w:t xml:space="preserve"> Benchmarking and Validation</w:t>
      </w:r>
    </w:p>
    <w:p>
      <w:r>
        <w:rPr/>
        <w:t>The benchmarks in this section measure how fast the platform annotates a genome and computes polygenic scores, how much memory it uses, and how closely its scoring engines agree with each other and with an external tool.</w:t>
      </w:r>
      <w:r>
        <w:rPr/>
        <w:t xml:space="preserve"> They do not test whether the annotations themselves are correct.</w:t>
      </w:r>
    </w:p>
    <w:p>
      <w:pPr>
        <w:pStyle w:val="Heading2"/>
      </w:pPr>
      <w:r>
        <w:rPr>
          <w:b/>
        </w:rPr>
        <w:t>4.1 Annotation Speed</w:t>
      </w:r>
    </w:p>
    <w:p>
      <w:r>
        <w:rPr/>
        <w:t>On Anton Kulaga's published call set, the median full Generation II run took 33.2 s against 6,005.4 s for Generation I, an approximately 181-fold speedup; across the three call sets Generation I ran on, it was 128- to 231-fold (Table 2).</w:t>
      </w:r>
      <w:r>
        <w:rPr/>
        <w:t xml:space="preserve"> Most Generation I runs on the other two call sets were made with the desktop in light use (Supplementary S2).</w:t>
      </w:r>
      <w:r>
        <w:rPr/>
        <w:t xml:space="preserve"> Against a whole-genome reference database the gap narrows.</w:t>
      </w:r>
      <w:r>
        <w:rPr/>
        <w:t xml:space="preserve"> Generation II with Ensembl annotation on took a median of 103.1 s and Generation I with dbSNP alone 3,537.2 s, about 34-fold (two runs each; 24- to 57-fold across pairs of runs).</w:t>
      </w:r>
      <w:r>
        <w:rPr/>
        <w:t xml:space="preserve"> These ratios apply to these configurations and these inputs, rather than to OakVar generally.</w:t>
      </w:r>
      <w:r>
        <w:rPr/>
        <w:t xml:space="preserve"> A warm run took a median of 16.3 s.</w:t>
      </w:r>
    </w:p>
    <w:p>
      <w:r>
        <w:rPr/>
        <w:t>The benchmark used SSD storage and a workstation with 63 GiB RAM; it does not directly establish performance on a laptop or on rotational disks.</w:t>
      </w:r>
      <w:r>
        <w:rPr/>
        <w:t xml:space="preserve"> Peak memory of a Just-DNA-Lite run with Ensembl off was 2,054 to 2,270 MB on that call set across warm, full and cold runs and at most 4,525 MB on any genome (a cold run of Livia Zaharia's genome), against at most 4,611 MB for Generation I.</w:t>
      </w:r>
      <w:r>
        <w:rPr/>
        <w:t xml:space="preserve"> Supplementary Table S10 gives the full runs, and the repository's generated tables (</w:t>
      </w:r>
      <w:r>
        <w:rPr>
          <w:rFonts w:ascii="Consolas" w:hAnsi="Consolas"/>
        </w:rPr>
        <w:t>docs/manuscript/benchmarks/a3/tables.md</w:t>
      </w:r>
      <w:r>
        <w:rPr/>
        <w:t>) the warm and cold runs.</w:t>
      </w:r>
      <w:r>
        <w:rPr/>
        <w:t xml:space="preserve"> With Ensembl annotation on, peak memory was 5,568 to 5,750 MB over all four such runs: the two Table 2 runs, a run on the first night and the second day's warm-up.</w:t>
      </w:r>
    </w:p>
    <w:p>
      <w:r>
        <w:rPr/>
        <w:t>We benchmarked Just-DNA-Lite against the Generation I OakVar-based system on one workstation (Table S6).</w:t>
      </w:r>
      <w:r>
        <w:rPr/>
        <w:t xml:space="preserve"> The main input was Anton Kulaga's published whole-genome call set (Zenodo record 18370498, CC0), also used for the PRS benchmark in Section 4.2.</w:t>
      </w:r>
      <w:r>
        <w:rPr/>
        <w:t xml:space="preserve"> Three more inputs vary the caller and the size: Livia Zaharia's public genome, called with DRAGEN (Behera et al., 2024; Zenodo record 19487816, CC BY 4.0), the HG002 reference sample (Zook et al., 2016) as output by the DeepVariant 1.0.0 whole-genome case study (Poplin et al., 2018), and an earlier, unpublished call set of Anton Kulaga's genome (the 2023 call set), on which the earlier Generation I times were measured (Supplementary S2).</w:t>
      </w:r>
      <w:r>
        <w:rPr/>
        <w:t xml:space="preserve"> The benchmark scripts, the record of every run and the script that generates every benchmark table from them are in the repository (</w:t>
      </w:r>
      <w:r>
        <w:rPr>
          <w:rFonts w:ascii="Consolas" w:hAnsi="Consolas"/>
        </w:rPr>
        <w:t>docs/manuscript/benchmarks/a3/</w:t>
      </w:r>
      <w:r>
        <w:rPr/>
        <w:t>), so the benchmark can be reproduced on the three public genomes, for Generation I given an OakVar store account (Table S2).</w:t>
      </w:r>
    </w:p>
    <w:p>
      <w:r>
        <w:rPr/>
        <w:t xml:space="preserve">Generation II annotated each genome with the ten modules of Table 1, with Ensembl annotation off, in three modes: </w:t>
      </w:r>
      <w:r>
        <w:rPr>
          <w:i/>
        </w:rPr>
        <w:t>warm</w:t>
      </w:r>
      <w:r>
        <w:rPr/>
        <w:t xml:space="preserve"> runs reuse the sample's quality-filtered table, so the VCF is not read again; </w:t>
      </w:r>
      <w:r>
        <w:rPr>
          <w:i/>
        </w:rPr>
        <w:t>full</w:t>
      </w:r>
      <w:r>
        <w:rPr/>
        <w:t xml:space="preserve"> runs start from a fresh instance and read the VCF, as every OakVar run does, so they are the counterpart of an OakVar run (same VCF and same kind of report, not the same computation); </w:t>
      </w:r>
      <w:r>
        <w:rPr>
          <w:i/>
        </w:rPr>
        <w:t>cold</w:t>
      </w:r>
      <w:r>
        <w:rPr/>
        <w:t xml:space="preserve"> runs are full runs after the operating system's page cache has been dropped.</w:t>
      </w:r>
      <w:r>
        <w:rPr/>
        <w:t xml:space="preserve"> Generation I, OakVar 2.13.1 with its modules and annotation databases installed from the OakVar store, ran three times on Anton Kulaga's published call set and once on his 2023 call set with the machine idle.</w:t>
      </w:r>
      <w:r>
        <w:rPr/>
        <w:t xml:space="preserve"> Both systems were also timed on a second day with the desktop in light use (Generation I on the 2023 call set and on Livia Zaharia's genome), and Generation I with its dbSNP annotator alone was timed against Generation II with Ensembl annotation on.</w:t>
      </w:r>
      <w:r>
        <w:rPr/>
        <w:t xml:space="preserve"> Supplementary S2 gives the run order and the Generation I setup.</w:t>
      </w:r>
    </w:p>
    <w:p>
      <w:r>
        <w:rPr>
          <w:b/>
        </w:rPr>
        <w:t>Table 2.</w:t>
      </w:r>
      <w:r>
        <w:rPr/>
        <w:t xml:space="preserve"> Annotation wall time, from command start to report written: Just-DNA-Lite (Generation II) vs OakVar (Generation I).</w:t>
      </w:r>
      <w:r>
        <w:rPr/>
        <w:t xml:space="preserve"> </w:t>
      </w:r>
      <w:r>
        <w:rPr>
          <w:i/>
        </w:rPr>
        <w:t>n</w:t>
      </w:r>
      <w:r>
        <w:rPr/>
        <w:t>, number of repeated runs; SEM, standard error of the mean; SD, standard deviation.</w:t>
      </w:r>
      <w:r>
        <w:rPr/>
        <w:t xml:space="preserve"> For the three genomes Generation I ran on, the ten full Generation II runs pool five made with the machine idle and five on a second day in light desktop use; most Generation I runs on the 2023 call set and Livia Zaharia's genome were also made in light use (Supplementary S2).</w:t>
      </w:r>
      <w:r>
        <w:rPr/>
        <w:t xml:space="preserve"> The last column divides the median Generation I time by the median of the row; a dash marks a row with no comparison: a warm run, which does not read the VCF, or the HG002 genome, on which Generation I was not run.</w:t>
      </w:r>
      <w:r>
        <w:rPr/>
        <w:t xml:space="preserve"> In the last section, the reference is Generation I with its dbSNP annotator alone, and the first run of each series is dropped as its warm-up.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Genome / run</w:t>
            </w:r>
          </w:p>
        </w:tc>
        <w:tc>
          <w:tcPr>
            <w:tcW w:type="dxa" w:w="1440"/>
          </w:tcPr>
          <w:p>
            <w:r>
              <w:rPr>
                <w:b/>
                <w:i/>
              </w:rPr>
              <w:t>n</w:t>
            </w:r>
          </w:p>
        </w:tc>
        <w:tc>
          <w:tcPr>
            <w:tcW w:type="dxa" w:w="1440"/>
          </w:tcPr>
          <w:p>
            <w:r>
              <w:rPr>
                <w:b/>
              </w:rPr>
              <w:t>Median (min–max), s</w:t>
            </w:r>
          </w:p>
        </w:tc>
        <w:tc>
          <w:tcPr>
            <w:tcW w:type="dxa" w:w="1440"/>
          </w:tcPr>
          <w:p>
            <w:r>
              <w:rPr>
                <w:b/>
              </w:rPr>
              <w:t>Mean ± SEM, s</w:t>
            </w:r>
          </w:p>
        </w:tc>
        <w:tc>
          <w:tcPr>
            <w:tcW w:type="dxa" w:w="1440"/>
          </w:tcPr>
          <w:p>
            <w:r>
              <w:rPr>
                <w:b/>
              </w:rPr>
              <w:t>SD, s</w:t>
            </w:r>
          </w:p>
        </w:tc>
        <w:tc>
          <w:tcPr>
            <w:tcW w:type="dxa" w:w="1440"/>
          </w:tcPr>
          <w:p>
            <w:r>
              <w:rPr>
                <w:b/>
              </w:rPr>
              <w:t>Generation I ÷ this (medians)</w:t>
            </w:r>
          </w:p>
        </w:tc>
      </w:tr>
      <w:tr>
        <w:tc>
          <w:tcPr>
            <w:tcW w:type="dxa" w:w="1440"/>
          </w:tcPr>
          <w:p>
            <w:r>
              <w:rPr>
                <w:b/>
              </w:rPr>
              <w:t>Anton Kulaga, published call set (Zenodo 18370498)</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16.3 (16.2–17.2)</w:t>
            </w:r>
          </w:p>
        </w:tc>
        <w:tc>
          <w:tcPr>
            <w:tcW w:type="dxa" w:w="1440"/>
          </w:tcPr>
          <w:p>
            <w:r>
              <w:rPr/>
              <w:t>16.4 ± 0.1</w:t>
            </w:r>
          </w:p>
        </w:tc>
        <w:tc>
          <w:tcPr>
            <w:tcW w:type="dxa" w:w="1440"/>
          </w:tcPr>
          <w:p>
            <w:r>
              <w:rPr/>
              <w:t>0.3</w:t>
            </w:r>
          </w:p>
        </w:tc>
        <w:tc>
          <w:tcPr>
            <w:tcW w:type="dxa" w:w="1440"/>
          </w:tcPr>
          <w:p>
            <w:r>
              <w:rPr/>
              <w:t>—</w:t>
            </w:r>
          </w:p>
        </w:tc>
      </w:tr>
      <w:tr>
        <w:tc>
          <w:tcPr>
            <w:tcW w:type="dxa" w:w="1440"/>
          </w:tcPr>
          <w:p>
            <w:r>
              <w:rPr/>
              <w:t>Generation II, full</w:t>
            </w:r>
          </w:p>
        </w:tc>
        <w:tc>
          <w:tcPr>
            <w:tcW w:type="dxa" w:w="1440"/>
          </w:tcPr>
          <w:p>
            <w:r>
              <w:rPr/>
              <w:t>10</w:t>
            </w:r>
          </w:p>
        </w:tc>
        <w:tc>
          <w:tcPr>
            <w:tcW w:type="dxa" w:w="1440"/>
          </w:tcPr>
          <w:p>
            <w:r>
              <w:rPr/>
              <w:t>33.2 (31.9–50.8)</w:t>
            </w:r>
          </w:p>
        </w:tc>
        <w:tc>
          <w:tcPr>
            <w:tcW w:type="dxa" w:w="1440"/>
          </w:tcPr>
          <w:p>
            <w:r>
              <w:rPr/>
              <w:t>35.2 ± 1.8</w:t>
            </w:r>
          </w:p>
        </w:tc>
        <w:tc>
          <w:tcPr>
            <w:tcW w:type="dxa" w:w="1440"/>
          </w:tcPr>
          <w:p>
            <w:r>
              <w:rPr/>
              <w:t>5.7</w:t>
            </w:r>
          </w:p>
        </w:tc>
        <w:tc>
          <w:tcPr>
            <w:tcW w:type="dxa" w:w="1440"/>
          </w:tcPr>
          <w:p>
            <w:r>
              <w:rPr/>
              <w:t>181×</w:t>
            </w:r>
          </w:p>
        </w:tc>
      </w:tr>
      <w:tr>
        <w:tc>
          <w:tcPr>
            <w:tcW w:type="dxa" w:w="1440"/>
          </w:tcPr>
          <w:p>
            <w:r>
              <w:rPr/>
              <w:t>Generation II, cold</w:t>
            </w:r>
          </w:p>
        </w:tc>
        <w:tc>
          <w:tcPr>
            <w:tcW w:type="dxa" w:w="1440"/>
          </w:tcPr>
          <w:p>
            <w:r>
              <w:rPr/>
              <w:t>3</w:t>
            </w:r>
          </w:p>
        </w:tc>
        <w:tc>
          <w:tcPr>
            <w:tcW w:type="dxa" w:w="1440"/>
          </w:tcPr>
          <w:p>
            <w:r>
              <w:rPr/>
              <w:t>35.9 (35.6–36.0)</w:t>
            </w:r>
          </w:p>
        </w:tc>
        <w:tc>
          <w:tcPr>
            <w:tcW w:type="dxa" w:w="1440"/>
          </w:tcPr>
          <w:p>
            <w:r>
              <w:rPr/>
              <w:t>35.9 ± 0.1</w:t>
            </w:r>
          </w:p>
        </w:tc>
        <w:tc>
          <w:tcPr>
            <w:tcW w:type="dxa" w:w="1440"/>
          </w:tcPr>
          <w:p>
            <w:r>
              <w:rPr/>
              <w:t>0.2</w:t>
            </w:r>
          </w:p>
        </w:tc>
        <w:tc>
          <w:tcPr>
            <w:tcW w:type="dxa" w:w="1440"/>
          </w:tcPr>
          <w:p>
            <w:r>
              <w:rPr/>
              <w:t>167×</w:t>
            </w:r>
          </w:p>
        </w:tc>
      </w:tr>
      <w:tr>
        <w:tc>
          <w:tcPr>
            <w:tcW w:type="dxa" w:w="1440"/>
          </w:tcPr>
          <w:p>
            <w:r>
              <w:rPr/>
              <w:t>Generation I (OakVar 2.13.1), full</w:t>
            </w:r>
          </w:p>
        </w:tc>
        <w:tc>
          <w:tcPr>
            <w:tcW w:type="dxa" w:w="1440"/>
          </w:tcPr>
          <w:p>
            <w:r>
              <w:rPr/>
              <w:t>3</w:t>
            </w:r>
          </w:p>
        </w:tc>
        <w:tc>
          <w:tcPr>
            <w:tcW w:type="dxa" w:w="1440"/>
          </w:tcPr>
          <w:p>
            <w:r>
              <w:rPr/>
              <w:t>6,005.4 (5,889.3–6,068.5)</w:t>
            </w:r>
          </w:p>
        </w:tc>
        <w:tc>
          <w:tcPr>
            <w:tcW w:type="dxa" w:w="1440"/>
          </w:tcPr>
          <w:p>
            <w:r>
              <w:rPr/>
              <w:t>5,987.7 ± 52.5</w:t>
            </w:r>
          </w:p>
        </w:tc>
        <w:tc>
          <w:tcPr>
            <w:tcW w:type="dxa" w:w="1440"/>
          </w:tcPr>
          <w:p>
            <w:r>
              <w:rPr/>
              <w:t>90.9</w:t>
            </w:r>
          </w:p>
        </w:tc>
        <w:tc>
          <w:tcPr>
            <w:tcW w:type="dxa" w:w="1440"/>
          </w:tcPr>
          <w:p>
            <w:r>
              <w:rPr/>
              <w:t>1× (ref.)</w:t>
            </w:r>
          </w:p>
        </w:tc>
      </w:tr>
      <w:tr>
        <w:tc>
          <w:tcPr>
            <w:tcW w:type="dxa" w:w="1440"/>
          </w:tcPr>
          <w:p>
            <w:r>
              <w:rPr>
                <w:b/>
              </w:rPr>
              <w:t>Livia Zaharia (Zenodo 19487816)</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20.2 (20.1–20.8)</w:t>
            </w:r>
          </w:p>
        </w:tc>
        <w:tc>
          <w:tcPr>
            <w:tcW w:type="dxa" w:w="1440"/>
          </w:tcPr>
          <w:p>
            <w:r>
              <w:rPr/>
              <w:t>20.3 ± 0.1</w:t>
            </w:r>
          </w:p>
        </w:tc>
        <w:tc>
          <w:tcPr>
            <w:tcW w:type="dxa" w:w="1440"/>
          </w:tcPr>
          <w:p>
            <w:r>
              <w:rPr/>
              <w:t>0.2</w:t>
            </w:r>
          </w:p>
        </w:tc>
        <w:tc>
          <w:tcPr>
            <w:tcW w:type="dxa" w:w="1440"/>
          </w:tcPr>
          <w:p>
            <w:r>
              <w:rPr/>
              <w:t>—</w:t>
            </w:r>
          </w:p>
        </w:tc>
      </w:tr>
      <w:tr>
        <w:tc>
          <w:tcPr>
            <w:tcW w:type="dxa" w:w="1440"/>
          </w:tcPr>
          <w:p>
            <w:r>
              <w:rPr/>
              <w:t>Generation II, full</w:t>
            </w:r>
          </w:p>
        </w:tc>
        <w:tc>
          <w:tcPr>
            <w:tcW w:type="dxa" w:w="1440"/>
          </w:tcPr>
          <w:p>
            <w:r>
              <w:rPr/>
              <w:t>10</w:t>
            </w:r>
          </w:p>
        </w:tc>
        <w:tc>
          <w:tcPr>
            <w:tcW w:type="dxa" w:w="1440"/>
          </w:tcPr>
          <w:p>
            <w:r>
              <w:rPr/>
              <w:t>65.1 (62.0–107.6)</w:t>
            </w:r>
          </w:p>
        </w:tc>
        <w:tc>
          <w:tcPr>
            <w:tcW w:type="dxa" w:w="1440"/>
          </w:tcPr>
          <w:p>
            <w:r>
              <w:rPr/>
              <w:t>72.7 ± 5.0</w:t>
            </w:r>
          </w:p>
        </w:tc>
        <w:tc>
          <w:tcPr>
            <w:tcW w:type="dxa" w:w="1440"/>
          </w:tcPr>
          <w:p>
            <w:r>
              <w:rPr/>
              <w:t>15.8</w:t>
            </w:r>
          </w:p>
        </w:tc>
        <w:tc>
          <w:tcPr>
            <w:tcW w:type="dxa" w:w="1440"/>
          </w:tcPr>
          <w:p>
            <w:r>
              <w:rPr/>
              <w:t>128×</w:t>
            </w:r>
          </w:p>
        </w:tc>
      </w:tr>
      <w:tr>
        <w:tc>
          <w:tcPr>
            <w:tcW w:type="dxa" w:w="1440"/>
          </w:tcPr>
          <w:p>
            <w:r>
              <w:rPr/>
              <w:t>Generation II, cold</w:t>
            </w:r>
          </w:p>
        </w:tc>
        <w:tc>
          <w:tcPr>
            <w:tcW w:type="dxa" w:w="1440"/>
          </w:tcPr>
          <w:p>
            <w:r>
              <w:rPr/>
              <w:t>3</w:t>
            </w:r>
          </w:p>
        </w:tc>
        <w:tc>
          <w:tcPr>
            <w:tcW w:type="dxa" w:w="1440"/>
          </w:tcPr>
          <w:p>
            <w:r>
              <w:rPr/>
              <w:t>65.6 (65.3–65.7)</w:t>
            </w:r>
          </w:p>
        </w:tc>
        <w:tc>
          <w:tcPr>
            <w:tcW w:type="dxa" w:w="1440"/>
          </w:tcPr>
          <w:p>
            <w:r>
              <w:rPr/>
              <w:t>65.5 ± 0.1</w:t>
            </w:r>
          </w:p>
        </w:tc>
        <w:tc>
          <w:tcPr>
            <w:tcW w:type="dxa" w:w="1440"/>
          </w:tcPr>
          <w:p>
            <w:r>
              <w:rPr/>
              <w:t>0.2</w:t>
            </w:r>
          </w:p>
        </w:tc>
        <w:tc>
          <w:tcPr>
            <w:tcW w:type="dxa" w:w="1440"/>
          </w:tcPr>
          <w:p>
            <w:r>
              <w:rPr/>
              <w:t>127×</w:t>
            </w:r>
          </w:p>
        </w:tc>
      </w:tr>
      <w:tr>
        <w:tc>
          <w:tcPr>
            <w:tcW w:type="dxa" w:w="1440"/>
          </w:tcPr>
          <w:p>
            <w:r>
              <w:rPr/>
              <w:t>Generation I (OakVar 2.13.1), full</w:t>
            </w:r>
          </w:p>
        </w:tc>
        <w:tc>
          <w:tcPr>
            <w:tcW w:type="dxa" w:w="1440"/>
          </w:tcPr>
          <w:p>
            <w:r>
              <w:rPr/>
              <w:t>3</w:t>
            </w:r>
          </w:p>
        </w:tc>
        <w:tc>
          <w:tcPr>
            <w:tcW w:type="dxa" w:w="1440"/>
          </w:tcPr>
          <w:p>
            <w:r>
              <w:rPr/>
              <w:t>8,337.6 (8,325.7–10,627.7)</w:t>
            </w:r>
          </w:p>
        </w:tc>
        <w:tc>
          <w:tcPr>
            <w:tcW w:type="dxa" w:w="1440"/>
          </w:tcPr>
          <w:p>
            <w:r>
              <w:rPr/>
              <w:t>9,097.0 ± 765.4</w:t>
            </w:r>
          </w:p>
        </w:tc>
        <w:tc>
          <w:tcPr>
            <w:tcW w:type="dxa" w:w="1440"/>
          </w:tcPr>
          <w:p>
            <w:r>
              <w:rPr/>
              <w:t>1,325.6</w:t>
            </w:r>
          </w:p>
        </w:tc>
        <w:tc>
          <w:tcPr>
            <w:tcW w:type="dxa" w:w="1440"/>
          </w:tcPr>
          <w:p>
            <w:r>
              <w:rPr/>
              <w:t>1× (ref.)</w:t>
            </w:r>
          </w:p>
        </w:tc>
      </w:tr>
      <w:tr>
        <w:tc>
          <w:tcPr>
            <w:tcW w:type="dxa" w:w="1440"/>
          </w:tcPr>
          <w:p>
            <w:r>
              <w:rPr>
                <w:b/>
              </w:rPr>
              <w:t>Community reference (HG002, DeepVariant case study)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17.0 (16.9–17.2)</w:t>
            </w:r>
          </w:p>
        </w:tc>
        <w:tc>
          <w:tcPr>
            <w:tcW w:type="dxa" w:w="1440"/>
          </w:tcPr>
          <w:p>
            <w:r>
              <w:rPr/>
              <w:t>17.0 ± 0.0</w:t>
            </w:r>
          </w:p>
        </w:tc>
        <w:tc>
          <w:tcPr>
            <w:tcW w:type="dxa" w:w="1440"/>
          </w:tcPr>
          <w:p>
            <w:r>
              <w:rPr/>
              <w:t>0.1</w:t>
            </w:r>
          </w:p>
        </w:tc>
        <w:tc>
          <w:tcPr>
            <w:tcW w:type="dxa" w:w="1440"/>
          </w:tcPr>
          <w:p>
            <w:r>
              <w:rPr/>
              <w:t>—</w:t>
            </w:r>
          </w:p>
        </w:tc>
      </w:tr>
      <w:tr>
        <w:tc>
          <w:tcPr>
            <w:tcW w:type="dxa" w:w="1440"/>
          </w:tcPr>
          <w:p>
            <w:r>
              <w:rPr/>
              <w:t>Generation II, full</w:t>
            </w:r>
          </w:p>
        </w:tc>
        <w:tc>
          <w:tcPr>
            <w:tcW w:type="dxa" w:w="1440"/>
          </w:tcPr>
          <w:p>
            <w:r>
              <w:rPr/>
              <w:t>5</w:t>
            </w:r>
          </w:p>
        </w:tc>
        <w:tc>
          <w:tcPr>
            <w:tcW w:type="dxa" w:w="1440"/>
          </w:tcPr>
          <w:p>
            <w:r>
              <w:rPr/>
              <w:t>38.4 (38.2–38.5)</w:t>
            </w:r>
          </w:p>
        </w:tc>
        <w:tc>
          <w:tcPr>
            <w:tcW w:type="dxa" w:w="1440"/>
          </w:tcPr>
          <w:p>
            <w:r>
              <w:rPr/>
              <w:t>38.3 ± 0.1</w:t>
            </w:r>
          </w:p>
        </w:tc>
        <w:tc>
          <w:tcPr>
            <w:tcW w:type="dxa" w:w="1440"/>
          </w:tcPr>
          <w:p>
            <w:r>
              <w:rPr/>
              <w:t>0.1</w:t>
            </w:r>
          </w:p>
        </w:tc>
        <w:tc>
          <w:tcPr>
            <w:tcW w:type="dxa" w:w="1440"/>
          </w:tcPr>
          <w:p>
            <w:r>
              <w:rPr/>
              <w:t>—</w:t>
            </w:r>
          </w:p>
        </w:tc>
      </w:tr>
      <w:tr>
        <w:tc>
          <w:tcPr>
            <w:tcW w:type="dxa" w:w="1440"/>
          </w:tcPr>
          <w:p>
            <w:r>
              <w:rPr/>
              <w:t>Generation II, cold</w:t>
            </w:r>
          </w:p>
        </w:tc>
        <w:tc>
          <w:tcPr>
            <w:tcW w:type="dxa" w:w="1440"/>
          </w:tcPr>
          <w:p>
            <w:r>
              <w:rPr/>
              <w:t>3</w:t>
            </w:r>
          </w:p>
        </w:tc>
        <w:tc>
          <w:tcPr>
            <w:tcW w:type="dxa" w:w="1440"/>
          </w:tcPr>
          <w:p>
            <w:r>
              <w:rPr/>
              <w:t>41.9 (41.7–42.0)</w:t>
            </w:r>
          </w:p>
        </w:tc>
        <w:tc>
          <w:tcPr>
            <w:tcW w:type="dxa" w:w="1440"/>
          </w:tcPr>
          <w:p>
            <w:r>
              <w:rPr/>
              <w:t>41.8 ± 0.1</w:t>
            </w:r>
          </w:p>
        </w:tc>
        <w:tc>
          <w:tcPr>
            <w:tcW w:type="dxa" w:w="1440"/>
          </w:tcPr>
          <w:p>
            <w:r>
              <w:rPr/>
              <w:t>0.2</w:t>
            </w:r>
          </w:p>
        </w:tc>
        <w:tc>
          <w:tcPr>
            <w:tcW w:type="dxa" w:w="1440"/>
          </w:tcPr>
          <w:p>
            <w:r>
              <w:rPr/>
              <w:t>—</w:t>
            </w:r>
          </w:p>
        </w:tc>
      </w:tr>
      <w:tr>
        <w:tc>
          <w:tcPr>
            <w:tcW w:type="dxa" w:w="1440"/>
          </w:tcPr>
          <w:p>
            <w:r>
              <w:rPr>
                <w:b/>
              </w:rPr>
              <w:t>Anton Kulaga, 2023 call set (unpublished)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16.2 (16.1–16.4)</w:t>
            </w:r>
          </w:p>
        </w:tc>
        <w:tc>
          <w:tcPr>
            <w:tcW w:type="dxa" w:w="1440"/>
          </w:tcPr>
          <w:p>
            <w:r>
              <w:rPr/>
              <w:t>16.2 ± 0.0</w:t>
            </w:r>
          </w:p>
        </w:tc>
        <w:tc>
          <w:tcPr>
            <w:tcW w:type="dxa" w:w="1440"/>
          </w:tcPr>
          <w:p>
            <w:r>
              <w:rPr/>
              <w:t>0.1</w:t>
            </w:r>
          </w:p>
        </w:tc>
        <w:tc>
          <w:tcPr>
            <w:tcW w:type="dxa" w:w="1440"/>
          </w:tcPr>
          <w:p>
            <w:r>
              <w:rPr/>
              <w:t>—</w:t>
            </w:r>
          </w:p>
        </w:tc>
      </w:tr>
      <w:tr>
        <w:tc>
          <w:tcPr>
            <w:tcW w:type="dxa" w:w="1440"/>
          </w:tcPr>
          <w:p>
            <w:r>
              <w:rPr/>
              <w:t>Generation II, full</w:t>
            </w:r>
          </w:p>
        </w:tc>
        <w:tc>
          <w:tcPr>
            <w:tcW w:type="dxa" w:w="1440"/>
          </w:tcPr>
          <w:p>
            <w:r>
              <w:rPr/>
              <w:t>10</w:t>
            </w:r>
          </w:p>
        </w:tc>
        <w:tc>
          <w:tcPr>
            <w:tcW w:type="dxa" w:w="1440"/>
          </w:tcPr>
          <w:p>
            <w:r>
              <w:rPr/>
              <w:t>33.7 (33.0–105.0)</w:t>
            </w:r>
          </w:p>
        </w:tc>
        <w:tc>
          <w:tcPr>
            <w:tcW w:type="dxa" w:w="1440"/>
          </w:tcPr>
          <w:p>
            <w:r>
              <w:rPr/>
              <w:t>54.4 ± 9.2</w:t>
            </w:r>
          </w:p>
        </w:tc>
        <w:tc>
          <w:tcPr>
            <w:tcW w:type="dxa" w:w="1440"/>
          </w:tcPr>
          <w:p>
            <w:r>
              <w:rPr/>
              <w:t>29.2</w:t>
            </w:r>
          </w:p>
        </w:tc>
        <w:tc>
          <w:tcPr>
            <w:tcW w:type="dxa" w:w="1440"/>
          </w:tcPr>
          <w:p>
            <w:r>
              <w:rPr/>
              <w:t>231×</w:t>
            </w:r>
          </w:p>
        </w:tc>
      </w:tr>
      <w:tr>
        <w:tc>
          <w:tcPr>
            <w:tcW w:type="dxa" w:w="1440"/>
          </w:tcPr>
          <w:p>
            <w:r>
              <w:rPr/>
              <w:t>Generation II, cold</w:t>
            </w:r>
          </w:p>
        </w:tc>
        <w:tc>
          <w:tcPr>
            <w:tcW w:type="dxa" w:w="1440"/>
          </w:tcPr>
          <w:p>
            <w:r>
              <w:rPr/>
              <w:t>3</w:t>
            </w:r>
          </w:p>
        </w:tc>
        <w:tc>
          <w:tcPr>
            <w:tcW w:type="dxa" w:w="1440"/>
          </w:tcPr>
          <w:p>
            <w:r>
              <w:rPr/>
              <w:t>36.7 (36.7–36.9)</w:t>
            </w:r>
          </w:p>
        </w:tc>
        <w:tc>
          <w:tcPr>
            <w:tcW w:type="dxa" w:w="1440"/>
          </w:tcPr>
          <w:p>
            <w:r>
              <w:rPr/>
              <w:t>36.7 ± 0.1</w:t>
            </w:r>
          </w:p>
        </w:tc>
        <w:tc>
          <w:tcPr>
            <w:tcW w:type="dxa" w:w="1440"/>
          </w:tcPr>
          <w:p>
            <w:r>
              <w:rPr/>
              <w:t>0.1</w:t>
            </w:r>
          </w:p>
        </w:tc>
        <w:tc>
          <w:tcPr>
            <w:tcW w:type="dxa" w:w="1440"/>
          </w:tcPr>
          <w:p>
            <w:r>
              <w:rPr/>
              <w:t>212×</w:t>
            </w:r>
          </w:p>
        </w:tc>
      </w:tr>
      <w:tr>
        <w:tc>
          <w:tcPr>
            <w:tcW w:type="dxa" w:w="1440"/>
          </w:tcPr>
          <w:p>
            <w:r>
              <w:rPr/>
              <w:t>Generation I (OakVar 2.13.1), full</w:t>
            </w:r>
          </w:p>
        </w:tc>
        <w:tc>
          <w:tcPr>
            <w:tcW w:type="dxa" w:w="1440"/>
          </w:tcPr>
          <w:p>
            <w:r>
              <w:rPr/>
              <w:t>3</w:t>
            </w:r>
          </w:p>
        </w:tc>
        <w:tc>
          <w:tcPr>
            <w:tcW w:type="dxa" w:w="1440"/>
          </w:tcPr>
          <w:p>
            <w:r>
              <w:rPr/>
              <w:t>7,785.3 (5,995.5–8,281.0)</w:t>
            </w:r>
          </w:p>
        </w:tc>
        <w:tc>
          <w:tcPr>
            <w:tcW w:type="dxa" w:w="1440"/>
          </w:tcPr>
          <w:p>
            <w:r>
              <w:rPr/>
              <w:t>7,353.9 ± 694.1</w:t>
            </w:r>
          </w:p>
        </w:tc>
        <w:tc>
          <w:tcPr>
            <w:tcW w:type="dxa" w:w="1440"/>
          </w:tcPr>
          <w:p>
            <w:r>
              <w:rPr/>
              <w:t>1,202.2</w:t>
            </w:r>
          </w:p>
        </w:tc>
        <w:tc>
          <w:tcPr>
            <w:tcW w:type="dxa" w:w="1440"/>
          </w:tcPr>
          <w:p>
            <w:r>
              <w:rPr/>
              <w:t>1× (ref.)</w:t>
            </w:r>
          </w:p>
        </w:tc>
      </w:tr>
      <w:tr>
        <w:tc>
          <w:tcPr>
            <w:tcW w:type="dxa" w:w="1440"/>
          </w:tcPr>
          <w:p>
            <w:r>
              <w:rPr>
                <w:b/>
              </w:rPr>
              <w:t>Anton Kulaga, published call set, against a whole-genome reference database (first run of each dropped)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full + Ensembl</w:t>
            </w:r>
          </w:p>
        </w:tc>
        <w:tc>
          <w:tcPr>
            <w:tcW w:type="dxa" w:w="1440"/>
          </w:tcPr>
          <w:p>
            <w:r>
              <w:rPr/>
              <w:t>2</w:t>
            </w:r>
          </w:p>
        </w:tc>
        <w:tc>
          <w:tcPr>
            <w:tcW w:type="dxa" w:w="1440"/>
          </w:tcPr>
          <w:p>
            <w:r>
              <w:rPr/>
              <w:t>103.1 (64.2–142.0)</w:t>
            </w:r>
          </w:p>
        </w:tc>
        <w:tc>
          <w:tcPr>
            <w:tcW w:type="dxa" w:w="1440"/>
          </w:tcPr>
          <w:p>
            <w:r>
              <w:rPr/>
              <w:t>103.1 ± 38.9</w:t>
            </w:r>
          </w:p>
        </w:tc>
        <w:tc>
          <w:tcPr>
            <w:tcW w:type="dxa" w:w="1440"/>
          </w:tcPr>
          <w:p>
            <w:r>
              <w:rPr/>
              <w:t>55.0</w:t>
            </w:r>
          </w:p>
        </w:tc>
        <w:tc>
          <w:tcPr>
            <w:tcW w:type="dxa" w:w="1440"/>
          </w:tcPr>
          <w:p>
            <w:r>
              <w:rPr/>
              <w:t>34×</w:t>
            </w:r>
          </w:p>
        </w:tc>
      </w:tr>
      <w:tr>
        <w:tc>
          <w:tcPr>
            <w:tcW w:type="dxa" w:w="1440"/>
          </w:tcPr>
          <w:p>
            <w:r>
              <w:rPr/>
              <w:t>Generation I (OakVar 2.13.1), dbSNP only</w:t>
            </w:r>
          </w:p>
        </w:tc>
        <w:tc>
          <w:tcPr>
            <w:tcW w:type="dxa" w:w="1440"/>
          </w:tcPr>
          <w:p>
            <w:r>
              <w:rPr/>
              <w:t>2</w:t>
            </w:r>
          </w:p>
        </w:tc>
        <w:tc>
          <w:tcPr>
            <w:tcW w:type="dxa" w:w="1440"/>
          </w:tcPr>
          <w:p>
            <w:r>
              <w:rPr/>
              <w:t>3,537.2 (3,446.8–3,627.5)</w:t>
            </w:r>
          </w:p>
        </w:tc>
        <w:tc>
          <w:tcPr>
            <w:tcW w:type="dxa" w:w="1440"/>
          </w:tcPr>
          <w:p>
            <w:r>
              <w:rPr/>
              <w:t>3,537.2 ± 90.3</w:t>
            </w:r>
          </w:p>
        </w:tc>
        <w:tc>
          <w:tcPr>
            <w:tcW w:type="dxa" w:w="1440"/>
          </w:tcPr>
          <w:p>
            <w:r>
              <w:rPr/>
              <w:t>127.8</w:t>
            </w:r>
          </w:p>
        </w:tc>
        <w:tc>
          <w:tcPr>
            <w:tcW w:type="dxa" w:w="1440"/>
          </w:tcPr>
          <w:p>
            <w:r>
              <w:rPr/>
              <w:t>1× (ref.)</w:t>
            </w:r>
          </w:p>
        </w:tc>
      </w:tr>
    </w:tbl>
    <w:p>
      <w:pPr>
        <w:pStyle w:val="Heading2"/>
      </w:pPr>
      <w:r>
        <w:rPr>
          <w:b/>
        </w:rPr>
        <w:t>4.2 PRS Computation</w:t>
      </w:r>
    </w:p>
    <w:p>
      <w:r>
        <w:rPr/>
        <w:t>The two just-prs engines agreed closely on the benchmark genome, while agreement with PLINK2 depended on how variants were matched (Supplementary S3).</w:t>
      </w:r>
      <w:r>
        <w:rPr/>
        <w:t xml:space="preserve"> The allele-aware rerun with just-prs 0.10.2 is reported below and in Tables 3 and 4.</w:t>
      </w:r>
    </w:p>
    <w:p>
      <w:r>
        <w:rPr/>
        <w:t>We benchmarked the DuckDB and Polars engines of just-prs against the external tool PLINK2 (Chang et al., 2015) on 100 PGS Catalog scores (listed in Supplementary S3) using Anton Kulaga's published whole-genome VCF of Section 4.1 (4,661,444 records with FILTER PASS or unset, GRCh38; Zenodo 18370498).</w:t>
      </w:r>
      <w:r>
        <w:rPr/>
        <w:t xml:space="preserve"> Engines, timing and memory measurement are those of the benchmark script of just-prs 0.10.1, run through a harness described in Supplementary S3 on the workstation of Table S6.</w:t>
      </w:r>
      <w:r>
        <w:rPr/>
        <w:t xml:space="preserve"> In both runs PLINK2 used four compute threads and the just-prs engines their default thread pools (one thread per logical CPU, 16 in both runs).</w:t>
      </w:r>
      <w:r>
        <w:rPr/>
        <w:t xml:space="preserve"> Each PLINK2 time also includes starting a separate process, so the speed comparison describes this configuration rather than equal resources.</w:t>
      </w:r>
      <w:r>
        <w:rPr/>
        <w:t xml:space="preserve"> Each observation is a different scoring model applied to the same individual.</w:t>
      </w:r>
      <w:r>
        <w:rPr/>
        <w:t xml:space="preserve"> The allele check of Section 3.2 came in just-prs 0.10.2, and the rerun below uses it.</w:t>
      </w:r>
    </w:p>
    <w:p>
      <w:r>
        <w:rPr/>
        <w:t>The just-prs project reran the same 100 scores on the same genome with just-prs 0.10.2, against the same PLINK2 build reading the PASS records, with PLINK2's score file built as for the fixed input of Supplementary S3 (identifiers for every candidate other allele, and the weights of identifiers that two scoring rows share after liftover summed); both tools read chromosomes 1 to 22 only.</w:t>
      </w:r>
      <w:r>
        <w:rPr/>
        <w:t xml:space="preserve"> Against PLINK2, Pearson </w:t>
      </w:r>
      <w:r>
        <w:rPr>
          <w:i/>
        </w:rPr>
        <w:t>r</w:t>
      </w:r>
      <w:r>
        <w:rPr/>
        <w:t xml:space="preserve"> was 0.99999996 and the largest score difference 0.049, for DuckDB and Polars alike.</w:t>
      </w:r>
      <w:r>
        <w:rPr/>
        <w:t xml:space="preserve"> Median runtimes (min–max) were 0.082 s (0.066–2.80) for DuckDB, 0.309 s (0.292–2.92) for Polars and 0.602 s (0.602–3.51) for PLINK2 (Tables 3 and 4).</w:t>
      </w:r>
      <w:r>
        <w:rPr/>
        <w:t xml:space="preserve"> Of the remaining absolute difference, 92% came from 30 scores at multi-allelic sites where the effect or other allele is the second or a later alternate allele, and 8% from 15 scores at SNVs where the sample carries a third allele beside the effect allele and just-prs counts the one effect-allele copy.</w:t>
      </w:r>
    </w:p>
    <w:p>
      <w:r>
        <w:rPr/>
        <w:t>The earlier benchmark with just-prs 0.10.1, which matched genotypes by position alone, is documented in Supplementary S3, so that its results remain traceable to the recorded protocol.</w:t>
      </w:r>
    </w:p>
    <w:p>
      <w:r>
        <w:rPr>
          <w:b/>
        </w:rPr>
        <w:t>Table 3.</w:t>
      </w:r>
      <w:r>
        <w:rPr/>
        <w:t xml:space="preserve"> Runtime of PRS computation engines (seconds per PGS ID) in the just-prs 0.10.2 rerun.</w:t>
      </w:r>
      <w:r>
        <w:rPr/>
        <w:t xml:space="preserve"> "Excl." excludes the 7 PGS IDs with ≥ 1M variants.</w:t>
      </w:r>
      <w:r>
        <w:rPr/>
        <w:t xml:space="preserve"> The speedup is PLINK2's median divided by the engine's; the median of the per-score ratios is shown beside it.</w:t>
      </w:r>
      <w:r>
        <w:rPr/>
        <w:t xml:space="preserve"> PLINK2 runs as a separate process whose end the benchmark script notices only at its next memory sample, taken every 0.1 s, so its times can exceed the true run time by up to 0.1 s (90 of its 100 times are 0.602 s, as in the 0.10.1 run); its median therefore lies between about 0.50 and 0.60 s, and the speedups between about 6.1× and 7.3× for DuckDB and between 1.6× and 1.9× for Polars.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Engine</w:t>
            </w:r>
          </w:p>
        </w:tc>
        <w:tc>
          <w:tcPr>
            <w:tcW w:type="dxa" w:w="1234"/>
          </w:tcPr>
          <w:p>
            <w:r>
              <w:rPr>
                <w:b/>
                <w:i/>
              </w:rPr>
              <w:t>N</w:t>
            </w:r>
            <w:r>
              <w:rPr>
                <w:b/>
              </w:rPr>
              <w:t xml:space="preserve"> scored</w:t>
            </w:r>
          </w:p>
        </w:tc>
        <w:tc>
          <w:tcPr>
            <w:tcW w:type="dxa" w:w="1234"/>
          </w:tcPr>
          <w:p>
            <w:r>
              <w:rPr>
                <w:b/>
              </w:rPr>
              <w:t>Median (all), s</w:t>
            </w:r>
          </w:p>
        </w:tc>
        <w:tc>
          <w:tcPr>
            <w:tcW w:type="dxa" w:w="1234"/>
          </w:tcPr>
          <w:p>
            <w:r>
              <w:rPr>
                <w:b/>
              </w:rPr>
              <w:t>Mean (all), s</w:t>
            </w:r>
          </w:p>
        </w:tc>
        <w:tc>
          <w:tcPr>
            <w:tcW w:type="dxa" w:w="1234"/>
          </w:tcPr>
          <w:p>
            <w:r>
              <w:rPr>
                <w:b/>
              </w:rPr>
              <w:t>Median (excl.</w:t>
            </w:r>
            <w:r>
              <w:rPr>
                <w:b/>
              </w:rPr>
              <w:t xml:space="preserve"> 7 with ≥ 1M variants), s</w:t>
            </w:r>
          </w:p>
        </w:tc>
        <w:tc>
          <w:tcPr>
            <w:tcW w:type="dxa" w:w="1234"/>
          </w:tcPr>
          <w:p>
            <w:r>
              <w:rPr>
                <w:b/>
              </w:rPr>
              <w:t>PLINK2 median ÷ engine median</w:t>
            </w:r>
          </w:p>
        </w:tc>
        <w:tc>
          <w:tcPr>
            <w:tcW w:type="dxa" w:w="1234"/>
          </w:tcPr>
          <w:p>
            <w:r>
              <w:rPr>
                <w:b/>
              </w:rPr>
              <w:t>Median per-ID PLINK2 ÷ engine</w:t>
            </w:r>
          </w:p>
        </w:tc>
      </w:tr>
      <w:tr>
        <w:tc>
          <w:tcPr>
            <w:tcW w:type="dxa" w:w="1234"/>
          </w:tcPr>
          <w:p>
            <w:r>
              <w:rPr/>
              <w:t>just-prs DuckDB</w:t>
            </w:r>
          </w:p>
        </w:tc>
        <w:tc>
          <w:tcPr>
            <w:tcW w:type="dxa" w:w="1234"/>
          </w:tcPr>
          <w:p>
            <w:r>
              <w:rPr/>
              <w:t>100</w:t>
            </w:r>
          </w:p>
        </w:tc>
        <w:tc>
          <w:tcPr>
            <w:tcW w:type="dxa" w:w="1234"/>
          </w:tcPr>
          <w:p>
            <w:r>
              <w:rPr/>
              <w:t>0.082</w:t>
            </w:r>
          </w:p>
        </w:tc>
        <w:tc>
          <w:tcPr>
            <w:tcW w:type="dxa" w:w="1234"/>
          </w:tcPr>
          <w:p>
            <w:r>
              <w:rPr/>
              <w:t>0.217</w:t>
            </w:r>
          </w:p>
        </w:tc>
        <w:tc>
          <w:tcPr>
            <w:tcW w:type="dxa" w:w="1234"/>
          </w:tcPr>
          <w:p>
            <w:r>
              <w:rPr/>
              <w:t>0.082</w:t>
            </w:r>
          </w:p>
        </w:tc>
        <w:tc>
          <w:tcPr>
            <w:tcW w:type="dxa" w:w="1234"/>
          </w:tcPr>
          <w:p>
            <w:r>
              <w:rPr/>
              <w:t>7.3×</w:t>
            </w:r>
          </w:p>
        </w:tc>
        <w:tc>
          <w:tcPr>
            <w:tcW w:type="dxa" w:w="1234"/>
          </w:tcPr>
          <w:p>
            <w:r>
              <w:rPr/>
              <w:t>7.3× (n=100)</w:t>
            </w:r>
          </w:p>
        </w:tc>
      </w:tr>
      <w:tr>
        <w:tc>
          <w:tcPr>
            <w:tcW w:type="dxa" w:w="1234"/>
          </w:tcPr>
          <w:p>
            <w:r>
              <w:rPr/>
              <w:t>just-prs Polars</w:t>
            </w:r>
          </w:p>
        </w:tc>
        <w:tc>
          <w:tcPr>
            <w:tcW w:type="dxa" w:w="1234"/>
          </w:tcPr>
          <w:p>
            <w:r>
              <w:rPr/>
              <w:t>100</w:t>
            </w:r>
          </w:p>
        </w:tc>
        <w:tc>
          <w:tcPr>
            <w:tcW w:type="dxa" w:w="1234"/>
          </w:tcPr>
          <w:p>
            <w:r>
              <w:rPr/>
              <w:t>0.309</w:t>
            </w:r>
          </w:p>
        </w:tc>
        <w:tc>
          <w:tcPr>
            <w:tcW w:type="dxa" w:w="1234"/>
          </w:tcPr>
          <w:p>
            <w:r>
              <w:rPr/>
              <w:t>0.438</w:t>
            </w:r>
          </w:p>
        </w:tc>
        <w:tc>
          <w:tcPr>
            <w:tcW w:type="dxa" w:w="1234"/>
          </w:tcPr>
          <w:p>
            <w:r>
              <w:rPr/>
              <w:t>0.309</w:t>
            </w:r>
          </w:p>
        </w:tc>
        <w:tc>
          <w:tcPr>
            <w:tcW w:type="dxa" w:w="1234"/>
          </w:tcPr>
          <w:p>
            <w:r>
              <w:rPr/>
              <w:t>1.9×</w:t>
            </w:r>
          </w:p>
        </w:tc>
        <w:tc>
          <w:tcPr>
            <w:tcW w:type="dxa" w:w="1234"/>
          </w:tcPr>
          <w:p>
            <w:r>
              <w:rPr/>
              <w:t>1.9× (n=100)</w:t>
            </w:r>
          </w:p>
        </w:tc>
      </w:tr>
      <w:tr>
        <w:tc>
          <w:tcPr>
            <w:tcW w:type="dxa" w:w="1234"/>
          </w:tcPr>
          <w:p>
            <w:r>
              <w:rPr/>
              <w:t>PLINK2</w:t>
            </w:r>
          </w:p>
        </w:tc>
        <w:tc>
          <w:tcPr>
            <w:tcW w:type="dxa" w:w="1234"/>
          </w:tcPr>
          <w:p>
            <w:r>
              <w:rPr/>
              <w:t>100</w:t>
            </w:r>
          </w:p>
        </w:tc>
        <w:tc>
          <w:tcPr>
            <w:tcW w:type="dxa" w:w="1234"/>
          </w:tcPr>
          <w:p>
            <w:r>
              <w:rPr/>
              <w:t>0.602</w:t>
            </w:r>
          </w:p>
        </w:tc>
        <w:tc>
          <w:tcPr>
            <w:tcW w:type="dxa" w:w="1234"/>
          </w:tcPr>
          <w:p>
            <w:r>
              <w:rPr/>
              <w:t>0.753</w:t>
            </w:r>
          </w:p>
        </w:tc>
        <w:tc>
          <w:tcPr>
            <w:tcW w:type="dxa" w:w="1234"/>
          </w:tcPr>
          <w:p>
            <w:r>
              <w:rPr/>
              <w:t>0.602</w:t>
            </w:r>
          </w:p>
        </w:tc>
        <w:tc>
          <w:tcPr>
            <w:tcW w:type="dxa" w:w="1234"/>
          </w:tcPr>
          <w:p>
            <w:r>
              <w:rPr/>
              <w:t>1.0×</w:t>
            </w:r>
          </w:p>
        </w:tc>
        <w:tc>
          <w:tcPr>
            <w:tcW w:type="dxa" w:w="1234"/>
          </w:tcPr>
          <w:p>
            <w:r>
              <w:rPr/>
              <w:t>1.0× (n=100)</w:t>
            </w:r>
          </w:p>
        </w:tc>
      </w:tr>
    </w:tbl>
    <w:p>
      <w:r>
        <w:rPr>
          <w:b/>
        </w:rPr>
        <w:t>Table 4.</w:t>
      </w:r>
      <w:r>
        <w:rPr/>
        <w:t xml:space="preserve"> Score concordance between engines in the just-prs 0.10.2 rerun, with PLINK2 given the fixed input.</w:t>
      </w:r>
      <w:r>
        <w:rPr/>
        <w:t xml:space="preserve"> </w:t>
      </w:r>
      <w:r>
        <w:rPr>
          <w:i/>
        </w:rPr>
        <w:t>r</w:t>
      </w:r>
      <w:r>
        <w:rPr/>
        <w:t xml:space="preserve"> is computed across the scores of one genome, so the largest scores dominate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Engine pair</w:t>
            </w:r>
          </w:p>
        </w:tc>
        <w:tc>
          <w:tcPr>
            <w:tcW w:type="dxa" w:w="2160"/>
          </w:tcPr>
          <w:p>
            <w:r>
              <w:rPr>
                <w:b/>
                <w:i/>
              </w:rPr>
              <w:t>N</w:t>
            </w:r>
            <w:r>
              <w:rPr>
                <w:b/>
              </w:rPr>
              <w:t xml:space="preserve"> PGS</w:t>
            </w:r>
          </w:p>
        </w:tc>
        <w:tc>
          <w:tcPr>
            <w:tcW w:type="dxa" w:w="2160"/>
          </w:tcPr>
          <w:p>
            <w:r>
              <w:rPr>
                <w:b/>
              </w:rPr>
              <w:t xml:space="preserve">Pearson </w:t>
            </w:r>
            <w:r>
              <w:rPr>
                <w:b/>
                <w:i/>
              </w:rPr>
              <w:t>r</w:t>
            </w:r>
          </w:p>
        </w:tc>
        <w:tc>
          <w:tcPr>
            <w:tcW w:type="dxa" w:w="2160"/>
          </w:tcPr>
          <w:p>
            <w:r>
              <w:rPr>
                <w:b/>
              </w:rPr>
              <w:t>Max |Δ score|</w:t>
            </w:r>
          </w:p>
        </w:tc>
      </w:tr>
      <w:tr>
        <w:tc>
          <w:tcPr>
            <w:tcW w:type="dxa" w:w="2160"/>
          </w:tcPr>
          <w:p>
            <w:r>
              <w:rPr/>
              <w:t>just-prs DuckDB ↔ just-prs Polars</w:t>
            </w:r>
          </w:p>
        </w:tc>
        <w:tc>
          <w:tcPr>
            <w:tcW w:type="dxa" w:w="2160"/>
          </w:tcPr>
          <w:p>
            <w:r>
              <w:rPr/>
              <w:t>100</w:t>
            </w:r>
          </w:p>
        </w:tc>
        <w:tc>
          <w:tcPr>
            <w:tcW w:type="dxa" w:w="2160"/>
          </w:tcPr>
          <w:p>
            <w:r>
              <w:rPr/>
              <w:t>1.000000</w:t>
            </w:r>
          </w:p>
        </w:tc>
        <w:tc>
          <w:tcPr>
            <w:tcW w:type="dxa" w:w="2160"/>
          </w:tcPr>
          <w:p>
            <w:r>
              <w:rPr/>
              <w:t>5.68 × 10⁻¹⁴</w:t>
            </w:r>
          </w:p>
        </w:tc>
      </w:tr>
      <w:tr>
        <w:tc>
          <w:tcPr>
            <w:tcW w:type="dxa" w:w="2160"/>
          </w:tcPr>
          <w:p>
            <w:r>
              <w:rPr/>
              <w:t>just-prs DuckDB ↔ PLINK2</w:t>
            </w:r>
          </w:p>
        </w:tc>
        <w:tc>
          <w:tcPr>
            <w:tcW w:type="dxa" w:w="2160"/>
          </w:tcPr>
          <w:p>
            <w:r>
              <w:rPr/>
              <w:t>100</w:t>
            </w:r>
          </w:p>
        </w:tc>
        <w:tc>
          <w:tcPr>
            <w:tcW w:type="dxa" w:w="2160"/>
          </w:tcPr>
          <w:p>
            <w:r>
              <w:rPr/>
              <w:t>0.99999996</w:t>
            </w:r>
          </w:p>
        </w:tc>
        <w:tc>
          <w:tcPr>
            <w:tcW w:type="dxa" w:w="2160"/>
          </w:tcPr>
          <w:p>
            <w:r>
              <w:rPr/>
              <w:t>0.049</w:t>
            </w:r>
          </w:p>
        </w:tc>
      </w:tr>
      <w:tr>
        <w:tc>
          <w:tcPr>
            <w:tcW w:type="dxa" w:w="2160"/>
          </w:tcPr>
          <w:p>
            <w:r>
              <w:rPr/>
              <w:t>just-prs Polars ↔ PLINK2</w:t>
            </w:r>
          </w:p>
        </w:tc>
        <w:tc>
          <w:tcPr>
            <w:tcW w:type="dxa" w:w="2160"/>
          </w:tcPr>
          <w:p>
            <w:r>
              <w:rPr/>
              <w:t>100</w:t>
            </w:r>
          </w:p>
        </w:tc>
        <w:tc>
          <w:tcPr>
            <w:tcW w:type="dxa" w:w="2160"/>
          </w:tcPr>
          <w:p>
            <w:r>
              <w:rPr/>
              <w:t>0.99999996</w:t>
            </w:r>
          </w:p>
        </w:tc>
        <w:tc>
          <w:tcPr>
            <w:tcW w:type="dxa" w:w="2160"/>
          </w:tcPr>
          <w:p>
            <w:r>
              <w:rPr/>
              <w:t>0.049</w:t>
            </w:r>
          </w:p>
        </w:tc>
      </w:tr>
    </w:tbl>
    <w:p>
      <w:r>
        <w:rPr/>
        <w:t>DuckDB and Polars agreed to within 5.68 × 10⁻¹⁴ on this input.</w:t>
      </w:r>
      <w:r>
        <w:rPr/>
        <w:t xml:space="preserve"> Both apply the same dosage rule and weighted sum and differ mainly in how the join runs, so their agreement checks the implementation, not the method.</w:t>
      </w:r>
      <w:r>
        <w:rPr/>
        <w:t xml:space="preserve"> Scores also agreed closely with the external PLINK2 comparator (Pearson </w:t>
      </w:r>
      <w:r>
        <w:rPr>
          <w:i/>
        </w:rPr>
        <w:t>r</w:t>
      </w:r>
      <w:r>
        <w:rPr/>
        <w:t xml:space="preserve"> = 0.99999996; maximum absolute score difference 0.049).</w:t>
      </w:r>
      <w:r>
        <w:rPr/>
        <w:t xml:space="preserve"> The workflows differ in variant identification: just-prs joins on chromosome and position and then checks the alleles (Section 3.2), with no strand flipping and with restoration off, while PLINK2 matches exact chr:pos:ref:alt identifiers.</w:t>
      </w:r>
      <w:r>
        <w:rPr/>
        <w:t xml:space="preserve"> The two can therefore still treat some variants differently (the multi-allelic sites and third alleles above), and scores can differ despite the same weighted-sum calculation.</w:t>
      </w:r>
      <w:r>
        <w:rPr/>
        <w:t xml:space="preserve"> These differences come from the PLINK2 configuration used here and are not a general limitation of PLINK2.</w:t>
      </w:r>
      <w:r>
        <w:rPr/>
        <w:t xml:space="preserve"> Supplementary S3 reports memory for the 0.10.1 run.</w:t>
      </w:r>
    </w:p>
    <w:p>
      <w:r>
        <w:rPr/>
        <w:t>In the 0.10.2 rerun, the median share of a score's variants that were matched was 53% for just-prs (range 22 to 79%) and 51% for PLINK2 (range 22 to 78%); the counts are not the same measure (scoring rows matched to a called genotype for just-prs, variants processed and matched by identifier for PLINK2).</w:t>
      </w:r>
      <w:r>
        <w:rPr/>
        <w:t xml:space="preserve"> These values describe the benchmark configuration: homozygous-reference restoration, off here, and the LD-proxy estimation of the array workflow (Section 3.2) can raise coverage, and this comparison measures neither.</w:t>
      </w:r>
      <w:r>
        <w:rPr/>
        <w:t xml:space="preserve"> The reported speedups are ratios of median runtimes over the same 100 scores; the medians of the per-score ratios agree with them to the precision shown (Table 3).</w:t>
      </w:r>
      <w:r>
        <w:rPr/>
        <w:t xml:space="preserve"> Per-score timings exclude VCF normalization and genotype-file preparation for every engine.</w:t>
      </w:r>
      <w:r>
        <w:rPr/>
        <w:t xml:space="preserve"> They measure scoring from prepared inputs; scoring-file parsing is included for just-prs, while preparing PLINK2's score file is not.</w:t>
      </w:r>
    </w:p>
    <w:p>
      <w:r>
        <w:rPr/>
        <w:t>The rerun covers chromosomes 1 to 22; Supplementary S9 reports a run of 195 scores with X, Y, the pseudoautosomal regions and the mitochondrial genome included.</w:t>
      </w:r>
    </w:p>
    <w:p>
      <w:pPr>
        <w:pStyle w:val="Heading1"/>
      </w:pPr>
      <w:r>
        <w:rPr>
          <w:b/>
        </w:rPr>
        <w:t>5.</w:t>
      </w:r>
      <w:r>
        <w:rPr>
          <w:b/>
        </w:rPr>
        <w:t xml:space="preserve"> Discussion</w:t>
      </w:r>
    </w:p>
    <w:p>
      <w:r>
        <w:rPr/>
        <w:t>The platform connects a genome to the evidence used to annotate it: an individual variant's supporting studies and the reference population behind a polygenic percentile.</w:t>
      </w:r>
      <w:r>
        <w:rPr/>
        <w:t xml:space="preserve"> Because the same operations are reachable from a web interface, an AI assistant or a Python library, one installation serves people reading their own genome, researchers who publish and test modules, and developers who build on its libraries (Box 1).</w:t>
      </w:r>
      <w:r>
        <w:rPr/>
        <w:t xml:space="preserve"> The Longevity Variants example makes that connection visible at one locus; the module format lets researchers extend it to other questions without changing the annotation engine.</w:t>
      </w:r>
      <w:r>
        <w:rPr/>
        <w:t xml:space="preserve"> Local execution and visible provenance address two practical barriers to exploration: having to upload the genome to a third-party server, and curation that users cannot verify.</w:t>
      </w:r>
      <w:r>
        <w:rPr/>
        <w:t xml:space="preserve"> Their value depends on the underlying calls, studies and curation, whose limits are discussed below.</w:t>
      </w:r>
    </w:p>
    <w:p>
      <w:pPr>
        <w:pStyle w:val="Heading2"/>
      </w:pPr>
      <w:r>
        <w:rPr>
          <w:b/>
        </w:rPr>
        <w:t>5.1 Limitations of Variant Annotation</w:t>
      </w:r>
    </w:p>
    <w:p>
      <w:r>
        <w:rPr/>
        <w:t>Variant annotation tools are based on statistical associations from published literature.</w:t>
      </w:r>
      <w:r>
        <w:rPr/>
        <w:t xml:space="preserve"> Most reported variants are associations from genome-wide association studies (GWAS) without an established causal mechanism; many GWAS hits are tagging SNPs, and effect sizes typically shrink in replication.</w:t>
      </w:r>
      <w:r>
        <w:rPr/>
        <w:t xml:space="preserve"> Heritability is a population-level statistic, not a measure of individual determinism, and estimates change with environment, study design and cohort.</w:t>
      </w:r>
      <w:r>
        <w:rPr/>
        <w:t xml:space="preserve"> A polygenic risk score is a linear weighted sum that reflects where an individual falls in a reference population's distribution.</w:t>
      </w:r>
      <w:r>
        <w:rPr/>
        <w:t xml:space="preserve"> However, not all biological effects are linear, and a polygenic score does not always capture gene-gene and gene-environment interactions, feedback loops, developmental windows and compensatory mechanisms.</w:t>
      </w:r>
      <w:r>
        <w:rPr/>
        <w:t xml:space="preserve"> Most PGS Catalog scoring files were derived from predominantly European cohorts, so associations may not transfer to other ancestries (Section 5.4).</w:t>
      </w:r>
    </w:p>
    <w:p>
      <w:r>
        <w:rPr/>
        <w:t>AI-generated modules carry additional uncertainty: they are automated drafts produced by language models reading published papers, and they will contain mistakes.</w:t>
      </w:r>
      <w:r>
        <w:rPr/>
        <w:t xml:space="preserve"> Users should trust them less than expert-curated modules and review the underlying evidence.</w:t>
      </w:r>
      <w:r>
        <w:rPr/>
        <w:t xml:space="preserve"> Errors can also enter before and during annotation: raw VCFs contain false positives, and automated annotations have inherent error rates.</w:t>
      </w:r>
      <w:r>
        <w:rPr/>
        <w:t xml:space="preserve"> Just-DNA-Lite is a research tool, not a clinical pipeline, and it does not interpret results in a clinical context.</w:t>
      </w:r>
    </w:p>
    <w:p>
      <w:pPr>
        <w:pStyle w:val="Heading2"/>
      </w:pPr>
      <w:r>
        <w:rPr>
          <w:b/>
        </w:rPr>
        <w:t>5.2 Local Processing and Data Privacy</w:t>
      </w:r>
    </w:p>
    <w:p>
      <w:r>
        <w:rPr/>
        <w:t>Core annotation and PRS computation use local genome files, cached reference datasets and local result storage.</w:t>
      </w:r>
      <w:r>
        <w:rPr/>
        <w:t xml:space="preserve"> Downloading reference data does not require uploading the user's genome.</w:t>
      </w:r>
      <w:r>
        <w:rPr/>
        <w:t xml:space="preserve"> This architecture reduces the need to disclose genomic data to a hosted analysis service.</w:t>
      </w:r>
      <w:r>
        <w:rPr/>
        <w:t xml:space="preserve"> However, local execution is not a guarantee against disclosure through other parts of the workflow.</w:t>
      </w:r>
      <w:r>
        <w:rPr/>
        <w:t xml:space="preserve"> Optional AI explanations and MCP clients, for example, require a separate assessment.</w:t>
      </w:r>
      <w:r>
        <w:rPr/>
        <w:t xml:space="preserve"> In an annotation report, each variant row with an rsID has buttons that open a prepared question about it in ChatGPT, Claude, Perplexity or Grok.</w:t>
      </w:r>
      <w:r>
        <w:rPr/>
        <w:t xml:space="preserve"> Following one sends that variant's genotype, gene and stored interpretation to that provider.</w:t>
      </w:r>
      <w:r>
        <w:rPr/>
        <w:t xml:space="preserve"> A polygenic-score trait report has the same buttons (Figure 3), and following one sends that trait's results, model by model, to the provider.</w:t>
      </w:r>
      <w:r>
        <w:rPr/>
        <w:t xml:space="preserve"> More generally, when an assistant uses an external model provider, prompts and tool outputs may transmit sensitive results even if the raw VCF remains local.</w:t>
      </w:r>
      <w:r>
        <w:rPr/>
        <w:t xml:space="preserve"> Privacy therefore depends on the deployment, the selected services and the information shared with them.</w:t>
      </w:r>
      <w:r>
        <w:rPr/>
        <w:t xml:space="preserve"> The platform's local architecture alone does not establish regulatory compliance.</w:t>
      </w:r>
    </w:p>
    <w:p>
      <w:pPr>
        <w:pStyle w:val="Heading2"/>
      </w:pPr>
      <w:r>
        <w:rPr>
          <w:b/>
        </w:rPr>
        <w:t>5.3 Platform Philosophy: Transparency and the Right to Read Your Own Genome</w:t>
      </w:r>
    </w:p>
    <w:p>
      <w:commentRangeStart w:id="14"/>
      <w:r>
        <w:rPr/>
        <w:t>Just-DNA-Lite starts from the view that people have the right to read and explore their own genomic data, and that well-intentioned researchers have the right to work with public genomes without a gatekeeper's permission.</w:t>
      </w:r>
      <w:commentRangeEnd w:id="14"/>
      <w:r>
        <w:rPr>
          <w:rStyle w:val="CommentReference"/>
        </w:rPr>
        <w:commentReference w:id="14"/>
      </w:r>
      <w:r>
        <w:rPr/>
        <w:t xml:space="preserve"> Many data-protection laws give people a right of access to their personal data.</w:t>
      </w:r>
      <w:r>
        <w:rPr/>
        <w:t xml:space="preserve"> In the European Union, for example, the GDPR's right of access (Article 15) entitles individuals to obtain a copy of their personal data, and the emerging European Health Data Space is designed to give people access to and control over their own health information.</w:t>
      </w:r>
      <w:r>
        <w:rPr/>
        <w:t xml:space="preserve"> A tool that runs locally and shows users useful information in their own genome helps them exercise a right they already have.</w:t>
      </w:r>
    </w:p>
    <w:p>
      <w:r>
        <w:rPr/>
        <w:t>Genomic findings can be misinterpreted or provide false reassurance, particularly when analytical errors and ancestry differences are overlooked (Tandy-Connor et al., 2018; Manrai et al., 2016).</w:t>
      </w:r>
      <w:r>
        <w:rPr/>
        <w:t xml:space="preserve"> The interface presents model provenance, variant-match rates, ancestry context and differences among scores to make these limitations inspectable.</w:t>
      </w:r>
      <w:r>
        <w:rPr/>
        <w:t xml:space="preserve"> Displaying this information is a design choice; whether it improves user understanding requires a usability study.</w:t>
      </w:r>
      <w:r>
        <w:rPr/>
        <w:t xml:space="preserve"> The platform is not intended to provide medical advice.</w:t>
      </w:r>
      <w:r>
        <w:rPr/>
        <w:t xml:space="preserve"> Each report states that it is not a diagnosis and that clinical decisions, medicines, supplements and lifestyle changes need review by a qualified healthcare professional together with validated testing.</w:t>
      </w:r>
      <w:r>
        <w:rPr/>
        <w:t xml:space="preserve"> The interface also advises re-testing interesting findings with a clinically validated method in a certified laboratory.</w:t>
      </w:r>
    </w:p>
    <w:p>
      <w:pPr>
        <w:pStyle w:val="Heading2"/>
      </w:pPr>
      <w:r>
        <w:rPr>
          <w:b/>
        </w:rPr>
        <w:t>5.4 Limitations</w:t>
      </w:r>
    </w:p>
    <w:p>
      <w:r>
        <w:rPr>
          <w:b/>
        </w:rPr>
        <w:t>Transferability across ancestries.</w:t>
      </w:r>
      <w:r>
        <w:rPr/>
        <w:t xml:space="preserve"> The percentile distributions based on 1000 Genomes provide population-specific reference points (AFR, AMR, EAS, EUR, SAS), but most modules and PGS Catalog scoring files derive from predominantly European cohorts; transferability to non-European populations is a known limitation of the source data.</w:t>
      </w:r>
      <w:r>
        <w:rPr/>
        <w:t xml:space="preserve"> The quality labels take a score's AUROC from its largest Catalog evaluation, with European-ancestry evaluations preferred, whatever the ancestry of the genome scored.</w:t>
      </w:r>
      <w:r>
        <w:rPr/>
        <w:t xml:space="preserve"> A label can therefore overstate how well a score performs in another ancestry.</w:t>
      </w:r>
      <w:r>
        <w:rPr/>
        <w:t xml:space="preserve"> </w:t>
      </w:r>
      <w:r>
        <w:rPr>
          <w:b/>
        </w:rPr>
        <w:t>Ancestry selection.</w:t>
      </w:r>
      <w:r>
        <w:rPr/>
        <w:t xml:space="preserve"> The reference superpopulation is inferred from the genome and can be changed by the user, but five continental superpopulations do not represent admixed or finer-scale ancestry.</w:t>
      </w:r>
      <w:r>
        <w:rPr/>
        <w:t xml:space="preserve"> </w:t>
      </w:r>
      <w:r>
        <w:rPr>
          <w:b/>
        </w:rPr>
        <w:t>Input format.</w:t>
      </w:r>
      <w:r>
        <w:rPr/>
        <w:t xml:space="preserve"> The platform supports whole-genome (WGS) and whole-exome (WES) VCFs on GRCh38, and, experimentally, VCFs made from genotyping arrays (with far lower coverage, which the platform shows to users).</w:t>
      </w:r>
      <w:r>
        <w:rPr/>
        <w:t xml:space="preserve"> Reading consumer raw files (23andMe, AncestryDNA) is so far a feature of the just-prs library and is planned for the web interface.</w:t>
      </w:r>
      <w:r>
        <w:rPr/>
        <w:t xml:space="preserve"> The just-prs library can score a GRCh37 sample against the PGS Catalog's harmonized GRCh37 files, but annotation is GRCh38-only and the web interface currently treats every sample as GRCh38.</w:t>
      </w:r>
      <w:r>
        <w:rPr/>
        <w:t xml:space="preserve"> The pipeline does not check a VCF's build, so a GRCh37 file would be joined at GRCh38 coordinates without a warning.</w:t>
      </w:r>
      <w:r>
        <w:rPr/>
        <w:t xml:space="preserve"> T2T references are not supported.</w:t>
      </w:r>
      <w:r>
        <w:rPr/>
        <w:t xml:space="preserve"> </w:t>
      </w:r>
      <w:r>
        <w:rPr>
          <w:b/>
        </w:rPr>
        <w:t>Benchmark scope.</w:t>
      </w:r>
      <w:r>
        <w:rPr/>
        <w:t xml:space="preserve"> Annotation runtime was measured on four whole-genome call sets from three people, three of the call sets public, and score agreement on one.</w:t>
      </w:r>
      <w:r>
        <w:rPr/>
        <w:t xml:space="preserve"> These benchmarks describe computational performance; they do not establish predictive accuracy or agreement in rankings across individuals.</w:t>
      </w:r>
      <w:commentRangeStart w:id="7"/>
      <w:r>
        <w:rPr/>
        <w:t xml:space="preserve"> Nor do they test whether annotations are correct, which depends on two things: whether the cited studies are right, and whether each module records their findings faithfully (which variant, allele and genotype, and what the report says about it).</w:t>
      </w:r>
      <w:commentRangeEnd w:id="7"/>
      <w:r>
        <w:rPr>
          <w:rStyle w:val="CommentReference"/>
        </w:rPr>
        <w:commentReference w:id="7"/>
      </w:r>
    </w:p>
    <w:p>
      <w:pPr>
        <w:pStyle w:val="Heading2"/>
      </w:pPr>
      <w:r>
        <w:rPr>
          <w:b/>
        </w:rPr>
        <w:t>5.5 Future Directions</w:t>
      </w:r>
    </w:p>
    <w:p>
      <w:r>
        <w:rPr/>
        <w:t>Several extensions are underway or planned: GRCh37/hg19 support across annotation and the web interface, fuller consumer-microarray support and T2T reference support.</w:t>
      </w:r>
      <w:r>
        <w:rPr/>
        <w:t xml:space="preserve"> Multi-species support (companion-animal genomics) and methylation or transcriptomic ageing clocks, among the analyses users most often request, are under consideration.</w:t>
      </w:r>
      <w:r>
        <w:rPr/>
        <w:t xml:space="preserve"> Within the ROGEN consortium, whose project funds this work (see Funding), population-calibrated polygenic risk scores are planned for a Romanian genomic cohort of approximately 5,000 individuals.</w:t>
      </w:r>
      <w:r>
        <w:rPr/>
        <w:t xml:space="preserve"> That cohort is being sequenced as of October 2026, and none of the work reported here uses cohort data.</w:t>
      </w:r>
      <w:r>
        <w:rPr/>
        <w:t xml:space="preserve"> Modules published by others are not treated as accurate by default: community- and AI-generated modules will contain mistakes.</w:t>
      </w:r>
      <w:r>
        <w:rPr/>
        <w:t xml:space="preserve"> Instead of gatekeeping, the platform mitigates this by making provenance visible so that trust can be calibrated: the curator, method and authorship fields, declared by each module's builder and not verified, can record whether an expert or an AI drafted a module.</w:t>
      </w:r>
      <w:r>
        <w:rPr/>
        <w:t xml:space="preserve"> A field the builder leaves unset takes the format's default value, and a reader cannot yet tell such a default from a declared value.</w:t>
      </w:r>
      <w:r>
        <w:rPr/>
        <w:t xml:space="preserve"> For example, the project's own Pharmacogenomics module, drafted from a ClinPGx release by a script, carries the default curator and method (Table S4).</w:t>
      </w:r>
      <w:r>
        <w:rPr/>
        <w:t xml:space="preserve"> How best to curate and validate a large, decentralized ecosystem of genomic annotations is not yet known; Just-DNA-Lite is offered both as a usable platform and as a testbed for that question.</w:t>
      </w:r>
    </w:p>
    <w:p>
      <w:pPr>
        <w:pStyle w:val="Heading2"/>
      </w:pPr>
      <w:r>
        <w:rPr>
          <w:b/>
        </w:rPr>
        <w:t>5.6 Conclusion</w:t>
      </w:r>
    </w:p>
    <w:p>
      <w:r>
        <w:rPr/>
        <w:t>Just-DNA-Lite gives people and researchers a local way to read a genome against published evidence.</w:t>
      </w:r>
      <w:r>
        <w:rPr/>
        <w:t xml:space="preserve"> It offers a cleaned PGS Catalog, with ancestry-matched percentiles for 6,117 scores and quality labels, a registry of installable annotation modules that grows as researchers publish them, whole-genome annotation in about a minute, and the same operations from a web interface, AI assistants and Python libraries.</w:t>
      </w:r>
      <w:r>
        <w:rPr/>
        <w:t xml:space="preserve"> The reported benchmarks show annotation 128 to 231 times faster than the configured workflow of the OakVar-based Generation I system run on the same machine and close numerical agreement between scoring engines, on four call sets from three people for annotation and one for scoring.</w:t>
      </w:r>
      <w:r>
        <w:rPr/>
        <w:t xml:space="preserve"> Evaluation across individuals, reference populations and matched-variant sets remains necessary to establish the broader reliability of these workflows.</w:t>
      </w:r>
      <w:r>
        <w:rPr/>
        <w:t xml:space="preserve"> The platform provides infrastructure for research and education, without establishing clinical validity for the findings it reports.</w:t>
      </w:r>
      <w:r>
        <w:rPr/>
        <w:t xml:space="preserve"> Researchers can begin with the public-data demonstration, inspect the sources behind a report, and then apply or extend the same workflow locally for their own research questions.</w:t>
      </w:r>
    </w:p>
    <w:p>
      <w:pPr>
        <w:pStyle w:val="Heading1"/>
      </w:pPr>
      <w:r>
        <w:rPr>
          <w:b/>
        </w:rPr>
        <w:t>Contribution Statements</w:t>
      </w:r>
    </w:p>
    <w:p>
      <w:pPr>
        <w:pStyle w:val="ListBullet"/>
      </w:pPr>
      <w:r>
        <w:rPr>
          <w:b/>
        </w:rPr>
        <w:t>Kulaga Anton</w:t>
      </w:r>
      <w:r>
        <w:rPr/>
        <w:t>: co-founded the project, bioinformatic pipeline development, Just-DNA-Lite architecture (Dagster/Polars/DuckDB pipeline, uv workspace), just-prs library development and benchmarking, web UI development, team management, article writing</w:t>
      </w:r>
    </w:p>
    <w:p>
      <w:pPr>
        <w:pStyle w:val="ListBullet"/>
      </w:pPr>
      <w:r>
        <w:rPr>
          <w:b/>
        </w:rPr>
        <w:t>Usanov Nikolay</w:t>
      </w:r>
      <w:r>
        <w:rPr/>
        <w:t>: co-founded the project, Just-DNA-Lite platform development, the module system, the population ancestry discriminator (detection and algorithm), AI-assisted module authoring, fundraising</w:t>
      </w:r>
    </w:p>
    <w:p>
      <w:pPr>
        <w:pStyle w:val="ListBullet"/>
      </w:pPr>
      <w:r>
        <w:rPr>
          <w:b/>
        </w:rPr>
        <w:t>Borysova Olga</w:t>
      </w:r>
      <w:r>
        <w:rPr/>
        <w:t>: module curation and report content (longevity variants, cardiovascular traits, lipid metabolism, thrombophilia, VO2 max, athletic performance, pharmacogenomics, and the Superhuman module, built from George Church's Protective and Enhancing Alleles list), LongevityMap database curation and expansion, pathway categorization, report structure, data collection and analysis</w:t>
      </w:r>
    </w:p>
    <w:p>
      <w:pPr>
        <w:pStyle w:val="ListBullet"/>
      </w:pPr>
      <w:r>
        <w:rPr>
          <w:b/>
        </w:rPr>
        <w:t>Karmazin Alexey</w:t>
      </w:r>
      <w:r>
        <w:rPr/>
        <w:t>: lead architect of the report system of Generation I (the OakVar-based Just-DNA-Seq), OakVar report modules and preparation utilities, PRS modules</w:t>
      </w:r>
    </w:p>
    <w:p>
      <w:pPr>
        <w:pStyle w:val="ListBullet"/>
      </w:pPr>
      <w:r>
        <w:rPr>
          <w:b/>
        </w:rPr>
        <w:t>Koval Maria</w:t>
      </w:r>
      <w:r>
        <w:rPr/>
        <w:t>: report modules, report template, code of the trait annotation modules (thrombophilia, cardiovascular)</w:t>
      </w:r>
    </w:p>
    <w:p>
      <w:pPr>
        <w:pStyle w:val="ListBullet"/>
      </w:pPr>
      <w:r>
        <w:rPr>
          <w:b/>
        </w:rPr>
        <w:t>Pushkareva Malvina</w:t>
      </w:r>
      <w:r>
        <w:rPr/>
        <w:t>: software development and testing</w:t>
      </w:r>
    </w:p>
    <w:p>
      <w:pPr>
        <w:pStyle w:val="ListBullet"/>
      </w:pPr>
      <w:r>
        <w:rPr>
          <w:b/>
        </w:rPr>
        <w:t>Zaharia Livia</w:t>
      </w:r>
      <w:r>
        <w:rPr/>
        <w:t>: beta-testing, provided her whole genome for testing and benchmarking</w:t>
      </w:r>
    </w:p>
    <w:p>
      <w:pPr>
        <w:pStyle w:val="ListBullet"/>
      </w:pPr>
      <w:r>
        <w:rPr>
          <w:b/>
        </w:rPr>
        <w:t>Fuellen Georg</w:t>
      </w:r>
      <w:r>
        <w:rPr/>
        <w:t>: co-supervision, valuable suggestions and comments</w:t>
      </w:r>
    </w:p>
    <w:p>
      <w:pPr>
        <w:pStyle w:val="ListBullet"/>
      </w:pPr>
      <w:r>
        <w:rPr>
          <w:b/>
        </w:rPr>
        <w:t>Tacutu Robi</w:t>
      </w:r>
      <w:r>
        <w:rPr/>
        <w:t>: co-supervision, bioinformatics and ageing research advising, LongevityMap database</w:t>
      </w:r>
    </w:p>
    <w:p>
      <w:r>
        <w:rPr>
          <w:b/>
        </w:rPr>
        <w:t>Acknowledgments:</w:t>
      </w:r>
      <w:r>
        <w:rPr/>
        <w:t xml:space="preserve"> We thank Ryangguk Kim (Oak Bioinformatics, LLC), who created and maintains OakVar and extended it for the Generation I platform; Alina Fedorova for bioinformatic utilities and scientific literature exploration; Sergey Evfratov for developing the Generation I pharmacogenomics (drug) module; and Volodymir Semenuik for help with documentation.</w:t>
      </w:r>
    </w:p>
    <w:p>
      <w:r>
        <w:rPr>
          <w:b/>
        </w:rPr>
        <w:t>Use of AI tools.</w:t>
      </w:r>
      <w:commentRangeStart w:id="13"/>
      <w:r>
        <w:rPr/>
        <w:t xml:space="preserve"> Claude Code (Anthropic; mostly the Claude Opus 5.5 model) was the main AI assistant in this work, and Codex (OpenAI; mostly GPT-6.1 Sol) served as a second model that checked Claude Code's output from time to time, through harnesses the authors wrote to catch potential mistakes.</w:t>
      </w:r>
      <w:commentRangeEnd w:id="13"/>
      <w:r>
        <w:rPr>
          <w:rStyle w:val="CommentReference"/>
        </w:rPr>
        <w:commentReference w:id="13"/>
      </w:r>
      <w:r>
        <w:rPr/>
        <w:t xml:space="preserve"> Claude Code drafted and rewrote passages throughout the manuscript, the Results and Discussion included, and checked the text against the code, the benchmark tables and the cited sources.</w:t>
      </w:r>
      <w:r>
        <w:rPr/>
        <w:t xml:space="preserve"> Its use in the research itself, to annotate what a higher polygenic score means, is described in Section 3.2.</w:t>
      </w:r>
      <w:r>
        <w:rPr/>
        <w:t xml:space="preserve"> The authors reviewed the output and take full responsibility for the content.</w:t>
      </w:r>
      <w:r>
        <w:rPr/>
        <w:t xml:space="preserve"> Details are in Supplementary Note S11.</w:t>
      </w:r>
    </w:p>
    <w:p>
      <w:pPr>
        <w:pStyle w:val="Heading1"/>
      </w:pPr>
      <w:r>
        <w:rPr>
          <w:b/>
        </w:rPr>
        <w:t>Funding</w:t>
      </w:r>
    </w:p>
    <w:p>
      <w:r>
        <w:rPr/>
        <w:t>This work was supported by the Ministry of Investments and European Projects, through the Managing Authority for the Health Program [PS/272/PS_P5/OP1/RSO1.1/PS_P5_RSO1.1_A9–ROGEN Project, MySMIS 324809, to A.K.</w:t>
      </w:r>
      <w:r>
        <w:rPr/>
        <w:t xml:space="preserve"> and R.T.]; and the Romanian Academy [to R.T.].</w:t>
      </w:r>
    </w:p>
    <w:p>
      <w:pPr>
        <w:pStyle w:val="Heading1"/>
      </w:pPr>
      <w:r>
        <w:rPr>
          <w:b/>
        </w:rPr>
        <w:t>Code Availability</w:t>
      </w:r>
    </w:p>
    <w:p>
      <w:r>
        <w:rPr>
          <w:b/>
        </w:rPr>
        <w:t>Source code:</w:t>
      </w:r>
      <w:r>
        <w:rPr/>
        <w:t xml:space="preserve"> Just-DNA-Lite (AGPL-3.0), https://github.com/dna-seq/just-dna-lite; just-prs (MIT), https://github.com/dna-seq/just-prs.</w:t>
      </w:r>
      <w:r>
        <w:rPr/>
        <w:t xml:space="preserve"> Table S8 lists the repositories of both generations.</w:t>
      </w:r>
      <w:r>
        <w:rPr/>
        <w:t xml:space="preserve"> Just-DNA-Lite runs on Linux, macOS and Windows.</w:t>
      </w:r>
      <w:r>
        <w:rPr/>
        <w:t xml:space="preserve"> It is installed from its repository with uv (</w:t>
      </w:r>
      <w:r>
        <w:rPr>
          <w:rFonts w:ascii="Consolas" w:hAnsi="Consolas"/>
        </w:rPr>
        <w:t>uv sync</w:t>
      </w:r>
      <w:r>
        <w:rPr/>
        <w:t xml:space="preserve">, then </w:t>
      </w:r>
      <w:r>
        <w:rPr>
          <w:rFonts w:ascii="Consolas" w:hAnsi="Consolas"/>
        </w:rPr>
        <w:t>uv run start</w:t>
      </w:r>
      <w:r>
        <w:rPr/>
        <w:t>), or built and run as a container with Podman or Docker Compose; the optional Ensembl annotation downloads about 14 GB of reference data.</w:t>
      </w:r>
    </w:p>
    <w:p>
      <w:r>
        <w:rPr/>
        <w:t>Annotation modules and reference datasets are published to the just-dna-seq organization on HuggingFace (annotators, ensembl_variations, clinvar, pgs-catalog, prs-percentiles), which is the default source for module auto-discovery.</w:t>
      </w:r>
      <w:r>
        <w:rPr/>
        <w:t xml:space="preserve"> Other fsspec-compatible sources are also supported.</w:t>
      </w:r>
    </w:p>
    <w:p>
      <w:pPr>
        <w:pStyle w:val="Heading1"/>
      </w:pPr>
      <w:r>
        <w:rPr>
          <w:b/>
        </w:rPr>
        <w:t>Data Availability</w:t>
      </w:r>
    </w:p>
    <w:p>
      <w:r>
        <w:rPr/>
        <w:t>The two personal genomes used in the benchmarks and examples are public on Zenodo: Anton Kulaga's whole-genome VCF (Kulaga, 2026; https://doi.org/10.5281/zenodo.18370498, CC0 1.0) and Livia Zaharia's (Zaharia, 2026; https://doi.org/10.5281/zenodo.19487816, CC BY 4.0).</w:t>
      </w:r>
      <w:r>
        <w:rPr/>
        <w:t xml:space="preserve"> The HG002 VCF is the public output of the DeepVariant 1.0.0 whole-genome case study (Google, 2020; https://storage.googleapis.com/deepvariant/case-study-outputs/1.0.0/WGS/output/HG002.output.vcf.gz).</w:t>
      </w:r>
      <w:r>
        <w:rPr/>
        <w:t xml:space="preserve"> The 2023 call set of Anton Kulaga's genome (DeepVariant 1.3.0), on which the earlier Generation I times were measured, is not deposited.</w:t>
      </w:r>
      <w:commentRangeStart w:id="4"/>
      <w:r>
        <w:rPr/>
        <w:t xml:space="preserve"> The annotation modules of Table 1 are published in the module registry (https://module-registry.just-dna.life, namespace </w:t>
      </w:r>
      <w:commentRangeEnd w:id="4"/>
      <w:r>
        <w:rPr>
          <w:rStyle w:val="CommentReference"/>
        </w:rPr>
        <w:commentReference w:id="4"/>
      </w:r>
      <w:r>
        <w:rPr>
          <w:rFonts w:ascii="Consolas" w:hAnsi="Consolas"/>
        </w:rPr>
        <w:t>just-dna-seq</w:t>
      </w:r>
      <w:r>
        <w:rPr/>
        <w:t>), in the versions the benchmark used (Table S4), and the reference datasets the platform downloads are published on HuggingFace (https://huggingface.co/just-dna-seq): the PGS Catalog scoring files as Parquet with their cleaned metadata and the ancestry model (just-dna-seq, 2026c), the reference distributions (just-dna-seq, 2026d) and the Ensembl Variation cache (just-dna-seq, 2026b).</w:t>
      </w:r>
      <w:r>
        <w:rPr/>
        <w:t xml:space="preserve"> The HuggingFace mirror of the modules (</w:t>
      </w:r>
      <w:r>
        <w:rPr>
          <w:rFonts w:ascii="Consolas" w:hAnsi="Consolas"/>
        </w:rPr>
        <w:t>just-dna-seq/annotators</w:t>
      </w:r>
      <w:r>
        <w:rPr/>
        <w:t>; just-dna-seq, 2026a), which the platform reads by default, differs from the registry for four of them (Table S4).</w:t>
      </w:r>
      <w:r>
        <w:rPr/>
        <w:t xml:space="preserve"> The benchmark scripts, the record of every run and the generated tables are in the just-dna-lite repository (</w:t>
      </w:r>
      <w:r>
        <w:rPr>
          <w:rFonts w:ascii="Consolas" w:hAnsi="Consolas"/>
        </w:rPr>
        <w:t>docs/manuscript/benchmarks/a3/</w:t>
      </w:r>
      <w:r>
        <w:rPr/>
        <w:t>) [and in the archived release, DOI to be added]; the just-prs rerun reported in Section 4.2 is in the just-prs repository (</w:t>
      </w:r>
      <w:r>
        <w:rPr>
          <w:rFonts w:ascii="Consolas" w:hAnsi="Consolas"/>
        </w:rPr>
        <w:t>just-prs/benchmarks/results/2026-10-11/</w:t>
      </w:r>
      <w:r>
        <w:rPr/>
        <w:t>; https://github.com/dna-seq/just-prs/tree/main/just-prs/benchmarks/results/2026-10-11).</w:t>
      </w:r>
      <w:r>
        <w:rPr/>
        <w:t xml:space="preserve"> Supplementary Tables S4 and S5 and the worked report row of Supplementary S13 are provided as data files with this article.</w:t>
      </w:r>
    </w:p>
    <w:p>
      <w:pPr>
        <w:pStyle w:val="Heading1"/>
      </w:pPr>
      <w:r>
        <w:rPr>
          <w:b/>
        </w:rPr>
        <w:t>Competing Interests</w:t>
      </w:r>
    </w:p>
    <w:p>
      <w:pPr>
        <w:pStyle w:val="ListBullet"/>
      </w:pPr>
      <w:r>
        <w:rPr/>
        <w:t>Anton Kulaga, Olga Borysova, Maria Koval, Nikolay Usanov, and Alexey Karmazin are co-founders of SecvADN SRL, which provides additional services on top of the open-source modules.</w:t>
      </w:r>
    </w:p>
    <w:p>
      <w:pPr>
        <w:pStyle w:val="Heading1"/>
      </w:pPr>
      <w:r>
        <w:rPr>
          <w:b/>
        </w:rPr>
        <w:t>Ethics Statement</w:t>
      </w:r>
    </w:p>
    <w:p>
      <w:commentRangeStart w:id="1"/>
      <w:r>
        <w:rPr/>
        <w:t>The personal genomes analysed are those of two of the authors, Anton Kulaga and Livia Zaharia, each of whom published their whole-genome VCF on Zenodo on their own initiative, under an open licence (see Data Availability); Anton Kulaga's genome is also analysed in an earlier, unpublished call set.</w:t>
      </w:r>
      <w:commentRangeEnd w:id="1"/>
      <w:r>
        <w:rPr>
          <w:rStyle w:val="CommentReference"/>
        </w:rPr>
        <w:commentReference w:id="1"/>
      </w:r>
      <w:commentRangeStart w:id="0"/>
      <w:r>
        <w:rPr/>
        <w:t xml:space="preserve"> Each consents to the publication of the results from their own genome shown in this paper.</w:t>
      </w:r>
      <w:commentRangeEnd w:id="0"/>
      <w:r>
        <w:rPr>
          <w:rStyle w:val="CommentReference"/>
        </w:rPr>
        <w:commentReference w:id="0"/>
      </w:r>
      <w:r>
        <w:rPr/>
        <w:t xml:space="preserve"> HG002 is a Genome in a Bottle reference sample, analysed through public variant calls (Zook et al., 2016).</w:t>
      </w:r>
      <w:r>
        <w:rPr/>
        <w:t xml:space="preserve"> No data from the ROGEN cohort were used.</w:t>
      </w:r>
      <w:r>
        <w:rPr/>
        <w:t xml:space="preserve"> The Ethics Committee of the Institute of Biochemistry of the Romanian Academy examined the work and determined that it does not constitute research on human subjects and does not require the Committee's approval (ethics register no.</w:t>
      </w:r>
      <w:r>
        <w:rPr/>
        <w:t xml:space="preserve"> 17, 23 September 2026).</w:t>
      </w:r>
      <w:r>
        <w:rPr/>
        <w:t xml:space="preserve"> </w:t>
      </w:r>
      <w:r>
        <w:rPr/>
        <w:t>&lt;!-- AUTHOR TODO: confirm with Livia Zaharia that she consents to publishing the results from her genome, before this statement says so.</w:t>
      </w:r>
      <w:r>
        <w:rPr/>
        <w:t xml:space="preserve"> --&gt;</w:t>
      </w:r>
    </w:p>
    <w:p>
      <w:pPr>
        <w:pStyle w:val="Heading1"/>
      </w:pPr>
      <w:r>
        <w:rPr>
          <w:b/>
        </w:rPr>
        <w:t>Bibliography</w:t>
      </w:r>
    </w:p>
    <w:p>
      <w:r>
        <w:rPr/>
        <w:t>Chen, T., et al.</w:t>
      </w:r>
      <w:r>
        <w:rPr/>
        <w:t xml:space="preserve"> (2023).</w:t>
      </w:r>
      <w:r>
        <w:rPr/>
        <w:t xml:space="preserve"> VCFshiny: an R/Shiny application for interactively analyzing and visualizing genetic variants.</w:t>
      </w:r>
      <w:r>
        <w:rPr/>
        <w:t xml:space="preserve"> </w:t>
      </w:r>
      <w:r>
        <w:rPr>
          <w:i/>
        </w:rPr>
        <w:t>Bioinformatics Advances</w:t>
      </w:r>
      <w:r>
        <w:rPr/>
        <w:t>, 3(1), vbad107.</w:t>
      </w:r>
      <w:r>
        <w:rPr/>
        <w:t xml:space="preserve"> doi:10.1093/bioadv/vbad107.</w:t>
      </w:r>
    </w:p>
    <w:p>
      <w:r>
        <w:rPr/>
        <w:t>Ehman, M., et al.</w:t>
      </w:r>
      <w:r>
        <w:rPr/>
        <w:t xml:space="preserve"> (2025).</w:t>
      </w:r>
      <w:r>
        <w:rPr/>
        <w:t xml:space="preserve"> The cost and cost trajectory of genome sequencing and bioinformatics analysis for Indigenous children with suspected rare diseases.</w:t>
      </w:r>
      <w:r>
        <w:rPr/>
        <w:t xml:space="preserve"> </w:t>
      </w:r>
      <w:r>
        <w:rPr>
          <w:i/>
        </w:rPr>
        <w:t>Genetics in Medicine</w:t>
      </w:r>
      <w:r>
        <w:rPr/>
        <w:t>, 27(11), 101568.</w:t>
      </w:r>
      <w:r>
        <w:rPr/>
        <w:t xml:space="preserve"> doi:10.1016/j.gim.2025.101568.</w:t>
      </w:r>
    </w:p>
    <w:p>
      <w:r>
        <w:rPr/>
        <w:t>Illumina (2023).</w:t>
      </w:r>
      <w:r>
        <w:rPr/>
        <w:t xml:space="preserve"> Illumina's revolutionary NovaSeq X exceeds 200th order milestone in first quarter 2023.</w:t>
      </w:r>
      <w:r>
        <w:rPr/>
        <w:t xml:space="preserve"> Press release, 4 April 2023 ("$200 per genome"), https://www.illumina.com/company/news-center/press-releases/2023/4b48580b-42d4-419b-8512-5adcbb069836.html; NovaSeq X product page ("$200 USD genome", sequencing consumables only, 100 Gb per genome), https://www.illumina.com/systems/sequencing-platforms/novaseq-x-plus/applications/broad-sequencing.html (accessed 10 October 2026).</w:t>
      </w:r>
    </w:p>
    <w:p>
      <w:r>
        <w:rPr/>
        <w:t>Mordaunt, D.</w:t>
      </w:r>
      <w:r>
        <w:rPr/>
        <w:t xml:space="preserve"> A., et al.</w:t>
      </w:r>
      <w:r>
        <w:rPr/>
        <w:t xml:space="preserve"> (2024).</w:t>
      </w:r>
      <w:r>
        <w:rPr/>
        <w:t xml:space="preserve"> The cost of proband and trio exome and genome analysis in rare disease: a micro-costing study.</w:t>
      </w:r>
      <w:r>
        <w:rPr/>
        <w:t xml:space="preserve"> </w:t>
      </w:r>
      <w:r>
        <w:rPr>
          <w:i/>
        </w:rPr>
        <w:t>Genetics in Medicine</w:t>
      </w:r>
      <w:r>
        <w:rPr/>
        <w:t>, 26(4), 101058.</w:t>
      </w:r>
      <w:r>
        <w:rPr/>
        <w:t xml:space="preserve"> doi:10.1016/j.gim.2023.101058.</w:t>
      </w:r>
    </w:p>
    <w:p>
      <w:r>
        <w:rPr/>
        <w:t>National Human Genome Research Institute (2021).</w:t>
      </w:r>
      <w:r>
        <w:rPr/>
        <w:t xml:space="preserve"> The Cost of Sequencing a Human Genome.</w:t>
      </w:r>
      <w:r>
        <w:rPr/>
        <w:t xml:space="preserve"> https://www.genome.gov/about-genomics/fact-sheets/Sequencing-Human-Genome-cost (accessed 10 October 2026).</w:t>
      </w:r>
    </w:p>
    <w:p>
      <w:r>
        <w:rPr/>
        <w:t>Nelson, S.</w:t>
      </w:r>
      <w:r>
        <w:rPr/>
        <w:t xml:space="preserve"> C., et al.</w:t>
      </w:r>
      <w:r>
        <w:rPr/>
        <w:t xml:space="preserve"> (2019).</w:t>
      </w:r>
      <w:r>
        <w:rPr/>
        <w:t xml:space="preserve"> Third-Party Genetic Interpretation Tools: A Mixed-Methods Study of Consumer Motivation and Behavior.</w:t>
      </w:r>
      <w:r>
        <w:rPr/>
        <w:t xml:space="preserve"> </w:t>
      </w:r>
      <w:r>
        <w:rPr>
          <w:i/>
        </w:rPr>
        <w:t>American Journal of Human Genetics</w:t>
      </w:r>
      <w:r>
        <w:rPr/>
        <w:t>, 105(1), 122–131.</w:t>
      </w:r>
      <w:r>
        <w:rPr/>
        <w:t xml:space="preserve"> doi:10.1016/j.ajhg.2019.05.014.</w:t>
      </w:r>
    </w:p>
    <w:p>
      <w:r>
        <w:rPr/>
        <w:t>O'Daniel, J.</w:t>
      </w:r>
      <w:r>
        <w:rPr/>
        <w:t xml:space="preserve"> M., et al.</w:t>
      </w:r>
      <w:r>
        <w:rPr/>
        <w:t xml:space="preserve"> (2025).</w:t>
      </w:r>
      <w:r>
        <w:rPr/>
        <w:t xml:space="preserve"> Direct-to-Consumer Genetic Testing.</w:t>
      </w:r>
      <w:r>
        <w:rPr/>
        <w:t xml:space="preserve"> </w:t>
      </w:r>
      <w:r>
        <w:rPr>
          <w:i/>
        </w:rPr>
        <w:t>NEJM Evidence</w:t>
      </w:r>
      <w:r>
        <w:rPr/>
        <w:t>, 4(11), EVIDra2400455.</w:t>
      </w:r>
      <w:r>
        <w:rPr/>
        <w:t xml:space="preserve"> doi:10.1056/EVIDra2400455.</w:t>
      </w:r>
    </w:p>
    <w:p>
      <w:r>
        <w:rPr/>
        <w:t>Ultima Genomics (2025).</w:t>
      </w:r>
      <w:r>
        <w:rPr/>
        <w:t xml:space="preserve"> Ultima Genomics increases output by over 50% and lowers sequencing costs by a further 20% with the introduction of UG 100 Solaris.</w:t>
      </w:r>
      <w:r>
        <w:rPr/>
        <w:t xml:space="preserve"> PR Newswire, 24 February 2025.</w:t>
      </w:r>
      <w:r>
        <w:rPr/>
        <w:t xml:space="preserve"> https://www.prnewswire.com/news-releases/ultima-genomics-increases-output-by-over-50-and-lowers-sequencing-costs-by-a-further-20-with-the-introduction-of-ug-100-solaris-302382977.html</w:t>
      </w:r>
    </w:p>
    <w:p>
      <w:r>
        <w:rPr/>
        <w:t>Wiewiórka, M., Khamutou, P., Zbysiński, M., &amp; Gambin, T.</w:t>
      </w:r>
      <w:r>
        <w:rPr/>
        <w:t xml:space="preserve"> (2025).</w:t>
      </w:r>
      <w:r>
        <w:rPr/>
        <w:t xml:space="preserve"> polars-bio: fast, scalable, and out-of-core operations on large genomic interval datasets.</w:t>
      </w:r>
      <w:r>
        <w:rPr/>
        <w:t xml:space="preserve"> </w:t>
      </w:r>
      <w:r>
        <w:rPr>
          <w:i/>
        </w:rPr>
        <w:t>Bioinformatics</w:t>
      </w:r>
      <w:r>
        <w:rPr/>
        <w:t>, 41(12), btaf640.</w:t>
      </w:r>
      <w:r>
        <w:rPr/>
        <w:t xml:space="preserve"> doi:10.1093/bioinformatics/btaf640.</w:t>
      </w:r>
    </w:p>
    <w:p>
      <w:r>
        <w:rPr/>
        <w:t>Behera, S., et al.</w:t>
      </w:r>
      <w:r>
        <w:rPr/>
        <w:t xml:space="preserve"> (2024).</w:t>
      </w:r>
      <w:r>
        <w:rPr/>
        <w:t xml:space="preserve"> Comprehensive genome analysis and variant detection at scale using DRAGEN.</w:t>
      </w:r>
      <w:r>
        <w:rPr/>
        <w:t xml:space="preserve"> </w:t>
      </w:r>
      <w:r>
        <w:rPr>
          <w:i/>
        </w:rPr>
        <w:t>Nature Biotechnology</w:t>
      </w:r>
      <w:r>
        <w:rPr/>
        <w:t>, 43(7), 1177–1191.</w:t>
      </w:r>
      <w:r>
        <w:rPr/>
        <w:t xml:space="preserve"> https://doi.org/10.1038/s41587-024-02382-1</w:t>
      </w:r>
    </w:p>
    <w:p>
      <w:r>
        <w:rPr/>
        <w:t>Broer, L., et al.</w:t>
      </w:r>
      <w:r>
        <w:rPr/>
        <w:t xml:space="preserve"> (2015).</w:t>
      </w:r>
      <w:r>
        <w:rPr/>
        <w:t xml:space="preserve"> GWAS of longevity in CHARGE consortium confirms APOE and FOXO3 candidacy.</w:t>
      </w:r>
      <w:r>
        <w:rPr/>
        <w:t xml:space="preserve"> </w:t>
      </w:r>
      <w:r>
        <w:rPr>
          <w:i/>
        </w:rPr>
        <w:t>The Journals of Gerontology: Series A</w:t>
      </w:r>
      <w:r>
        <w:rPr/>
        <w:t>, 70(1), 110–118.</w:t>
      </w:r>
      <w:r>
        <w:rPr/>
        <w:t xml:space="preserve"> https://doi.org/10.1093/gerona/glu166</w:t>
      </w:r>
    </w:p>
    <w:p>
      <w:r>
        <w:rPr/>
        <w:t>Byrska-Bishop, M., et al.</w:t>
      </w:r>
      <w:r>
        <w:rPr/>
        <w:t xml:space="preserve"> (2022).</w:t>
      </w:r>
      <w:r>
        <w:rPr/>
        <w:t xml:space="preserve"> High-coverage whole-genome sequencing of the expanded 1000 Genomes Project cohort including 602 trios.</w:t>
      </w:r>
      <w:r>
        <w:rPr/>
        <w:t xml:space="preserve"> </w:t>
      </w:r>
      <w:r>
        <w:rPr>
          <w:i/>
        </w:rPr>
        <w:t>Cell</w:t>
      </w:r>
      <w:r>
        <w:rPr/>
        <w:t>, 185(18), 3426–3440.e19.</w:t>
      </w:r>
      <w:r>
        <w:rPr/>
        <w:t xml:space="preserve"> https://doi.org/10.1016/j.cell.2022.08.004</w:t>
      </w:r>
    </w:p>
    <w:p>
      <w:r>
        <w:rPr/>
        <w:t>Caruso, C., et al.</w:t>
      </w:r>
      <w:r>
        <w:rPr/>
        <w:t xml:space="preserve"> (2022).</w:t>
      </w:r>
      <w:r>
        <w:rPr/>
        <w:t xml:space="preserve"> How important are genes to achieve longevity?</w:t>
      </w:r>
      <w:r>
        <w:rPr/>
        <w:t xml:space="preserve"> </w:t>
      </w:r>
      <w:r>
        <w:rPr>
          <w:i/>
        </w:rPr>
        <w:t>International Journal of Molecular Sciences</w:t>
      </w:r>
      <w:r>
        <w:rPr/>
        <w:t>, 23(10), 5635.</w:t>
      </w:r>
      <w:r>
        <w:rPr/>
        <w:t xml:space="preserve"> https://doi.org/10.3390/ijms23105635</w:t>
      </w:r>
    </w:p>
    <w:p>
      <w:r>
        <w:rPr/>
        <w:t>Chang, C.</w:t>
      </w:r>
      <w:r>
        <w:rPr/>
        <w:t xml:space="preserve"> C., et al.</w:t>
      </w:r>
      <w:r>
        <w:rPr/>
        <w:t xml:space="preserve"> (2015).</w:t>
      </w:r>
      <w:r>
        <w:rPr/>
        <w:t xml:space="preserve"> Second-generation PLINK: rising to the challenge of larger and richer datasets.</w:t>
      </w:r>
      <w:r>
        <w:rPr/>
        <w:t xml:space="preserve"> </w:t>
      </w:r>
      <w:r>
        <w:rPr>
          <w:i/>
        </w:rPr>
        <w:t>GigaScience</w:t>
      </w:r>
      <w:r>
        <w:rPr/>
        <w:t>, 4, 7.</w:t>
      </w:r>
      <w:r>
        <w:rPr/>
        <w:t xml:space="preserve"> https://doi.org/10.1186/s13742-015-0047-8</w:t>
      </w:r>
    </w:p>
    <w:p>
      <w:r>
        <w:rPr/>
        <w:t>Dagster Labs (2026).</w:t>
      </w:r>
      <w:r>
        <w:rPr/>
        <w:t xml:space="preserve"> Dagster: an orchestration platform for data assets.</w:t>
      </w:r>
      <w:r>
        <w:rPr/>
        <w:t xml:space="preserve"> https://github.com/dagster-io/dagster</w:t>
      </w:r>
    </w:p>
    <w:p>
      <w:r>
        <w:rPr/>
        <w:t>Dyer, S.</w:t>
      </w:r>
      <w:r>
        <w:rPr/>
        <w:t xml:space="preserve"> C., et al.</w:t>
      </w:r>
      <w:r>
        <w:rPr/>
        <w:t xml:space="preserve"> (2025).</w:t>
      </w:r>
      <w:r>
        <w:rPr/>
        <w:t xml:space="preserve"> Ensembl 2025.</w:t>
      </w:r>
      <w:r>
        <w:rPr/>
        <w:t xml:space="preserve"> </w:t>
      </w:r>
      <w:r>
        <w:rPr>
          <w:i/>
        </w:rPr>
        <w:t>Nucleic Acids Research</w:t>
      </w:r>
      <w:r>
        <w:rPr/>
        <w:t>, 53(D1), D948–D957.</w:t>
      </w:r>
      <w:r>
        <w:rPr/>
        <w:t xml:space="preserve"> https://doi.org/10.1093/nar/gkae1071</w:t>
      </w:r>
    </w:p>
    <w:p>
      <w:r>
        <w:rPr/>
        <w:t>[dataset] Google (2020).</w:t>
      </w:r>
      <w:r>
        <w:rPr/>
        <w:t xml:space="preserve"> DeepVariant 1.0.0 whole-genome case study: HG002 output VCF.</w:t>
      </w:r>
      <w:r>
        <w:rPr/>
        <w:t xml:space="preserve"> https://storage.googleapis.com/deepvariant/case-study-outputs/1.0.0/WGS/output/HG002.output.vcf.gz.</w:t>
      </w:r>
    </w:p>
    <w:p>
      <w:r>
        <w:rPr/>
        <w:t>[dataset] just-dna-seq (2026a).</w:t>
      </w:r>
      <w:r>
        <w:rPr/>
        <w:t xml:space="preserve"> annotators: Genomic Variant Annotators.</w:t>
      </w:r>
      <w:r>
        <w:rPr/>
        <w:t xml:space="preserve"> HuggingFace.</w:t>
      </w:r>
      <w:r>
        <w:rPr/>
        <w:t xml:space="preserve"> https://huggingface.co/datasets/just-dna-seq/annotators.</w:t>
      </w:r>
    </w:p>
    <w:p>
      <w:r>
        <w:rPr/>
        <w:t>[dataset] just-dna-seq (2026b).</w:t>
      </w:r>
      <w:r>
        <w:rPr/>
        <w:t xml:space="preserve"> ensembl_variations: Ensembl Variations (Parquet).</w:t>
      </w:r>
      <w:r>
        <w:rPr/>
        <w:t xml:space="preserve"> HuggingFace.</w:t>
      </w:r>
      <w:r>
        <w:rPr/>
        <w:t xml:space="preserve"> https://huggingface.co/datasets/just-dna-seq/ensembl_variations.</w:t>
      </w:r>
    </w:p>
    <w:p>
      <w:r>
        <w:rPr/>
        <w:t>[dataset] just-dna-seq (2026c).</w:t>
      </w:r>
      <w:r>
        <w:rPr/>
        <w:t xml:space="preserve"> pgs-catalog: PGS Catalog scoring files and metadata (Parquet).</w:t>
      </w:r>
      <w:r>
        <w:rPr/>
        <w:t xml:space="preserve"> HuggingFace.</w:t>
      </w:r>
      <w:r>
        <w:rPr/>
        <w:t xml:space="preserve"> https://huggingface.co/datasets/just-dna-seq/pgs-catalog.</w:t>
      </w:r>
    </w:p>
    <w:p>
      <w:r>
        <w:rPr/>
        <w:t>[dataset] just-dna-seq (2026d).</w:t>
      </w:r>
      <w:r>
        <w:rPr/>
        <w:t xml:space="preserve"> prs-percentiles.</w:t>
      </w:r>
      <w:r>
        <w:rPr/>
        <w:t xml:space="preserve"> HuggingFace.</w:t>
      </w:r>
      <w:r>
        <w:rPr/>
        <w:t xml:space="preserve"> https://huggingface.co/datasets/just-dna-seq/prs-percentiles.</w:t>
      </w:r>
    </w:p>
    <w:p>
      <w:r>
        <w:rPr/>
        <w:t>[dataset] Kulaga, A.</w:t>
      </w:r>
      <w:r>
        <w:rPr/>
        <w:t xml:space="preserve"> (2026).</w:t>
      </w:r>
      <w:r>
        <w:rPr/>
        <w:t xml:space="preserve"> Anton Kulaga genome.</w:t>
      </w:r>
      <w:r>
        <w:rPr/>
        <w:t xml:space="preserve"> Zenodo.</w:t>
      </w:r>
      <w:r>
        <w:rPr/>
        <w:t xml:space="preserve"> https://doi.org/10.5281/zenodo.18370498.</w:t>
      </w:r>
    </w:p>
    <w:p>
      <w:r>
        <w:rPr/>
        <w:t>Kulaga, A., et al.</w:t>
      </w:r>
      <w:r>
        <w:rPr/>
        <w:t xml:space="preserve"> (2024).</w:t>
      </w:r>
      <w:r>
        <w:rPr/>
        <w:t xml:space="preserve"> Just-DNA-Seq, open-source personal genomics platform: longevity science for everyone.</w:t>
      </w:r>
      <w:r>
        <w:rPr/>
        <w:t xml:space="preserve"> </w:t>
      </w:r>
      <w:r>
        <w:rPr>
          <w:i/>
        </w:rPr>
        <w:t>arXiv</w:t>
      </w:r>
      <w:r>
        <w:rPr/>
        <w:t>:2403.19087.</w:t>
      </w:r>
      <w:r>
        <w:rPr/>
        <w:t xml:space="preserve"> https://arxiv.org/abs/2403.19087</w:t>
      </w:r>
    </w:p>
    <w:p>
      <w:r>
        <w:rPr/>
        <w:t>Lambert, S.</w:t>
      </w:r>
      <w:r>
        <w:rPr/>
        <w:t xml:space="preserve"> A., et al.</w:t>
      </w:r>
      <w:r>
        <w:rPr/>
        <w:t xml:space="preserve"> (2021).</w:t>
      </w:r>
      <w:r>
        <w:rPr/>
        <w:t xml:space="preserve"> The Polygenic Score Catalog as an open database for reproducibility and systematic evaluation.</w:t>
      </w:r>
      <w:r>
        <w:rPr/>
        <w:t xml:space="preserve"> </w:t>
      </w:r>
      <w:r>
        <w:rPr>
          <w:i/>
        </w:rPr>
        <w:t>Nature Genetics</w:t>
      </w:r>
      <w:r>
        <w:rPr/>
        <w:t>, 53(4), 420–425.</w:t>
      </w:r>
      <w:r>
        <w:rPr/>
        <w:t xml:space="preserve"> https://doi.org/10.1038/s41588-021-00783-5</w:t>
      </w:r>
    </w:p>
    <w:p>
      <w:r>
        <w:rPr/>
        <w:t>Landrum, M.</w:t>
      </w:r>
      <w:r>
        <w:rPr/>
        <w:t xml:space="preserve"> J., et al.</w:t>
      </w:r>
      <w:r>
        <w:rPr/>
        <w:t xml:space="preserve"> (2018).</w:t>
      </w:r>
      <w:r>
        <w:rPr/>
        <w:t xml:space="preserve"> ClinVar: improving access to variant interpretations and supporting evidence.</w:t>
      </w:r>
      <w:r>
        <w:rPr/>
        <w:t xml:space="preserve"> </w:t>
      </w:r>
      <w:r>
        <w:rPr>
          <w:i/>
        </w:rPr>
        <w:t>Nucleic Acids Research</w:t>
      </w:r>
      <w:r>
        <w:rPr/>
        <w:t>, 46(D1), D1062–D1067.</w:t>
      </w:r>
      <w:r>
        <w:rPr/>
        <w:t xml:space="preserve"> https://doi.org/10.1093/nar/gkx1153</w:t>
      </w:r>
    </w:p>
    <w:p>
      <w:r>
        <w:rPr/>
        <w:t>Manichaikul, A., et al.</w:t>
      </w:r>
      <w:r>
        <w:rPr/>
        <w:t xml:space="preserve"> (2010).</w:t>
      </w:r>
      <w:r>
        <w:rPr/>
        <w:t xml:space="preserve"> Robust relationship inference in genome-wide association studies.</w:t>
      </w:r>
      <w:r>
        <w:rPr/>
        <w:t xml:space="preserve"> </w:t>
      </w:r>
      <w:r>
        <w:rPr>
          <w:i/>
        </w:rPr>
        <w:t>Bioinformatics</w:t>
      </w:r>
      <w:r>
        <w:rPr/>
        <w:t>, 26(22), 2867–2873.</w:t>
      </w:r>
      <w:r>
        <w:rPr/>
        <w:t xml:space="preserve"> https://doi.org/10.1093/bioinformatics/btq559</w:t>
      </w:r>
    </w:p>
    <w:p>
      <w:r>
        <w:rPr/>
        <w:t>Manrai, A.</w:t>
      </w:r>
      <w:r>
        <w:rPr/>
        <w:t xml:space="preserve"> K., et al.</w:t>
      </w:r>
      <w:r>
        <w:rPr/>
        <w:t xml:space="preserve"> (2016).</w:t>
      </w:r>
      <w:r>
        <w:rPr/>
        <w:t xml:space="preserve"> Genetic misdiagnoses and the potential for health disparities.</w:t>
      </w:r>
      <w:r>
        <w:rPr/>
        <w:t xml:space="preserve"> </w:t>
      </w:r>
      <w:r>
        <w:rPr>
          <w:i/>
        </w:rPr>
        <w:t>The New England Journal of Medicine</w:t>
      </w:r>
      <w:r>
        <w:rPr/>
        <w:t>, 375(7), 655–665.</w:t>
      </w:r>
      <w:r>
        <w:rPr/>
        <w:t xml:space="preserve"> https://doi.org/10.1056/NEJMsa1507092</w:t>
      </w:r>
    </w:p>
    <w:p>
      <w:r>
        <w:rPr/>
        <w:t>McLaren, W., et al.</w:t>
      </w:r>
      <w:r>
        <w:rPr/>
        <w:t xml:space="preserve"> (2016).</w:t>
      </w:r>
      <w:r>
        <w:rPr/>
        <w:t xml:space="preserve"> The Ensembl Variant Effect Predictor.</w:t>
      </w:r>
      <w:r>
        <w:rPr/>
        <w:t xml:space="preserve"> </w:t>
      </w:r>
      <w:r>
        <w:rPr>
          <w:i/>
        </w:rPr>
        <w:t>Genome Biology</w:t>
      </w:r>
      <w:r>
        <w:rPr/>
        <w:t>, 17, 122.</w:t>
      </w:r>
      <w:r>
        <w:rPr/>
        <w:t xml:space="preserve"> https://doi.org/10.1186/s13059-016-0974-4</w:t>
      </w:r>
    </w:p>
    <w:p>
      <w:r>
        <w:rPr/>
        <w:t>Pagel, K.</w:t>
      </w:r>
      <w:r>
        <w:rPr/>
        <w:t xml:space="preserve"> A., et al.</w:t>
      </w:r>
      <w:r>
        <w:rPr/>
        <w:t xml:space="preserve"> (2020).</w:t>
      </w:r>
      <w:r>
        <w:rPr/>
        <w:t xml:space="preserve"> Integrated informatics analysis of cancer-related variants.</w:t>
      </w:r>
      <w:r>
        <w:rPr/>
        <w:t xml:space="preserve"> </w:t>
      </w:r>
      <w:r>
        <w:rPr>
          <w:i/>
        </w:rPr>
        <w:t>JCO Clinical Cancer Informatics</w:t>
      </w:r>
      <w:r>
        <w:rPr/>
        <w:t>, 4, 310–317.</w:t>
      </w:r>
      <w:r>
        <w:rPr/>
        <w:t xml:space="preserve"> https://doi.org/10.1200/CCI.19.00132</w:t>
      </w:r>
    </w:p>
    <w:p>
      <w:r>
        <w:rPr/>
        <w:t>Poplin, R., et al.</w:t>
      </w:r>
      <w:r>
        <w:rPr/>
        <w:t xml:space="preserve"> (2018).</w:t>
      </w:r>
      <w:r>
        <w:rPr/>
        <w:t xml:space="preserve"> A universal SNP and small-indel variant caller using deep neural networks.</w:t>
      </w:r>
      <w:r>
        <w:rPr/>
        <w:t xml:space="preserve"> </w:t>
      </w:r>
      <w:r>
        <w:rPr>
          <w:i/>
        </w:rPr>
        <w:t>Nature Biotechnology</w:t>
      </w:r>
      <w:r>
        <w:rPr/>
        <w:t>, 36(10), 983–987.</w:t>
      </w:r>
      <w:r>
        <w:rPr/>
        <w:t xml:space="preserve"> https://doi.org/10.1038/nbt.4235</w:t>
      </w:r>
    </w:p>
    <w:p>
      <w:r>
        <w:rPr/>
        <w:t>Raasveldt, M., &amp; Mühleisen, H.</w:t>
      </w:r>
      <w:r>
        <w:rPr/>
        <w:t xml:space="preserve"> (2019).</w:t>
      </w:r>
      <w:r>
        <w:rPr/>
        <w:t xml:space="preserve"> DuckDB: an embeddable analytical database.</w:t>
      </w:r>
      <w:r>
        <w:rPr/>
        <w:t xml:space="preserve"> </w:t>
      </w:r>
      <w:r>
        <w:rPr>
          <w:i/>
        </w:rPr>
        <w:t>Proceedings of the 2019 International Conference on Management of Data (SIGMOD '19)</w:t>
      </w:r>
      <w:r>
        <w:rPr/>
        <w:t>, 1981–1984.</w:t>
      </w:r>
      <w:r>
        <w:rPr/>
        <w:t xml:space="preserve"> https://doi.org/10.1145/3299869.3320212</w:t>
      </w:r>
    </w:p>
    <w:p>
      <w:r>
        <w:rPr/>
        <w:t>Reflex (2026).</w:t>
      </w:r>
      <w:r>
        <w:rPr/>
        <w:t xml:space="preserve"> Reflex: web apps in pure Python.</w:t>
      </w:r>
      <w:r>
        <w:rPr/>
        <w:t xml:space="preserve"> https://github.com/reflex-dev/reflex</w:t>
      </w:r>
    </w:p>
    <w:p>
      <w:r>
        <w:rPr/>
        <w:t>Shenhar, B., Pridham, G., De Oliveira, T.</w:t>
      </w:r>
      <w:r>
        <w:rPr/>
        <w:t xml:space="preserve"> L., Raz, N., Yang, Y., Deelen, J., Hägg, S., &amp; Alon, U.</w:t>
      </w:r>
      <w:r>
        <w:rPr/>
        <w:t xml:space="preserve"> (2026).</w:t>
      </w:r>
      <w:r>
        <w:rPr/>
        <w:t xml:space="preserve"> Heritability of intrinsic human life span is about 50% when confounding factors are addressed.</w:t>
      </w:r>
      <w:r>
        <w:rPr/>
        <w:t xml:space="preserve"> </w:t>
      </w:r>
      <w:r>
        <w:rPr>
          <w:i/>
        </w:rPr>
        <w:t>Science</w:t>
      </w:r>
      <w:r>
        <w:rPr/>
        <w:t>, 391(6784), 504–510.</w:t>
      </w:r>
      <w:r>
        <w:rPr/>
        <w:t xml:space="preserve"> https://doi.org/10.1126/science.adz1187</w:t>
      </w:r>
    </w:p>
    <w:p>
      <w:r>
        <w:rPr/>
        <w:t>Tacutu, R., et al.</w:t>
      </w:r>
      <w:r>
        <w:rPr/>
        <w:t xml:space="preserve"> (2018).</w:t>
      </w:r>
      <w:r>
        <w:rPr/>
        <w:t xml:space="preserve"> Human Ageing Genomic Resources: new and updated databases.</w:t>
      </w:r>
      <w:r>
        <w:rPr/>
        <w:t xml:space="preserve"> </w:t>
      </w:r>
      <w:r>
        <w:rPr>
          <w:i/>
        </w:rPr>
        <w:t>Nucleic Acids Research</w:t>
      </w:r>
      <w:r>
        <w:rPr/>
        <w:t>, 46(D1), D1083–D1090.</w:t>
      </w:r>
      <w:r>
        <w:rPr/>
        <w:t xml:space="preserve"> https://doi.org/10.1093/nar/gkx1042</w:t>
      </w:r>
    </w:p>
    <w:p>
      <w:r>
        <w:rPr/>
        <w:t>Tandy-Connor, S., et al.</w:t>
      </w:r>
      <w:r>
        <w:rPr/>
        <w:t xml:space="preserve"> (2018).</w:t>
      </w:r>
      <w:r>
        <w:rPr/>
        <w:t xml:space="preserve"> False-positive results released by direct-to-consumer genetic tests highlight the importance of clinical confirmation testing for appropriate patient care.</w:t>
      </w:r>
      <w:r>
        <w:rPr/>
        <w:t xml:space="preserve"> </w:t>
      </w:r>
      <w:r>
        <w:rPr>
          <w:i/>
        </w:rPr>
        <w:t>Genetics in Medicine</w:t>
      </w:r>
      <w:r>
        <w:rPr/>
        <w:t>, 20(12), 1515–1521.</w:t>
      </w:r>
      <w:r>
        <w:rPr/>
        <w:t xml:space="preserve"> https://doi.org/10.1038/gim.2018.38</w:t>
      </w:r>
    </w:p>
    <w:p>
      <w:r>
        <w:rPr/>
        <w:t>Wang, K., Li, M., &amp; Hakonarson, H.</w:t>
      </w:r>
      <w:r>
        <w:rPr/>
        <w:t xml:space="preserve"> (2010).</w:t>
      </w:r>
      <w:r>
        <w:rPr/>
        <w:t xml:space="preserve"> ANNOVAR: functional annotation of genetic variants from high-throughput sequencing data.</w:t>
      </w:r>
      <w:r>
        <w:rPr/>
        <w:t xml:space="preserve"> </w:t>
      </w:r>
      <w:r>
        <w:rPr>
          <w:i/>
        </w:rPr>
        <w:t>Nucleic Acids Research</w:t>
      </w:r>
      <w:r>
        <w:rPr/>
        <w:t>, 38(16), e164.</w:t>
      </w:r>
      <w:r>
        <w:rPr/>
        <w:t xml:space="preserve"> https://doi.org/10.1093/nar/gkq603</w:t>
      </w:r>
    </w:p>
    <w:p>
      <w:r>
        <w:rPr/>
        <w:t>Whirl-Carrillo, M., et al.</w:t>
      </w:r>
      <w:r>
        <w:rPr/>
        <w:t xml:space="preserve"> (2021).</w:t>
      </w:r>
      <w:r>
        <w:rPr/>
        <w:t xml:space="preserve"> An evidence-based framework for evaluating pharmacogenomics knowledge for personalized medicine.</w:t>
      </w:r>
      <w:r>
        <w:rPr/>
        <w:t xml:space="preserve"> </w:t>
      </w:r>
      <w:r>
        <w:rPr>
          <w:i/>
        </w:rPr>
        <w:t>Clinical Pharmacology &amp; Therapeutics</w:t>
      </w:r>
      <w:r>
        <w:rPr/>
        <w:t>, 110(3), 563–572.</w:t>
      </w:r>
      <w:r>
        <w:rPr/>
        <w:t xml:space="preserve"> https://doi.org/10.1002/cpt.2350</w:t>
      </w:r>
    </w:p>
    <w:p>
      <w:r>
        <w:rPr/>
        <w:t>[dataset] Zaharia, L.</w:t>
      </w:r>
      <w:r>
        <w:rPr/>
        <w:t xml:space="preserve"> (2026).</w:t>
      </w:r>
      <w:r>
        <w:rPr/>
        <w:t xml:space="preserve"> Livia Zaharia genome.</w:t>
      </w:r>
      <w:r>
        <w:rPr/>
        <w:t xml:space="preserve"> Zenodo.</w:t>
      </w:r>
      <w:r>
        <w:rPr/>
        <w:t xml:space="preserve"> https://doi.org/10.5281/zenodo.19487816.</w:t>
      </w:r>
    </w:p>
    <w:p>
      <w:r>
        <w:rPr/>
        <w:t>Zhang, D., et al.</w:t>
      </w:r>
      <w:r>
        <w:rPr/>
        <w:t xml:space="preserve"> (2020).</w:t>
      </w:r>
      <w:r>
        <w:rPr/>
        <w:t xml:space="preserve"> Fast and robust ancestry prediction using principal component analysis.</w:t>
      </w:r>
      <w:r>
        <w:rPr/>
        <w:t xml:space="preserve"> </w:t>
      </w:r>
      <w:r>
        <w:rPr>
          <w:i/>
        </w:rPr>
        <w:t>Bioinformatics</w:t>
      </w:r>
      <w:r>
        <w:rPr/>
        <w:t>, 36(11), 3439–3446.</w:t>
      </w:r>
      <w:r>
        <w:rPr/>
        <w:t xml:space="preserve"> https://doi.org/10.1093/bioinformatics/btaa152</w:t>
      </w:r>
    </w:p>
    <w:p>
      <w:r>
        <w:rPr/>
        <w:t>Zook, J.</w:t>
      </w:r>
      <w:r>
        <w:rPr/>
        <w:t xml:space="preserve"> M., et al.</w:t>
      </w:r>
      <w:r>
        <w:rPr/>
        <w:t xml:space="preserve"> (2016).</w:t>
      </w:r>
      <w:r>
        <w:rPr/>
        <w:t xml:space="preserve"> Extensive sequencing of seven human genomes to characterize benchmark reference materials.</w:t>
      </w:r>
      <w:r>
        <w:rPr/>
        <w:t xml:space="preserve"> </w:t>
      </w:r>
      <w:r>
        <w:rPr>
          <w:i/>
        </w:rPr>
        <w:t>Scientific Data</w:t>
      </w:r>
      <w:r>
        <w:rPr/>
        <w:t>, 3, 160025.</w:t>
      </w:r>
      <w:r>
        <w:rPr/>
        <w:t xml:space="preserve"> https://doi.org/10.1038/sdata.2016.25</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ecisions for the authors" w:initials="DF" w:date="2026-10-27T20:36:36Z">
    <w:p>
      <w:pPr>
        <w:pStyle w:val="CommentText"/>
      </w:pPr>
      <w:r>
        <w:rPr>
          <w:rStyle w:val="CommentReference"/>
        </w:rPr>
        <w:annotationRef/>
      </w:r>
      <w:r>
        <w:t>A decision only you can make: Livia Zaharia's consent: confirm it and delete the AUTHOR TODO note, or narrow the consent sentence to what the paper shows of her genome (proposal PF-C1). (D1, IC-11)</w:t>
      </w:r>
    </w:p>
  </w:comment>
  <w:comment w:id="1" w:author="Decisions for the authors" w:initials="DF" w:date="2026-10-27T20:36:36Z">
    <w:p>
      <w:pPr>
        <w:pStyle w:val="CommentText"/>
      </w:pPr>
      <w:r>
        <w:rPr>
          <w:rStyle w:val="CommentReference"/>
        </w:rPr>
        <w:annotationRef/>
      </w:r>
      <w:r>
        <w:t>A decision only you can make: bioRxiv's rule on identifying information (a policy conflict): post on bioRxiv with both donors named and Anton Kulaga's genotypes and percentiles shown, accepting a possible decline at screening, or use the arXiv fallback. (D2, PF-7)</w:t>
      </w:r>
    </w:p>
  </w:comment>
  <w:comment w:id="2" w:author="Decisions for the authors" w:initials="DF" w:date="2026-10-27T20:36:36Z">
    <w:p>
      <w:pPr>
        <w:pStyle w:val="CommentText"/>
      </w:pPr>
      <w:r>
        <w:rPr>
          <w:rStyle w:val="CommentReference"/>
        </w:rPr>
        <w:annotationRef/>
      </w:r>
      <w:r>
        <w:t>A decision only you can make: The demonstration's upload form: switch on immutable mode (JUST_DNA_IMMUTABLE_MODE=true) and remove the visitors' files, or describe the deployment as it runs (proposal IC-C6). (D3, IC-3)</w:t>
      </w:r>
    </w:p>
  </w:comment>
  <w:comment w:id="3" w:author="Decisions for the authors" w:initials="DF" w:date="2026-10-27T20:36:36Z">
    <w:p>
      <w:pPr>
        <w:pStyle w:val="CommentText"/>
      </w:pPr>
      <w:r>
        <w:rPr>
          <w:rStyle w:val="CommentReference"/>
        </w:rPr>
        <w:annotationRef/>
      </w:r>
      <w:r>
        <w:t>A decision only you can make: The top of the speed-up range: headline what every comparison supports (more than 100 times, or 128 to 181 times on the public call sets) with the matched-condition ratios in Section 4.1 (proposals IC-C1 to IC-C3), or keep 231 times and deposit the 2023 call set or say how to obtain it (proposal PF-C8). (D4, IC-1)</w:t>
      </w:r>
    </w:p>
  </w:comment>
  <w:comment w:id="4" w:author="Decisions for the authors" w:initials="DF" w:date="2026-10-27T20:36:36Z">
    <w:p>
      <w:pPr>
        <w:pStyle w:val="CommentText"/>
      </w:pPr>
      <w:r>
        <w:rPr>
          <w:rStyle w:val="CommentReference"/>
        </w:rPr>
        <w:annotationRef/>
      </w:r>
      <w:r>
        <w:t>A decision only you can make: Licences of the Hugging Face mirrors: per-score PGS Catalog terms on just-dna-seq/pgs-catalog, a licence for the six expert-curated modules, and the MIT label of just-dna-seq/annotators against ClinPGx's CC BY-SA 4.0. (D5, RP-12, RP-11)</w:t>
      </w:r>
    </w:p>
  </w:comment>
  <w:comment w:id="5" w:author="Decisions for the authors" w:initials="DF" w:date="2026-10-27T20:36:36Z">
    <w:p>
      <w:pPr>
        <w:pStyle w:val="CommentText"/>
      </w:pPr>
      <w:r>
        <w:rPr>
          <w:rStyle w:val="CommentReference"/>
        </w:rPr>
        <w:annotationRef/>
      </w:r>
      <w:r>
        <w:t>A decision only you can make: Which display items the paper has: Figure 2 in the main text or beside Supplementary S13, an overview schematic of the platform at the start of Section 2, and whether the superseded 0.10.1 tables move to Supplementary S3 (Tables 3 and 4 now show the 0.10.2 rerun). (D6, FG-5, FG-17, FG-9)</w:t>
      </w:r>
    </w:p>
  </w:comment>
  <w:comment w:id="6" w:author="Decisions for the authors" w:initials="DF" w:date="2026-10-27T20:36:36Z">
    <w:p>
      <w:pPr>
        <w:pStyle w:val="CommentText"/>
      </w:pPr>
      <w:r>
        <w:rPr>
          <w:rStyle w:val="CommentReference"/>
        </w:rPr>
        <w:annotationRef/>
      </w:r>
      <w:r>
        <w:t>A decision only you can make: Once the journal is chosen, its own rules: the length cut (7,453 words of running text against 2,000 to 12,000), the abstract format, section names and order, the display-item limit, supplementary numbering and Figure S5's place, iScience's summary, Resource availability and STAR Methods, and whether to state the donors' sex and age. (D7, JA-7, JA-8, JA-9, PR-32, FG-14, FG-15, FG-16, JA-11)</w:t>
      </w:r>
    </w:p>
  </w:comment>
  <w:comment w:id="7" w:author="Decisions for the authors" w:initials="DF" w:date="2026-10-27T20:36:36Z">
    <w:p>
      <w:pPr>
        <w:pStyle w:val="CommentText"/>
      </w:pPr>
      <w:r>
        <w:rPr>
          <w:rStyle w:val="CommentReference"/>
        </w:rPr>
        <w:annotationRef/>
      </w:r>
      <w:r>
        <w:t>A decision only you can make: New analysis, annotation correctness: compare the engine's matched rows on the public genomes with an independent join (bcftools or vcfanno) or a constructed VCF, measure restored genotypes against HG002's truth set and the indels missed by spelling; or keep the narrower statement of what was checked (proposal PR-C19). (D8, PR-1, PR-19, PR-5)</w:t>
      </w:r>
    </w:p>
  </w:comment>
  <w:comment w:id="8" w:author="Decisions for the authors" w:initials="DF" w:date="2026-10-27T20:36:36Z">
    <w:p>
      <w:pPr>
        <w:pStyle w:val="CommentText"/>
      </w:pPr>
      <w:r>
        <w:rPr>
          <w:rStyle w:val="CommentReference"/>
        </w:rPr>
        <w:annotationRef/>
      </w:r>
      <w:r>
        <w:t>A decision only you can make: New analysis, the percentile scale check: run held-out 1000 Genomes individuals (or the public genomes) through the user's path and compare normal-fit with empirical percentiles; optionally also agreement in percentile points, ancestry on the user's path and a checked sample of AI-annotated directions; or say that the audit catches only total offsets (proposal PR-C20). (D9, PR-2, PR-16, PR-18, PR-17)</w:t>
      </w:r>
    </w:p>
  </w:comment>
  <w:comment w:id="9" w:author="Decisions for the authors" w:initials="DF" w:date="2026-10-27T20:36:36Z">
    <w:p>
      <w:pPr>
        <w:pStyle w:val="CommentText"/>
      </w:pPr>
      <w:r>
        <w:rPr>
          <w:rStyle w:val="CommentReference"/>
        </w:rPr>
        <w:annotationRef/>
      </w:r>
      <w:r>
        <w:t>A decision only you can make: New analysis, cohort runs: the net weight's distribution over the 1000 Genomes panel (or remove the net-weight card), what the ClinVar-derived modules report on the public genomes, and a small usability test with people outside the team. (D10, PR-8, PR-6, PR-26)</w:t>
      </w:r>
    </w:p>
  </w:comment>
  <w:comment w:id="10" w:author="Decisions for the authors" w:initials="DF" w:date="2026-10-27T20:36:36Z">
    <w:p>
      <w:pPr>
        <w:pStyle w:val="CommentText"/>
      </w:pPr>
      <w:r>
        <w:rPr>
          <w:rStyle w:val="CommentReference"/>
        </w:rPr>
        <w:annotationRef/>
      </w:r>
      <w:r>
        <w:t>A decision only you can make: The Abstract stays feature-led without result numbers, as you chose in v0.6 (changes-from-v0.5.md, C2a), or gains a measured result, a sentence of stake and a gloss on Model Context Protocol (proposals PF-C3, ST-C25, ST-C26). (D11, PR-29, ST-10)</w:t>
      </w:r>
    </w:p>
  </w:comment>
  <w:comment w:id="11" w:author="Decisions for the authors" w:initials="DF" w:date="2026-10-27T20:36:36Z">
    <w:p>
      <w:pPr>
        <w:pStyle w:val="CommentText"/>
      </w:pPr>
      <w:r>
        <w:rPr>
          <w:rStyle w:val="CommentReference"/>
        </w:rPr>
        <w:annotationRef/>
      </w:r>
      <w:r>
        <w:t>A decision only you can make: The S13 provenance paragraph and its two Google Drive reports: archive both files on Zenodo and cite them, or drop the paragraph (proposal IC-C15). (D12, PF-14)</w:t>
      </w:r>
    </w:p>
  </w:comment>
  <w:comment w:id="12" w:author="Decisions for the authors" w:initials="DF" w:date="2026-10-27T20:36:36Z">
    <w:p>
      <w:pPr>
        <w:pStyle w:val="CommentText"/>
      </w:pPr>
      <w:r>
        <w:rPr>
          <w:rStyle w:val="CommentReference"/>
        </w:rPr>
        <w:annotationRef/>
      </w:r>
      <w:r>
        <w:t>A decision only you can make: Facts only you have about the modules: what became of the 50 post-2017 Longevity Map entries, the rule that turns evidence into the SNP weight, how Thrombophilia's variants were chosen, what a Superhuman carrier reads (or re-curating those rows), whether the FOXO3 row's stored conclusion should speak about the genotype, and module versions in reports (what the build digest hashes, why the Superhuman digest is all zeros). (D13, PR-11, PR-15, PE-2, PR-12, ST-15, PR-10)</w:t>
      </w:r>
    </w:p>
  </w:comment>
  <w:comment w:id="13" w:author="Decisions for the authors" w:initials="DF" w:date="2026-10-27T20:36:36Z">
    <w:p>
      <w:pPr>
        <w:pStyle w:val="CommentText"/>
      </w:pPr>
      <w:r>
        <w:rPr>
          <w:rStyle w:val="CommentReference"/>
        </w:rPr>
        <w:annotationRef/>
      </w:r>
      <w:r>
        <w:t>A decision only you can make: Facts only you have about the paper's record: whether Newton Winter (just-prs-mcp's copyright holder) is an author or should be acknowledged, whether AI wrote code or helped draw figures, who runs the three other registry accounts, whether Generation I used pooled gnomAD frequencies, and where and how the 23 compared tools were searched for. (D14, IC-15, JA-6, IC-7, RC-2, RC-7)</w:t>
      </w:r>
    </w:p>
  </w:comment>
  <w:comment w:id="14" w:author="Decisions for the authors" w:initials="DF" w:date="2026-10-27T20:36:36Z">
    <w:p>
      <w:pPr>
        <w:pStyle w:val="CommentText"/>
      </w:pPr>
      <w:r>
        <w:rPr>
          <w:rStyle w:val="CommentReference"/>
        </w:rPr>
        <w:annotationRef/>
      </w:r>
      <w:r>
        <w:t>A decision only you can make: Your stated positions: whether the gatekeeper sentence in Section 5.3 names openly released genomes (proposal PF-C4), and what reading of a wide spread of model percentiles the interface intends, for one sentence in Section 3.2. (D15, PF-5, ST-9)</w:t>
      </w:r>
    </w:p>
  </w:comment>
  <w:comment w:id="15" w:author="Figures and tables" w:initials="FA" w:date="2026-10-27T20:36:36Z">
    <w:p>
      <w:pPr>
        <w:pStyle w:val="CommentText"/>
      </w:pPr>
      <w:r>
        <w:rPr>
          <w:rStyle w:val="CommentReference"/>
        </w:rPr>
        <w:annotationRef/>
      </w:r>
      <w:r>
        <w:t>Figure 1 text prints at about 3.6 to 6 pt even at full page width (Major, then the writing). The 2,320 by 2,956 pixel screenshot is about 227 mm tall at 178 mm wide, a whole page before its caption and taller than PLOS allows (222 mm). At that width panel (b) body text is about 6 pt and its headers about 5 pt; panel (a), captured in a 1,440-pixel window and scaled down, prints at about 4.5 pt (descriptions) and 3.6 pt (card counts, versions, downloads). The journals on the ladder that state a minimum ask for 7 to 8 pt; at one column every label is under 3 pt. Fix: Recapture at a window about 880 to 1,000 CSS pixels wide (or 115 to 135% zoom) with device scale factor 3; crop panel (a) to the selected-module panel and one card row; show one linked study in panel (b); print at full width. Found by: Figures and tables. (FG-1)</w:t>
      </w:r>
    </w:p>
  </w:comment>
  <w:comment w:id="16" w:author="Workflow" w:initials="W" w:date="2026-10-27T20:36:36Z">
    <w:p>
      <w:pPr>
        <w:pStyle w:val="CommentText"/>
      </w:pPr>
      <w:r>
        <w:rPr>
          <w:rStyle w:val="CommentReference"/>
        </w:rPr>
        <w:annotationRef/>
      </w:r>
      <w:r>
        <w:t>1 problem about this part whose passage is not quoted in this text:</w:t>
      </w:r>
    </w:p>
    <w:p>
      <w:pPr>
        <w:pStyle w:val="CommentText"/>
      </w:pPr>
      <w:r>
        <w:t>About Supplementary S7, note ii: Table S7 note says impute.me's paper omits the PGS Catalog; it cites it (Major, fix now). Folkersen et al. 2020 cite 'Lambert et al., 2019' in the body as an example source of top-SNP scores, and their reference list gives it as 'The Polygenic Score (PGS) Catalog: An Open Database To Enable Reproducibility And Systematic Evaluation'. The second reader found it in the reference list; we confirmed it in the Europe PMC full text (PMC7340159). The note's clause is not supported. Fix: Fixed in the supplement file (improve.C53, recorded and applied there). The corrected version is built from the main text only, so this stays open in the inventory; read the supplement to check it. Found by: Reference check. (RC-11)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manuscript review found</dc:title>
  <dc:subject/>
  <dc:creator>manuscript-improve</dc:creator>
  <cp:keywords/>
  <dc:description>generated by python-docx</dc:description>
  <cp:lastModifiedBy/>
  <cp:revision>1</cp:revision>
  <dcterms:created xsi:type="dcterms:W3CDTF">2013-12-23T23:15:00Z</dcterms:created>
  <dcterms:modified xsi:type="dcterms:W3CDTF">2013-12-23T23:15:00Z</dcterms:modified>
  <cp:category/>
</cp:coreProperties>
</file>