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000" w:after="280"/>
        <w:jc w:val="center"/>
      </w:pPr>
      <w:r>
        <w:rPr>
          <w:rFonts w:ascii="Aptos" w:hAnsi="Aptos"/>
          <w:b/>
          <w:i w:val="0"/>
          <w:color w:val="5D978F"/>
          <w:sz w:val="20"/>
        </w:rPr>
        <w:t>EVERVIE HEALTH</w:t>
      </w:r>
    </w:p>
    <w:p>
      <w:pPr>
        <w:spacing w:after="240"/>
        <w:jc w:val="center"/>
      </w:pPr>
      <w:r>
        <w:rPr>
          <w:rFonts w:ascii="Aptos Display" w:hAnsi="Aptos Display"/>
          <w:b/>
          <w:i w:val="0"/>
          <w:color w:val="0E3431"/>
          <w:sz w:val="62"/>
        </w:rPr>
        <w:t>The Future of Care in India</w:t>
      </w:r>
    </w:p>
    <w:p>
      <w:pPr>
        <w:spacing w:after="480"/>
        <w:jc w:val="center"/>
      </w:pPr>
      <w:r>
        <w:rPr>
          <w:rFonts w:ascii="Aptos" w:hAnsi="Aptos"/>
          <w:b w:val="0"/>
          <w:i/>
          <w:color w:val="5B686E"/>
          <w:sz w:val="28"/>
        </w:rPr>
        <w:t>Five website-ready insight articles on renal care, oncology, diagnostics, healthy ageing, and women's health</w:t>
      </w:r>
    </w:p>
    <w:p>
      <w:pPr>
        <w:spacing w:before="1440" w:after="80"/>
        <w:jc w:val="center"/>
      </w:pPr>
      <w:r>
        <w:rPr>
          <w:rFonts w:ascii="Aptos" w:hAnsi="Aptos"/>
          <w:b/>
          <w:i w:val="0"/>
          <w:color w:val="164B47"/>
          <w:sz w:val="22"/>
        </w:rPr>
        <w:t>Prepared for Evervie Health</w:t>
      </w:r>
    </w:p>
    <w:p>
      <w:pPr>
        <w:jc w:val="center"/>
      </w:pPr>
      <w:r>
        <w:rPr>
          <w:rFonts w:ascii="Aptos" w:hAnsi="Aptos"/>
          <w:b w:val="0"/>
          <w:i w:val="0"/>
          <w:color w:val="5B686E"/>
          <w:sz w:val="19"/>
        </w:rPr>
        <w:t>September 2026 | Editorial draft</w:t>
      </w:r>
    </w:p>
    <w:p>
      <w:r>
        <w:br w:type="page"/>
      </w:r>
    </w:p>
    <w:p>
      <w:pPr>
        <w:pStyle w:val="Heading1"/>
      </w:pPr>
      <w:r>
        <w:t>Editorial approach</w:t>
      </w:r>
    </w:p>
    <w:p>
      <w:pPr/>
      <w:r>
        <w:rPr>
          <w:rFonts w:ascii="Aptos" w:hAnsi="Aptos"/>
          <w:b w:val="0"/>
          <w:i w:val="0"/>
          <w:color w:val="212B30"/>
          <w:sz w:val="22"/>
        </w:rPr>
        <w:t>These articles translate third-party market research into an original Evervie Health point of view. They are written for a broad audience that may include patients and families, clinicians, partners, investors, and the wider healthcare community.</w:t>
      </w:r>
    </w:p>
    <w:p>
      <w:pPr/>
      <w:r>
        <w:rPr>
          <w:rFonts w:ascii="Aptos" w:hAnsi="Aptos"/>
          <w:b w:val="0"/>
          <w:i w:val="0"/>
          <w:color w:val="212B30"/>
          <w:sz w:val="22"/>
        </w:rPr>
        <w:t>Each article begins with the human question behind the data, then explains what the trend means for healthcare delivery. The voice is informed, accessible, and forward-looking. It avoids presenting publisher forecasts as Evervie's own research and does not make unverified claims about Evervie's current facilities, technologies, or clinical outcomes.</w:t>
      </w:r>
    </w:p>
    <w:p>
      <w:pPr>
        <w:pStyle w:val="Heading2"/>
      </w:pPr>
      <w:r>
        <w:t>Publishing principles</w:t>
      </w:r>
    </w:p>
    <w:p>
      <w:pPr>
        <w:pStyle w:val="EvervieBullet"/>
      </w:pPr>
      <w:r>
        <w:rPr>
          <w:rFonts w:ascii="Aptos" w:hAnsi="Aptos"/>
          <w:b w:val="0"/>
          <w:i w:val="0"/>
          <w:color w:val="212B30"/>
          <w:sz w:val="22"/>
        </w:rPr>
        <w:t>Attribute every market forecast to its publisher and retain the forecast period.</w:t>
      </w:r>
    </w:p>
    <w:p>
      <w:pPr>
        <w:pStyle w:val="EvervieBullet"/>
      </w:pPr>
      <w:r>
        <w:rPr>
          <w:rFonts w:ascii="Aptos" w:hAnsi="Aptos"/>
          <w:b w:val="0"/>
          <w:i w:val="0"/>
          <w:color w:val="212B30"/>
          <w:sz w:val="22"/>
        </w:rPr>
        <w:t>Describe projections as estimates, not established future facts.</w:t>
      </w:r>
    </w:p>
    <w:p>
      <w:pPr>
        <w:pStyle w:val="EvervieBullet"/>
      </w:pPr>
      <w:r>
        <w:rPr>
          <w:rFonts w:ascii="Aptos" w:hAnsi="Aptos"/>
          <w:b w:val="0"/>
          <w:i w:val="0"/>
          <w:color w:val="212B30"/>
          <w:sz w:val="22"/>
        </w:rPr>
        <w:t>Use data to explain the need for better care, not simply the size of a commercial opportunity.</w:t>
      </w:r>
    </w:p>
    <w:p>
      <w:pPr>
        <w:pStyle w:val="EvervieBullet"/>
      </w:pPr>
      <w:r>
        <w:rPr>
          <w:rFonts w:ascii="Aptos" w:hAnsi="Aptos"/>
          <w:b w:val="0"/>
          <w:i w:val="0"/>
          <w:color w:val="212B30"/>
          <w:sz w:val="22"/>
        </w:rPr>
        <w:t>Keep Evervie's contribution at the level of perspective and care philosophy unless operational claims have been verified internally.</w:t>
      </w:r>
    </w:p>
    <w:p>
      <w:pPr>
        <w:pStyle w:val="EvervieBullet"/>
      </w:pPr>
      <w:r>
        <w:rPr>
          <w:rFonts w:ascii="Aptos" w:hAnsi="Aptos"/>
          <w:b w:val="0"/>
          <w:i w:val="0"/>
          <w:color w:val="212B30"/>
          <w:sz w:val="22"/>
        </w:rPr>
        <w:t>Retain a visible source list at the end of every article.</w:t>
      </w:r>
    </w:p>
    <w:p>
      <w:pPr>
        <w:pageBreakBefore/>
        <w:spacing w:before="0" w:after="0"/>
      </w:pPr>
    </w:p>
    <w:p>
      <w:pPr>
        <w:spacing w:before="120" w:after="140"/>
      </w:pPr>
      <w:r>
        <w:rPr>
          <w:rFonts w:ascii="Aptos" w:hAnsi="Aptos"/>
          <w:b/>
          <w:i w:val="0"/>
          <w:color w:val="5D978F"/>
          <w:sz w:val="19"/>
        </w:rPr>
        <w:t>RENAL CARE</w:t>
      </w:r>
    </w:p>
    <w:p>
      <w:pPr>
        <w:pStyle w:val="ArticleTitle"/>
      </w:pPr>
      <w:r>
        <w:rPr>
          <w:rFonts w:ascii="Aptos" w:hAnsi="Aptos"/>
          <w:b/>
          <w:i w:val="0"/>
          <w:color w:val="0E3431"/>
          <w:sz w:val="48"/>
        </w:rPr>
        <w:t>India's Dialysis Need Is Growing. Care Must Grow With It.</w:t>
      </w:r>
    </w:p>
    <w:p>
      <w:pPr>
        <w:pStyle w:val="Deck"/>
      </w:pPr>
      <w:r>
        <w:rPr>
          <w:rFonts w:ascii="Aptos" w:hAnsi="Aptos"/>
          <w:b w:val="0"/>
          <w:i/>
          <w:color w:val="5B686E"/>
          <w:sz w:val="25"/>
        </w:rPr>
        <w:t>Rising demand is clear. The more important question is whether kidney care can become earlier, more accessible, and more consistent for the people who depend on it.</w:t>
      </w:r>
    </w:p>
    <w:tbl>
      <w:tblPr>
        <w:tblW w:type="dxa" w:w="9360"/>
        <w:jc w:val="left"/>
        <w:tblLayout w:type="fixed"/>
        <w:tblLook w:firstColumn="1" w:firstRow="1" w:lastColumn="0" w:lastRow="0" w:noHBand="0" w:noVBand="1" w:val="04A0"/>
        <w:tblInd w:w="120" w:type="dxa"/>
      </w:tblPr>
      <w:tblGrid>
        <w:gridCol w:w="9360"/>
      </w:tblGrid>
      <w:tr>
        <w:trPr>
          <w:tblHeader w:val="true"/>
        </w:trPr>
        <w:tc>
          <w:tcPr>
            <w:tcW w:type="dxa" w:w="9360"/>
            <w:tcMar>
              <w:top w:w="100" w:type="dxa"/>
              <w:start w:w="140" w:type="dxa"/>
              <w:bottom w:w="100" w:type="dxa"/>
              <w:end w:w="140" w:type="dxa"/>
            </w:tcMar>
            <w:shd w:fill="EFF6F5"/>
            <w:vAlign w:val="center"/>
          </w:tcPr>
          <w:p>
            <w:pPr>
              <w:spacing w:after="60"/>
            </w:pPr>
            <w:r>
              <w:rPr>
                <w:rFonts w:ascii="Aptos" w:hAnsi="Aptos"/>
                <w:b/>
                <w:i w:val="0"/>
                <w:color w:val="0E3431"/>
                <w:sz w:val="34"/>
              </w:rPr>
              <w:t>USD 23.86 billion by 2030</w:t>
            </w:r>
          </w:p>
          <w:p>
            <w:pPr>
              <w:spacing w:after="0"/>
            </w:pPr>
            <w:r>
              <w:rPr>
                <w:rFonts w:ascii="Aptos" w:hAnsi="Aptos"/>
                <w:b w:val="0"/>
                <w:i w:val="0"/>
                <w:color w:val="5B686E"/>
                <w:sz w:val="20"/>
              </w:rPr>
              <w:t>One publisher's estimate for India's dialysis market, up from USD 12.13 billion in 2024. A separate report uses a narrower base and projects USD 11.7 billion by 2034. These estimates are not directly comparable.</w:t>
            </w:r>
          </w:p>
        </w:tc>
      </w:tr>
    </w:tbl>
    <w:p>
      <w:pPr>
        <w:spacing w:after="0"/>
      </w:pPr>
    </w:p>
    <w:p>
      <w:pPr/>
      <w:r>
        <w:rPr>
          <w:rFonts w:ascii="Aptos" w:hAnsi="Aptos"/>
          <w:b w:val="0"/>
          <w:i w:val="0"/>
          <w:color w:val="212B30"/>
          <w:sz w:val="22"/>
        </w:rPr>
        <w:t>Kidney disease often advances quietly. For many people, the first visible sign of a long health journey arrives only when kidney function has already declined significantly. By then, dialysis may no longer be an occasional medical intervention. It becomes part of everyday life - shaping work, travel, family routines, finances, and emotional wellbeing.</w:t>
      </w:r>
    </w:p>
    <w:p>
      <w:pPr/>
      <w:r>
        <w:rPr>
          <w:rFonts w:ascii="Aptos" w:hAnsi="Aptos"/>
          <w:b w:val="0"/>
          <w:i w:val="0"/>
          <w:color w:val="212B30"/>
          <w:sz w:val="22"/>
        </w:rPr>
        <w:t>Across India, the need for dialysis is expected to rise as diabetes, hypertension, and an ageing population increase the risk of chronic kidney disease. Market researchers differ substantially on the size of the dialysis market because their definitions, product coverage, and methodologies vary. Next Move Strategy Consulting estimates a rise from USD 12.13 billion in 2024 to USD 23.86 billion by 2030, at a compound annual growth rate of 10.72 percent from 2025. Another industry report estimates growth from USD 5.4 billion in 2025 to USD 11.7 billion by 2034, at an 8.56 percent compound annual growth rate.</w:t>
      </w:r>
    </w:p>
    <w:p>
      <w:pPr/>
      <w:r>
        <w:rPr>
          <w:rFonts w:ascii="Aptos" w:hAnsi="Aptos"/>
          <w:b w:val="0"/>
          <w:i w:val="0"/>
          <w:color w:val="212B30"/>
          <w:sz w:val="22"/>
        </w:rPr>
        <w:t>The exact forecasts are different, but the direction is the same: more people will need sustained renal support. That makes capacity important, but capacity alone is not the complete answer.</w:t>
      </w:r>
    </w:p>
    <w:p>
      <w:pPr>
        <w:pStyle w:val="Heading2"/>
      </w:pPr>
      <w:r>
        <w:t>The experience of care matters</w:t>
      </w:r>
    </w:p>
    <w:p>
      <w:pPr/>
      <w:r>
        <w:rPr>
          <w:rFonts w:ascii="Aptos" w:hAnsi="Aptos"/>
          <w:b w:val="0"/>
          <w:i w:val="0"/>
          <w:color w:val="212B30"/>
          <w:sz w:val="22"/>
        </w:rPr>
        <w:t>Dialysis is repetitive, time-intensive care. A dependable renal-care system must therefore be designed around continuity. Patients need predictable scheduling, consistent clinical standards, infection prevention, clear communication, and dependable escalation when their condition changes. They also need care that recognises the burden placed on caregivers and families.</w:t>
      </w:r>
    </w:p>
    <w:p>
      <w:pPr/>
      <w:r>
        <w:rPr>
          <w:rFonts w:ascii="Aptos" w:hAnsi="Aptos"/>
          <w:b w:val="0"/>
          <w:i w:val="0"/>
          <w:color w:val="212B30"/>
          <w:sz w:val="22"/>
        </w:rPr>
        <w:t>Affordability and geography remain central. Frequent travel to a treatment centre can turn distance into a clinical barrier, especially outside large cities. Home-based dialysis may offer greater flexibility for suitable patients, but it is not simply a device delivered to a home. It requires careful patient selection, training, monitoring, reliable supplies, and clinical support when complications arise.</w:t>
      </w:r>
    </w:p>
    <w:p>
      <w:pPr>
        <w:pStyle w:val="Heading2"/>
      </w:pPr>
      <w:r>
        <w:t>The Evervie Health perspective</w:t>
      </w:r>
    </w:p>
    <w:p>
      <w:pPr/>
      <w:r>
        <w:rPr>
          <w:rFonts w:ascii="Aptos" w:hAnsi="Aptos"/>
          <w:b w:val="0"/>
          <w:i w:val="0"/>
          <w:color w:val="212B30"/>
          <w:sz w:val="22"/>
        </w:rPr>
        <w:t>At Evervie Health, we believe the future of renal care must connect prevention, diagnosis, treatment, and long-term support. Earlier screening for people living with diabetes or hypertension can identify risk before symptoms become severe. Clear referral pathways can reduce delays. Consistent operating standards can make each treatment session safer and more dependable.</w:t>
      </w:r>
    </w:p>
    <w:p>
      <w:pPr/>
      <w:r>
        <w:rPr>
          <w:rFonts w:ascii="Aptos" w:hAnsi="Aptos"/>
          <w:b w:val="0"/>
          <w:i w:val="0"/>
          <w:color w:val="212B30"/>
          <w:sz w:val="22"/>
        </w:rPr>
        <w:t>Growth in dialysis demand should not be read only as a market statistic. It is a reminder that millions of care journeys may become longer and more complex. The healthcare response must grow not only in size, but also in reach, reliability, and humanity.</w:t>
      </w:r>
    </w:p>
    <w:p>
      <w:pPr>
        <w:pStyle w:val="Heading2"/>
      </w:pPr>
      <w:r>
        <w:t>Sources</w:t>
      </w:r>
    </w:p>
    <w:p>
      <w:pPr>
        <w:pStyle w:val="SourceNote"/>
      </w:pPr>
      <w:r>
        <w:rPr>
          <w:rFonts w:ascii="Aptos" w:hAnsi="Aptos"/>
          <w:b w:val="0"/>
          <w:i w:val="0"/>
          <w:color w:val="5B686E"/>
          <w:sz w:val="19"/>
        </w:rPr>
        <w:t xml:space="preserve">Next Move Strategy Consulting, India Dialysis Market - </w:t>
      </w:r>
      <w:hyperlink r:id="rId11">
        <w:r>
          <w:rPr>
            <w:color w:val="164B47"/>
            <w:u w:val="single"/>
            <w:rFonts w:ascii="Aptos" w:hAnsi="Aptos"/>
            <w:sz w:val="19"/>
          </w:rPr>
          <w:t>View source</w:t>
        </w:r>
      </w:hyperlink>
    </w:p>
    <w:p>
      <w:pPr>
        <w:pStyle w:val="SourceNote"/>
      </w:pPr>
      <w:r>
        <w:rPr>
          <w:rFonts w:ascii="Aptos" w:hAnsi="Aptos"/>
          <w:b w:val="0"/>
          <w:i w:val="0"/>
          <w:color w:val="5B686E"/>
          <w:sz w:val="19"/>
        </w:rPr>
        <w:t xml:space="preserve">India Dialysis Market Report 2026-2034, published via Global Risk Community - </w:t>
      </w:r>
      <w:hyperlink r:id="rId12">
        <w:r>
          <w:rPr>
            <w:color w:val="164B47"/>
            <w:u w:val="single"/>
            <w:rFonts w:ascii="Aptos" w:hAnsi="Aptos"/>
            <w:sz w:val="19"/>
          </w:rPr>
          <w:t>View source</w:t>
        </w:r>
      </w:hyperlink>
    </w:p>
    <w:p>
      <w:pPr>
        <w:pageBreakBefore/>
        <w:spacing w:before="0" w:after="0"/>
      </w:pPr>
    </w:p>
    <w:p>
      <w:pPr>
        <w:spacing w:before="120" w:after="140"/>
      </w:pPr>
      <w:r>
        <w:rPr>
          <w:rFonts w:ascii="Aptos" w:hAnsi="Aptos"/>
          <w:b/>
          <w:i w:val="0"/>
          <w:color w:val="5D978F"/>
          <w:sz w:val="19"/>
        </w:rPr>
        <w:t>ONCOLOGY</w:t>
      </w:r>
    </w:p>
    <w:p>
      <w:pPr>
        <w:pStyle w:val="ArticleTitle"/>
      </w:pPr>
      <w:r>
        <w:rPr>
          <w:rFonts w:ascii="Aptos" w:hAnsi="Aptos"/>
          <w:b/>
          <w:i w:val="0"/>
          <w:color w:val="0E3431"/>
          <w:sz w:val="48"/>
        </w:rPr>
        <w:t>Radiation Oncology in India: Growth Must Translate into Better Access.</w:t>
      </w:r>
    </w:p>
    <w:p>
      <w:pPr>
        <w:pStyle w:val="Deck"/>
      </w:pPr>
      <w:r>
        <w:rPr>
          <w:rFonts w:ascii="Aptos" w:hAnsi="Aptos"/>
          <w:b w:val="0"/>
          <w:i/>
          <w:color w:val="5B686E"/>
          <w:sz w:val="25"/>
        </w:rPr>
        <w:t>A fast-growing market is meaningful only when more patients can reach timely, coordinated, and clinically appropriate cancer care.</w:t>
      </w:r>
    </w:p>
    <w:tbl>
      <w:tblPr>
        <w:tblW w:type="dxa" w:w="9360"/>
        <w:jc w:val="left"/>
        <w:tblLayout w:type="fixed"/>
        <w:tblLook w:firstColumn="1" w:firstRow="1" w:lastColumn="0" w:lastRow="0" w:noHBand="0" w:noVBand="1" w:val="04A0"/>
        <w:tblInd w:w="120" w:type="dxa"/>
      </w:tblPr>
      <w:tblGrid>
        <w:gridCol w:w="9360"/>
      </w:tblGrid>
      <w:tr>
        <w:trPr>
          <w:tblHeader w:val="true"/>
        </w:trPr>
        <w:tc>
          <w:tcPr>
            <w:tcW w:type="dxa" w:w="9360"/>
            <w:tcMar>
              <w:top w:w="100" w:type="dxa"/>
              <w:start w:w="140" w:type="dxa"/>
              <w:bottom w:w="100" w:type="dxa"/>
              <w:end w:w="140" w:type="dxa"/>
            </w:tcMar>
            <w:shd w:fill="EFF6F5"/>
            <w:vAlign w:val="center"/>
          </w:tcPr>
          <w:p>
            <w:pPr>
              <w:spacing w:after="60"/>
            </w:pPr>
            <w:r>
              <w:rPr>
                <w:rFonts w:ascii="Aptos" w:hAnsi="Aptos"/>
                <w:b/>
                <w:i w:val="0"/>
                <w:color w:val="0E3431"/>
                <w:sz w:val="34"/>
              </w:rPr>
              <w:t>14.4% projected CAGR</w:t>
            </w:r>
          </w:p>
          <w:p>
            <w:pPr>
              <w:spacing w:after="0"/>
            </w:pPr>
            <w:r>
              <w:rPr>
                <w:rFonts w:ascii="Aptos" w:hAnsi="Aptos"/>
                <w:b w:val="0"/>
                <w:i w:val="0"/>
                <w:color w:val="5B686E"/>
                <w:sz w:val="20"/>
              </w:rPr>
              <w:t>Grand View Research estimates India's radiation oncology market could grow from USD 310.0 million in 2025 to USD 907.2 million by 2033.</w:t>
            </w:r>
          </w:p>
        </w:tc>
      </w:tr>
    </w:tbl>
    <w:p>
      <w:pPr>
        <w:spacing w:after="0"/>
      </w:pPr>
    </w:p>
    <w:p>
      <w:pPr/>
      <w:r>
        <w:rPr>
          <w:rFonts w:ascii="Aptos" w:hAnsi="Aptos"/>
          <w:b w:val="0"/>
          <w:i w:val="0"/>
          <w:color w:val="212B30"/>
          <w:sz w:val="22"/>
        </w:rPr>
        <w:t>Cancer care is changing rapidly. New technologies, more precise treatment planning, molecular information, and a growing range of therapies are expanding what is possible. At the same time, the patient journey is becoming more complex. Progress depends not only on the availability of equipment or therapies, but on how well the entire care pathway works together.</w:t>
      </w:r>
    </w:p>
    <w:p>
      <w:pPr/>
      <w:r>
        <w:rPr>
          <w:rFonts w:ascii="Aptos" w:hAnsi="Aptos"/>
          <w:b w:val="0"/>
          <w:i w:val="0"/>
          <w:color w:val="212B30"/>
          <w:sz w:val="22"/>
        </w:rPr>
        <w:t>Grand View Research estimates that India's radiation oncology market could reach USD 907.2 million by 2033, compared with USD 310.0 million in 2025. The same analysis identifies India as the fastest-growing radiation oncology market in Asia Pacific over the forecast period. External beam radiation therapy was the largest treatment segment in 2025.</w:t>
      </w:r>
    </w:p>
    <w:p>
      <w:pPr/>
      <w:r>
        <w:rPr>
          <w:rFonts w:ascii="Aptos" w:hAnsi="Aptos"/>
          <w:b w:val="0"/>
          <w:i w:val="0"/>
          <w:color w:val="212B30"/>
          <w:sz w:val="22"/>
        </w:rPr>
        <w:t>These figures reflect investment and expanding demand, but market growth should not be confused with equitable access. Radiation therapy requires specialised infrastructure, trained teams, accurate imaging and planning, quality assurance, and a schedule patients can realistically complete. Delays or interruptions can affect both the experience and effectiveness of treatment.</w:t>
      </w:r>
    </w:p>
    <w:p>
      <w:pPr>
        <w:pStyle w:val="Heading2"/>
      </w:pPr>
      <w:r>
        <w:t>Cancer care is becoming more precise - and more connected</w:t>
      </w:r>
    </w:p>
    <w:p>
      <w:pPr/>
      <w:r>
        <w:rPr>
          <w:rFonts w:ascii="Aptos" w:hAnsi="Aptos"/>
          <w:b w:val="0"/>
          <w:i w:val="0"/>
          <w:color w:val="212B30"/>
          <w:sz w:val="22"/>
        </w:rPr>
        <w:t>Global oncology research also points to the rising importance of precision medicine. McKinsey reported that the number of therapies coupled with biomarkers had increased roughly threefold since 2010, based on data available in 2019. As patient groups become more precisely defined, diagnostics, pathology, imaging, and treatment decisions must work in closer coordination.</w:t>
      </w:r>
    </w:p>
    <w:p>
      <w:pPr/>
      <w:r>
        <w:rPr>
          <w:rFonts w:ascii="Aptos" w:hAnsi="Aptos"/>
          <w:b w:val="0"/>
          <w:i w:val="0"/>
          <w:color w:val="212B30"/>
          <w:sz w:val="22"/>
        </w:rPr>
        <w:t>This has an important implication for care delivery: the quality of the connection between teams matters. A patient should not have to navigate isolated departments, repeat the same information, or carry the burden of coordinating complex decisions alone. Multidisciplinary planning, clear communication, and well-defined referral pathways are not administrative extras. They are part of good oncology care.</w:t>
      </w:r>
    </w:p>
    <w:p>
      <w:pPr>
        <w:pStyle w:val="Heading2"/>
      </w:pPr>
      <w:r>
        <w:t>The Evervie Health perspective</w:t>
      </w:r>
    </w:p>
    <w:p>
      <w:pPr/>
      <w:r>
        <w:rPr>
          <w:rFonts w:ascii="Aptos" w:hAnsi="Aptos"/>
          <w:b w:val="0"/>
          <w:i w:val="0"/>
          <w:color w:val="212B30"/>
          <w:sz w:val="22"/>
        </w:rPr>
        <w:t>At Evervie Health, we see the next phase of oncology as a shift from fragmented interventions to coordinated care. Technology will remain essential, but its value is realised only when it is supported by clinical expertise, robust quality systems, accessible locations, dependable workflows, and compassionate communication.</w:t>
      </w:r>
    </w:p>
    <w:p>
      <w:pPr/>
      <w:r>
        <w:rPr>
          <w:rFonts w:ascii="Aptos" w:hAnsi="Aptos"/>
          <w:b w:val="0"/>
          <w:i w:val="0"/>
          <w:color w:val="212B30"/>
          <w:sz w:val="22"/>
        </w:rPr>
        <w:t>The opportunity before India is larger than the growth of a market. It is the opportunity to shorten the distance between diagnosis and treatment, bring advanced care closer to more communities, and help every patient understand what comes next. Growth matters. Access, consistency, and trust are what make that growth meaningful.</w:t>
      </w:r>
    </w:p>
    <w:p>
      <w:pPr>
        <w:pStyle w:val="Heading2"/>
      </w:pPr>
      <w:r>
        <w:t>Sources</w:t>
      </w:r>
    </w:p>
    <w:p>
      <w:pPr>
        <w:pStyle w:val="SourceNote"/>
      </w:pPr>
      <w:r>
        <w:rPr>
          <w:rFonts w:ascii="Aptos" w:hAnsi="Aptos"/>
          <w:b w:val="0"/>
          <w:i w:val="0"/>
          <w:color w:val="5B686E"/>
          <w:sz w:val="19"/>
        </w:rPr>
        <w:t xml:space="preserve">Grand View Research, India Radiation Oncology Market Size &amp; Outlook - </w:t>
      </w:r>
      <w:hyperlink r:id="rId13">
        <w:r>
          <w:rPr>
            <w:color w:val="164B47"/>
            <w:u w:val="single"/>
            <w:rFonts w:ascii="Aptos" w:hAnsi="Aptos"/>
            <w:sz w:val="19"/>
          </w:rPr>
          <w:t>View source</w:t>
        </w:r>
      </w:hyperlink>
    </w:p>
    <w:p>
      <w:pPr>
        <w:pStyle w:val="SourceNote"/>
      </w:pPr>
      <w:r>
        <w:rPr>
          <w:rFonts w:ascii="Aptos" w:hAnsi="Aptos"/>
          <w:b w:val="0"/>
          <w:i w:val="0"/>
          <w:color w:val="5B686E"/>
          <w:sz w:val="19"/>
        </w:rPr>
        <w:t xml:space="preserve">McKinsey &amp; Company, Playing to Win in Oncology: Key Capabilities for Success - </w:t>
      </w:r>
      <w:hyperlink r:id="rId14">
        <w:r>
          <w:rPr>
            <w:color w:val="164B47"/>
            <w:u w:val="single"/>
            <w:rFonts w:ascii="Aptos" w:hAnsi="Aptos"/>
            <w:sz w:val="19"/>
          </w:rPr>
          <w:t>View source</w:t>
        </w:r>
      </w:hyperlink>
    </w:p>
    <w:p>
      <w:pPr>
        <w:pageBreakBefore/>
        <w:spacing w:before="0" w:after="0"/>
      </w:pPr>
    </w:p>
    <w:p>
      <w:pPr>
        <w:spacing w:before="120" w:after="140"/>
      </w:pPr>
      <w:r>
        <w:rPr>
          <w:rFonts w:ascii="Aptos" w:hAnsi="Aptos"/>
          <w:b/>
          <w:i w:val="0"/>
          <w:color w:val="5D978F"/>
          <w:sz w:val="19"/>
        </w:rPr>
        <w:t>DIAGNOSTICS</w:t>
      </w:r>
    </w:p>
    <w:p>
      <w:pPr>
        <w:pStyle w:val="ArticleTitle"/>
      </w:pPr>
      <w:r>
        <w:rPr>
          <w:rFonts w:ascii="Aptos" w:hAnsi="Aptos"/>
          <w:b/>
          <w:i w:val="0"/>
          <w:color w:val="0E3431"/>
          <w:sz w:val="48"/>
        </w:rPr>
        <w:t>India's Diagnostic Revolution Is Moving Beyond the Metro.</w:t>
      </w:r>
    </w:p>
    <w:p>
      <w:pPr>
        <w:pStyle w:val="Deck"/>
      </w:pPr>
      <w:r>
        <w:rPr>
          <w:rFonts w:ascii="Aptos" w:hAnsi="Aptos"/>
          <w:b w:val="0"/>
          <w:i/>
          <w:color w:val="5B686E"/>
          <w:sz w:val="25"/>
        </w:rPr>
        <w:t>The future of diagnostics is not simply more tests. It is accurate information reaching more people, more conveniently, and connecting to the next care decision.</w:t>
      </w:r>
    </w:p>
    <w:tbl>
      <w:tblPr>
        <w:tblW w:type="dxa" w:w="9360"/>
        <w:jc w:val="left"/>
        <w:tblLayout w:type="fixed"/>
        <w:tblLook w:firstColumn="1" w:firstRow="1" w:lastColumn="0" w:lastRow="0" w:noHBand="0" w:noVBand="1" w:val="04A0"/>
        <w:tblInd w:w="120" w:type="dxa"/>
      </w:tblPr>
      <w:tblGrid>
        <w:gridCol w:w="9360"/>
      </w:tblGrid>
      <w:tr>
        <w:trPr>
          <w:tblHeader w:val="true"/>
        </w:trPr>
        <w:tc>
          <w:tcPr>
            <w:tcW w:type="dxa" w:w="9360"/>
            <w:tcMar>
              <w:top w:w="100" w:type="dxa"/>
              <w:start w:w="140" w:type="dxa"/>
              <w:bottom w:w="100" w:type="dxa"/>
              <w:end w:w="140" w:type="dxa"/>
            </w:tcMar>
            <w:shd w:fill="EFF6F5"/>
            <w:vAlign w:val="center"/>
          </w:tcPr>
          <w:p>
            <w:pPr>
              <w:spacing w:after="60"/>
            </w:pPr>
            <w:r>
              <w:rPr>
                <w:rFonts w:ascii="Aptos" w:hAnsi="Aptos"/>
                <w:b/>
                <w:i w:val="0"/>
                <w:color w:val="0E3431"/>
                <w:sz w:val="34"/>
              </w:rPr>
              <w:t>Rs 1.1 lakh crore</w:t>
            </w:r>
          </w:p>
          <w:p>
            <w:pPr>
              <w:spacing w:after="0"/>
            </w:pPr>
            <w:r>
              <w:rPr>
                <w:rFonts w:ascii="Aptos" w:hAnsi="Aptos"/>
                <w:b w:val="0"/>
                <w:i w:val="0"/>
                <w:color w:val="5B686E"/>
                <w:sz w:val="20"/>
              </w:rPr>
              <w:t>An industry forecast estimates that India's diagnostics market could cross this level in 2026, supported by health awareness, rising incomes, and deeper digital adoption.</w:t>
            </w:r>
          </w:p>
        </w:tc>
      </w:tr>
    </w:tbl>
    <w:p>
      <w:pPr>
        <w:spacing w:after="0"/>
      </w:pPr>
    </w:p>
    <w:p>
      <w:pPr/>
      <w:r>
        <w:rPr>
          <w:rFonts w:ascii="Aptos" w:hAnsi="Aptos"/>
          <w:b w:val="0"/>
          <w:i w:val="0"/>
          <w:color w:val="212B30"/>
          <w:sz w:val="22"/>
        </w:rPr>
        <w:t>Behind almost every clinical decision is a diagnostic result. A test may confirm a condition, rule out a risk, guide a treatment, or reveal a problem before symptoms become severe. As healthcare expands across India, diagnostics will increasingly shape how early, efficiently, and accurately people enter the care system.</w:t>
      </w:r>
    </w:p>
    <w:p>
      <w:pPr/>
      <w:r>
        <w:rPr>
          <w:rFonts w:ascii="Aptos" w:hAnsi="Aptos"/>
          <w:b w:val="0"/>
          <w:i w:val="0"/>
          <w:color w:val="212B30"/>
          <w:sz w:val="22"/>
        </w:rPr>
        <w:t>An industry forecast published by CrelioHealth estimates that India's diagnostics market could cross Rs 1.1 lakh crore in 2026. It highlights five shifts influencing the sector: the growth of direct-to-consumer and home collection services, expansion into Tier 2 and Tier 3 cities, greater demand for preventive health packages, consolidation around organised quality, and increased use of automation and digital systems.</w:t>
      </w:r>
    </w:p>
    <w:p>
      <w:pPr/>
      <w:r>
        <w:rPr>
          <w:rFonts w:ascii="Aptos" w:hAnsi="Aptos"/>
          <w:b w:val="0"/>
          <w:i w:val="0"/>
          <w:color w:val="212B30"/>
          <w:sz w:val="22"/>
        </w:rPr>
        <w:t>Convenience is part of this change. For many patients, home sample collection is moving from a premium service to an expected part of care. But convenience cannot come at the expense of accuracy, sample integrity, patient privacy, or follow-up. A fast report has limited value if the result cannot be trusted or if the patient does not know what to do next.</w:t>
      </w:r>
    </w:p>
    <w:p>
      <w:pPr>
        <w:pStyle w:val="Heading2"/>
      </w:pPr>
      <w:r>
        <w:t>From a test result to a care decision</w:t>
      </w:r>
    </w:p>
    <w:p>
      <w:pPr/>
      <w:r>
        <w:rPr>
          <w:rFonts w:ascii="Aptos" w:hAnsi="Aptos"/>
          <w:b w:val="0"/>
          <w:i w:val="0"/>
          <w:color w:val="212B30"/>
          <w:sz w:val="22"/>
        </w:rPr>
        <w:t>Digital diagnostics can help close that gap. McKinsey describes digital diagnostics as the combination of data and analytics with traditional in-vitro testing to generate new clinical insights and more efficient workflows. This can include decision support, remote monitoring, and population health management.</w:t>
      </w:r>
    </w:p>
    <w:p>
      <w:pPr/>
      <w:r>
        <w:rPr>
          <w:rFonts w:ascii="Aptos" w:hAnsi="Aptos"/>
          <w:b w:val="0"/>
          <w:i w:val="0"/>
          <w:color w:val="212B30"/>
          <w:sz w:val="22"/>
        </w:rPr>
        <w:t>The real promise is not digitisation for its own sake. It is a connected diagnostic journey: the right test is ordered, the sample is tracked, quality controls are visible, the report reaches the right clinician, and the result leads to an appropriate next step. This is especially important in chronic and complex conditions, where a single value is often less informative than a pattern over time.</w:t>
      </w:r>
    </w:p>
    <w:p>
      <w:pPr>
        <w:pStyle w:val="Heading2"/>
      </w:pPr>
      <w:r>
        <w:t>The Evervie Health perspective</w:t>
      </w:r>
    </w:p>
    <w:p>
      <w:pPr/>
      <w:r>
        <w:rPr>
          <w:rFonts w:ascii="Aptos" w:hAnsi="Aptos"/>
          <w:b w:val="0"/>
          <w:i w:val="0"/>
          <w:color w:val="212B30"/>
          <w:sz w:val="22"/>
        </w:rPr>
        <w:t>At Evervie Health, we believe diagnostics should function as the connective tissue of care. In renal care, timely tests can identify declining kidney function and monitor treatment. In oncology, pathology, imaging, and molecular information can influence diagnosis and treatment planning. Across preventive care, diagnostics can help people act before disease progresses.</w:t>
      </w:r>
    </w:p>
    <w:p>
      <w:pPr/>
      <w:r>
        <w:rPr>
          <w:rFonts w:ascii="Aptos" w:hAnsi="Aptos"/>
          <w:b w:val="0"/>
          <w:i w:val="0"/>
          <w:color w:val="212B30"/>
          <w:sz w:val="22"/>
        </w:rPr>
        <w:t>India's diagnostic future will be shaped by reach, but also by trust. The organisations that lead this next phase will be those that combine access and convenience with quality, clarity, and clinical connection - from the first sample to the next care decision.</w:t>
      </w:r>
    </w:p>
    <w:p>
      <w:pPr>
        <w:pStyle w:val="Heading2"/>
      </w:pPr>
      <w:r>
        <w:t>Sources</w:t>
      </w:r>
    </w:p>
    <w:p>
      <w:pPr>
        <w:pStyle w:val="SourceNote"/>
      </w:pPr>
      <w:r>
        <w:rPr>
          <w:rFonts w:ascii="Aptos" w:hAnsi="Aptos"/>
          <w:b w:val="0"/>
          <w:i w:val="0"/>
          <w:color w:val="5B686E"/>
          <w:sz w:val="19"/>
        </w:rPr>
        <w:t xml:space="preserve">CrelioHealth, Beyond Metros: The Next Phase of India's Diagnostic Revolution - </w:t>
      </w:r>
      <w:hyperlink r:id="rId15">
        <w:r>
          <w:rPr>
            <w:color w:val="164B47"/>
            <w:u w:val="single"/>
            <w:rFonts w:ascii="Aptos" w:hAnsi="Aptos"/>
            <w:sz w:val="19"/>
          </w:rPr>
          <w:t>View source</w:t>
        </w:r>
      </w:hyperlink>
    </w:p>
    <w:p>
      <w:pPr>
        <w:pStyle w:val="SourceNote"/>
      </w:pPr>
      <w:r>
        <w:rPr>
          <w:rFonts w:ascii="Aptos" w:hAnsi="Aptos"/>
          <w:b w:val="0"/>
          <w:i w:val="0"/>
          <w:color w:val="5B686E"/>
          <w:sz w:val="19"/>
        </w:rPr>
        <w:t xml:space="preserve">McKinsey &amp; Company, Digital Diagnostics: A Path Forward for IVD - </w:t>
      </w:r>
      <w:hyperlink r:id="rId16">
        <w:r>
          <w:rPr>
            <w:color w:val="164B47"/>
            <w:u w:val="single"/>
            <w:rFonts w:ascii="Aptos" w:hAnsi="Aptos"/>
            <w:sz w:val="19"/>
          </w:rPr>
          <w:t>View source</w:t>
        </w:r>
      </w:hyperlink>
    </w:p>
    <w:p>
      <w:pPr>
        <w:pageBreakBefore/>
        <w:spacing w:before="0" w:after="0"/>
      </w:pPr>
    </w:p>
    <w:p>
      <w:pPr>
        <w:spacing w:before="120" w:after="140"/>
      </w:pPr>
      <w:r>
        <w:rPr>
          <w:rFonts w:ascii="Aptos" w:hAnsi="Aptos"/>
          <w:b/>
          <w:i w:val="0"/>
          <w:color w:val="5D978F"/>
          <w:sz w:val="19"/>
        </w:rPr>
        <w:t>HEALTHY AGEING</w:t>
      </w:r>
    </w:p>
    <w:p>
      <w:pPr>
        <w:pStyle w:val="ArticleTitle"/>
      </w:pPr>
      <w:r>
        <w:rPr>
          <w:rFonts w:ascii="Aptos" w:hAnsi="Aptos"/>
          <w:b/>
          <w:i w:val="0"/>
          <w:color w:val="0E3431"/>
          <w:sz w:val="48"/>
        </w:rPr>
        <w:t>Healthy Longevity Is About Adding Health to Years.</w:t>
      </w:r>
    </w:p>
    <w:p>
      <w:pPr>
        <w:pStyle w:val="Deck"/>
      </w:pPr>
      <w:r>
        <w:rPr>
          <w:rFonts w:ascii="Aptos" w:hAnsi="Aptos"/>
          <w:b w:val="0"/>
          <w:i/>
          <w:color w:val="5B686E"/>
          <w:sz w:val="25"/>
        </w:rPr>
        <w:t>As India ages, healthcare must help people remain independent, connected, and well - not simply live longer with unmanaged illness.</w:t>
      </w:r>
    </w:p>
    <w:tbl>
      <w:tblPr>
        <w:tblW w:type="dxa" w:w="9360"/>
        <w:jc w:val="left"/>
        <w:tblLayout w:type="fixed"/>
        <w:tblLook w:firstColumn="1" w:firstRow="1" w:lastColumn="0" w:lastRow="0" w:noHBand="0" w:noVBand="1" w:val="04A0"/>
        <w:tblInd w:w="120" w:type="dxa"/>
      </w:tblPr>
      <w:tblGrid>
        <w:gridCol w:w="9360"/>
      </w:tblGrid>
      <w:tr>
        <w:trPr>
          <w:tblHeader w:val="true"/>
        </w:trPr>
        <w:tc>
          <w:tcPr>
            <w:tcW w:type="dxa" w:w="9360"/>
            <w:tcMar>
              <w:top w:w="100" w:type="dxa"/>
              <w:start w:w="140" w:type="dxa"/>
              <w:bottom w:w="100" w:type="dxa"/>
              <w:end w:w="140" w:type="dxa"/>
            </w:tcMar>
            <w:shd w:fill="EFF6F5"/>
            <w:vAlign w:val="center"/>
          </w:tcPr>
          <w:p>
            <w:pPr>
              <w:spacing w:after="60"/>
            </w:pPr>
            <w:r>
              <w:rPr>
                <w:rFonts w:ascii="Aptos" w:hAnsi="Aptos"/>
                <w:b/>
                <w:i w:val="0"/>
                <w:color w:val="0E3431"/>
                <w:sz w:val="34"/>
              </w:rPr>
              <w:t>149 million to 347 million</w:t>
            </w:r>
          </w:p>
          <w:p>
            <w:pPr>
              <w:spacing w:after="0"/>
            </w:pPr>
            <w:r>
              <w:rPr>
                <w:rFonts w:ascii="Aptos" w:hAnsi="Aptos"/>
                <w:b w:val="0"/>
                <w:i w:val="0"/>
                <w:color w:val="5B686E"/>
                <w:sz w:val="20"/>
              </w:rPr>
              <w:t>UNFPA's India Ageing Report projects that India's population aged 60 and above could more than double between 2022 and 2050.</w:t>
            </w:r>
          </w:p>
        </w:tc>
      </w:tr>
    </w:tbl>
    <w:p>
      <w:pPr>
        <w:spacing w:after="0"/>
      </w:pPr>
    </w:p>
    <w:p>
      <w:pPr/>
      <w:r>
        <w:rPr>
          <w:rFonts w:ascii="Aptos" w:hAnsi="Aptos"/>
          <w:b w:val="0"/>
          <w:i w:val="0"/>
          <w:color w:val="212B30"/>
          <w:sz w:val="22"/>
        </w:rPr>
        <w:t>Longer life is one of modern healthcare's greatest achievements. But longevity and healthy longevity are not the same. Additional years can be shaped by independence, mobility, purpose, and connection - or by preventable illness, fragmented care, and growing dependence on families.</w:t>
      </w:r>
    </w:p>
    <w:p>
      <w:pPr/>
      <w:r>
        <w:rPr>
          <w:rFonts w:ascii="Aptos" w:hAnsi="Aptos"/>
          <w:b w:val="0"/>
          <w:i w:val="0"/>
          <w:color w:val="212B30"/>
          <w:sz w:val="22"/>
        </w:rPr>
        <w:t>The demographic shift is already underway. UNFPA's India Ageing Report projects that the number of people aged 60 and above in India could rise from about 149 million in 2022 to 347 million by 2050. Globally, the FII Institute and McKinsey Health Institute note that the population aged over 65 is expected to double by 2050. This is not a distant issue for future health systems. It is a present design challenge.</w:t>
      </w:r>
    </w:p>
    <w:p>
      <w:pPr/>
      <w:r>
        <w:rPr>
          <w:rFonts w:ascii="Aptos" w:hAnsi="Aptos"/>
          <w:b w:val="0"/>
          <w:i w:val="0"/>
          <w:color w:val="212B30"/>
          <w:sz w:val="22"/>
        </w:rPr>
        <w:t>Ageing is often discussed only through the cost of care. That view is incomplete. Older adults are patients, caregivers, workers, consumers, mentors, and members of families and communities. Better health can help people remain active for longer while reducing avoidable crises, hospitalisation, and caregiver strain.</w:t>
      </w:r>
    </w:p>
    <w:p>
      <w:pPr>
        <w:pStyle w:val="Heading2"/>
      </w:pPr>
      <w:r>
        <w:t>From reactive elder care to continuous health support</w:t>
      </w:r>
    </w:p>
    <w:p>
      <w:pPr/>
      <w:r>
        <w:rPr>
          <w:rFonts w:ascii="Aptos" w:hAnsi="Aptos"/>
          <w:b w:val="0"/>
          <w:i w:val="0"/>
          <w:color w:val="212B30"/>
          <w:sz w:val="22"/>
        </w:rPr>
        <w:t>Healthy longevity requires a shift from waiting for emergencies to managing health continuously. That includes prevention, early screening, medication review, chronic disease management, rehabilitation, mobility support, mental wellbeing, and clear coordination between clinicians, caregivers, and families.</w:t>
      </w:r>
    </w:p>
    <w:p>
      <w:pPr/>
      <w:r>
        <w:rPr>
          <w:rFonts w:ascii="Aptos" w:hAnsi="Aptos"/>
          <w:b w:val="0"/>
          <w:i w:val="0"/>
          <w:color w:val="212B30"/>
          <w:sz w:val="22"/>
        </w:rPr>
        <w:t>It also requires better design. Research from Harvard Business School on an ageing United States offers a broader lesson: older adults are not one uniform group. Needs change across life stages, and products and services should be clear, usable, reliable, and respectful. Designing well for older adults often improves the experience for everyone.</w:t>
      </w:r>
    </w:p>
    <w:p>
      <w:pPr>
        <w:pStyle w:val="Heading2"/>
      </w:pPr>
      <w:r>
        <w:t>The Evervie Health perspective</w:t>
      </w:r>
    </w:p>
    <w:p>
      <w:pPr/>
      <w:r>
        <w:rPr>
          <w:rFonts w:ascii="Aptos" w:hAnsi="Aptos"/>
          <w:b w:val="0"/>
          <w:i w:val="0"/>
          <w:color w:val="212B30"/>
          <w:sz w:val="22"/>
        </w:rPr>
        <w:t>At Evervie Health, we believe healthy ageing should be treated as a continuum rather than a separate episode of care. Renal disease, cancer, diabetes, cardiovascular conditions, and mobility challenges often intersect as people age. A fragmented system asks patients and families to coordinate that complexity themselves. A connected system helps them see the whole picture.</w:t>
      </w:r>
    </w:p>
    <w:p>
      <w:pPr/>
      <w:r>
        <w:rPr>
          <w:rFonts w:ascii="Aptos" w:hAnsi="Aptos"/>
          <w:b w:val="0"/>
          <w:i w:val="0"/>
          <w:color w:val="212B30"/>
          <w:sz w:val="22"/>
        </w:rPr>
        <w:t>The economic case for healthy longevity is important, but the human case comes first. The goal is not merely to add years to life. It is to help people live those years with greater health, dignity, agency, and connection.</w:t>
      </w:r>
    </w:p>
    <w:p>
      <w:pPr>
        <w:pStyle w:val="Heading2"/>
      </w:pPr>
      <w:r>
        <w:t>Sources</w:t>
      </w:r>
    </w:p>
    <w:p>
      <w:pPr>
        <w:pStyle w:val="SourceNote"/>
      </w:pPr>
      <w:r>
        <w:rPr>
          <w:rFonts w:ascii="Aptos" w:hAnsi="Aptos"/>
          <w:b w:val="0"/>
          <w:i w:val="0"/>
          <w:color w:val="5B686E"/>
          <w:sz w:val="19"/>
        </w:rPr>
        <w:t xml:space="preserve">FII Institute and McKinsey Health Institute, The Economic Case for Investing in Healthy Longevity - </w:t>
      </w:r>
      <w:hyperlink r:id="rId17">
        <w:r>
          <w:rPr>
            <w:color w:val="164B47"/>
            <w:u w:val="single"/>
            <w:rFonts w:ascii="Aptos" w:hAnsi="Aptos"/>
            <w:sz w:val="19"/>
          </w:rPr>
          <w:t>View source</w:t>
        </w:r>
      </w:hyperlink>
    </w:p>
    <w:p>
      <w:pPr>
        <w:pStyle w:val="SourceNote"/>
      </w:pPr>
      <w:r>
        <w:rPr>
          <w:rFonts w:ascii="Aptos" w:hAnsi="Aptos"/>
          <w:b w:val="0"/>
          <w:i w:val="0"/>
          <w:color w:val="5B686E"/>
          <w:sz w:val="19"/>
        </w:rPr>
        <w:t xml:space="preserve">UNFPA India, India Ageing Report 2023 - </w:t>
      </w:r>
      <w:hyperlink r:id="rId18">
        <w:r>
          <w:rPr>
            <w:color w:val="164B47"/>
            <w:u w:val="single"/>
            <w:rFonts w:ascii="Aptos" w:hAnsi="Aptos"/>
            <w:sz w:val="19"/>
          </w:rPr>
          <w:t>View source</w:t>
        </w:r>
      </w:hyperlink>
    </w:p>
    <w:p>
      <w:pPr>
        <w:pStyle w:val="SourceNote"/>
      </w:pPr>
      <w:r>
        <w:rPr>
          <w:rFonts w:ascii="Aptos" w:hAnsi="Aptos"/>
          <w:b w:val="0"/>
          <w:i w:val="0"/>
          <w:color w:val="5B686E"/>
          <w:sz w:val="19"/>
        </w:rPr>
        <w:t xml:space="preserve">Harvard Business School BiGS, How an Aging America Is Forcing Companies to Rethink Everything - </w:t>
      </w:r>
      <w:hyperlink r:id="rId19">
        <w:r>
          <w:rPr>
            <w:color w:val="164B47"/>
            <w:u w:val="single"/>
            <w:rFonts w:ascii="Aptos" w:hAnsi="Aptos"/>
            <w:sz w:val="19"/>
          </w:rPr>
          <w:t>View source</w:t>
        </w:r>
      </w:hyperlink>
    </w:p>
    <w:p>
      <w:pPr>
        <w:pageBreakBefore/>
        <w:spacing w:before="0" w:after="0"/>
      </w:pPr>
    </w:p>
    <w:p>
      <w:pPr>
        <w:spacing w:before="120" w:after="140"/>
      </w:pPr>
      <w:r>
        <w:rPr>
          <w:rFonts w:ascii="Aptos" w:hAnsi="Aptos"/>
          <w:b/>
          <w:i w:val="0"/>
          <w:color w:val="5D978F"/>
          <w:sz w:val="19"/>
        </w:rPr>
        <w:t>WOMEN'S HEALTH</w:t>
      </w:r>
    </w:p>
    <w:p>
      <w:pPr>
        <w:pStyle w:val="ArticleTitle"/>
      </w:pPr>
      <w:r>
        <w:rPr>
          <w:rFonts w:ascii="Aptos" w:hAnsi="Aptos"/>
          <w:b/>
          <w:i w:val="0"/>
          <w:color w:val="0E3431"/>
          <w:sz w:val="48"/>
        </w:rPr>
        <w:t>Women's Health Is a Human and Economic Imperative.</w:t>
      </w:r>
    </w:p>
    <w:p>
      <w:pPr>
        <w:pStyle w:val="Deck"/>
      </w:pPr>
      <w:r>
        <w:rPr>
          <w:rFonts w:ascii="Aptos" w:hAnsi="Aptos"/>
          <w:b w:val="0"/>
          <w:i/>
          <w:color w:val="5B686E"/>
          <w:sz w:val="25"/>
        </w:rPr>
        <w:t>Closing the women's health gap means seeing the full picture - from conditions unique to women to diseases that affect women differently or disproportionately.</w:t>
      </w:r>
    </w:p>
    <w:tbl>
      <w:tblPr>
        <w:tblW w:type="dxa" w:w="9360"/>
        <w:jc w:val="left"/>
        <w:tblLayout w:type="fixed"/>
        <w:tblLook w:firstColumn="1" w:firstRow="1" w:lastColumn="0" w:lastRow="0" w:noHBand="0" w:noVBand="1" w:val="04A0"/>
        <w:tblInd w:w="120" w:type="dxa"/>
      </w:tblPr>
      <w:tblGrid>
        <w:gridCol w:w="9360"/>
      </w:tblGrid>
      <w:tr>
        <w:trPr>
          <w:tblHeader w:val="true"/>
        </w:trPr>
        <w:tc>
          <w:tcPr>
            <w:tcW w:type="dxa" w:w="9360"/>
            <w:tcMar>
              <w:top w:w="100" w:type="dxa"/>
              <w:start w:w="140" w:type="dxa"/>
              <w:bottom w:w="100" w:type="dxa"/>
              <w:end w:w="140" w:type="dxa"/>
            </w:tcMar>
            <w:shd w:fill="EFF6F5"/>
            <w:vAlign w:val="center"/>
          </w:tcPr>
          <w:p>
            <w:pPr>
              <w:spacing w:after="60"/>
            </w:pPr>
            <w:r>
              <w:rPr>
                <w:rFonts w:ascii="Aptos" w:hAnsi="Aptos"/>
                <w:b/>
                <w:i w:val="0"/>
                <w:color w:val="0E3431"/>
                <w:sz w:val="34"/>
              </w:rPr>
              <w:t>USD 1 trillion annually</w:t>
            </w:r>
          </w:p>
          <w:p>
            <w:pPr>
              <w:spacing w:after="0"/>
            </w:pPr>
            <w:r>
              <w:rPr>
                <w:rFonts w:ascii="Aptos" w:hAnsi="Aptos"/>
                <w:b w:val="0"/>
                <w:i w:val="0"/>
                <w:color w:val="5B686E"/>
                <w:sz w:val="20"/>
              </w:rPr>
              <w:t>McKinsey Health Institute estimates that narrowing the global women's health gap could add at least this much to the world economy by 2040.</w:t>
            </w:r>
          </w:p>
        </w:tc>
      </w:tr>
    </w:tbl>
    <w:p>
      <w:pPr>
        <w:spacing w:after="0"/>
      </w:pPr>
    </w:p>
    <w:p>
      <w:pPr/>
      <w:r>
        <w:rPr>
          <w:rFonts w:ascii="Aptos" w:hAnsi="Aptos"/>
          <w:b w:val="0"/>
          <w:i w:val="0"/>
          <w:color w:val="212B30"/>
          <w:sz w:val="22"/>
        </w:rPr>
        <w:t>Women's health is often reduced to reproductive and maternal care. These areas are essential, but they do not represent the full health burden women experience. Women may face conditions unique to their biology, conditions that affect them disproportionately, and common diseases that present or respond to treatment differently.</w:t>
      </w:r>
    </w:p>
    <w:p>
      <w:pPr/>
      <w:r>
        <w:rPr>
          <w:rFonts w:ascii="Aptos" w:hAnsi="Aptos"/>
          <w:b w:val="0"/>
          <w:i w:val="0"/>
          <w:color w:val="212B30"/>
          <w:sz w:val="22"/>
        </w:rPr>
        <w:t>McKinsey Health Institute estimates that women spend, on average, nine years in poor health. Its analysis suggests women spend 25 percent more time in poor health than men, and that narrowing this gap could add at least USD 1 trillion to the global economy annually by 2040. The economic value is substantial, but the primary issue is health equity: pain recognised earlier, conditions diagnosed more accurately, and care delivered more effectively.</w:t>
      </w:r>
    </w:p>
    <w:p>
      <w:pPr/>
      <w:r>
        <w:rPr>
          <w:rFonts w:ascii="Aptos" w:hAnsi="Aptos"/>
          <w:b w:val="0"/>
          <w:i w:val="0"/>
          <w:color w:val="212B30"/>
          <w:sz w:val="22"/>
        </w:rPr>
        <w:t>A major barrier is the lack of data. When symptoms are grouped too broadly, conditions are under-researched, or study results are not analysed by sex, healthcare systems cannot clearly see the burden they need to address. This can lead to delayed diagnosis, ineffective treatment, and years of avoidable disruption to education, work, family life, and wellbeing.</w:t>
      </w:r>
    </w:p>
    <w:p>
      <w:pPr>
        <w:pStyle w:val="Heading2"/>
      </w:pPr>
      <w:r>
        <w:t>FemTech is expanding the conversation</w:t>
      </w:r>
    </w:p>
    <w:p>
      <w:pPr/>
      <w:r>
        <w:rPr>
          <w:rFonts w:ascii="Aptos" w:hAnsi="Aptos"/>
          <w:b w:val="0"/>
          <w:i w:val="0"/>
          <w:color w:val="212B30"/>
          <w:sz w:val="22"/>
        </w:rPr>
        <w:t>Technology-enabled women's health solutions - often described as FemTech - are helping direct attention, talent, and capital toward unmet needs. Grand View Research estimates that India's FemTech market could reach USD 6.02 billion by 2033, growing at a compound annual rate of 17.04 percent from 2026 to 2033.</w:t>
      </w:r>
    </w:p>
    <w:p>
      <w:pPr/>
      <w:r>
        <w:rPr>
          <w:rFonts w:ascii="Aptos" w:hAnsi="Aptos"/>
          <w:b w:val="0"/>
          <w:i w:val="0"/>
          <w:color w:val="212B30"/>
          <w:sz w:val="22"/>
        </w:rPr>
        <w:t>Technology can improve awareness, tracking, access, privacy, and continuity. But an app alone cannot close the health gap. Progress also requires better evidence, informed clinicians, accessible diagnostics, clear referral pathways, and care that follows women across life stages rather than treating each episode in isolation.</w:t>
      </w:r>
    </w:p>
    <w:p>
      <w:pPr>
        <w:pStyle w:val="Heading2"/>
      </w:pPr>
      <w:r>
        <w:t>The Evervie Health perspective</w:t>
      </w:r>
    </w:p>
    <w:p>
      <w:pPr/>
      <w:r>
        <w:rPr>
          <w:rFonts w:ascii="Aptos" w:hAnsi="Aptos"/>
          <w:b w:val="0"/>
          <w:i w:val="0"/>
          <w:color w:val="212B30"/>
          <w:sz w:val="22"/>
        </w:rPr>
        <w:t>At Evervie Health, we believe women's health should be understood as whole-person health. It includes reproductive and maternal health, but also cancer, cardiovascular health, autoimmune conditions, mental wellbeing, bone health, menopause, chronic disease, and healthy ageing.</w:t>
      </w:r>
    </w:p>
    <w:p>
      <w:pPr/>
      <w:r>
        <w:rPr>
          <w:rFonts w:ascii="Aptos" w:hAnsi="Aptos"/>
          <w:b w:val="0"/>
          <w:i w:val="0"/>
          <w:color w:val="212B30"/>
          <w:sz w:val="22"/>
        </w:rPr>
        <w:t>Closing the gap requires healthcare organisations to listen differently, measure more carefully, and design services around real experiences. When women are healthier, the benefit extends beyond an individual patient. It reaches families, workplaces, communities, and future generations. Women's health is not a niche within healthcare. It is central to the health of society.</w:t>
      </w:r>
    </w:p>
    <w:p>
      <w:pPr>
        <w:pStyle w:val="Heading2"/>
      </w:pPr>
      <w:r>
        <w:t>Sources</w:t>
      </w:r>
    </w:p>
    <w:p>
      <w:pPr>
        <w:pStyle w:val="SourceNote"/>
      </w:pPr>
      <w:r>
        <w:rPr>
          <w:rFonts w:ascii="Aptos" w:hAnsi="Aptos"/>
          <w:b w:val="0"/>
          <w:i w:val="0"/>
          <w:color w:val="5B686E"/>
          <w:sz w:val="19"/>
        </w:rPr>
        <w:t xml:space="preserve">McKinsey Health Institute, Closing the Women's Health Gap - </w:t>
      </w:r>
      <w:hyperlink r:id="rId20">
        <w:r>
          <w:rPr>
            <w:color w:val="164B47"/>
            <w:u w:val="single"/>
            <w:rFonts w:ascii="Aptos" w:hAnsi="Aptos"/>
            <w:sz w:val="19"/>
          </w:rPr>
          <w:t>View source</w:t>
        </w:r>
      </w:hyperlink>
    </w:p>
    <w:p>
      <w:pPr>
        <w:pStyle w:val="SourceNote"/>
      </w:pPr>
      <w:r>
        <w:rPr>
          <w:rFonts w:ascii="Aptos" w:hAnsi="Aptos"/>
          <w:b w:val="0"/>
          <w:i w:val="0"/>
          <w:color w:val="5B686E"/>
          <w:sz w:val="19"/>
        </w:rPr>
        <w:t xml:space="preserve">McKinsey &amp; Company, The Dawn of the FemTech Revolution - </w:t>
      </w:r>
      <w:hyperlink r:id="rId21">
        <w:r>
          <w:rPr>
            <w:color w:val="164B47"/>
            <w:u w:val="single"/>
            <w:rFonts w:ascii="Aptos" w:hAnsi="Aptos"/>
            <w:sz w:val="19"/>
          </w:rPr>
          <w:t>View source</w:t>
        </w:r>
      </w:hyperlink>
    </w:p>
    <w:p>
      <w:pPr>
        <w:pStyle w:val="SourceNote"/>
      </w:pPr>
      <w:r>
        <w:rPr>
          <w:rFonts w:ascii="Aptos" w:hAnsi="Aptos"/>
          <w:b w:val="0"/>
          <w:i w:val="0"/>
          <w:color w:val="5B686E"/>
          <w:sz w:val="19"/>
        </w:rPr>
        <w:t xml:space="preserve">Grand View Research, India FemTech Market Size &amp; Outlook - </w:t>
      </w:r>
      <w:hyperlink r:id="rId22">
        <w:r>
          <w:rPr>
            <w:color w:val="164B47"/>
            <w:u w:val="single"/>
            <w:rFonts w:ascii="Aptos" w:hAnsi="Aptos"/>
            <w:sz w:val="19"/>
          </w:rPr>
          <w:t>View source</w:t>
        </w:r>
      </w:hyperlink>
    </w:p>
    <w:p>
      <w:pPr>
        <w:pageBreakBefore/>
        <w:spacing w:after="0"/>
      </w:pPr>
    </w:p>
    <w:p>
      <w:pPr>
        <w:pStyle w:val="Heading1"/>
      </w:pPr>
      <w:r>
        <w:t>Editorial verification notes</w:t>
      </w:r>
    </w:p>
    <w:p>
      <w:pPr/>
      <w:r>
        <w:rPr>
          <w:rFonts w:ascii="Aptos" w:hAnsi="Aptos"/>
          <w:b w:val="0"/>
          <w:i w:val="0"/>
          <w:color w:val="212B30"/>
          <w:sz w:val="22"/>
        </w:rPr>
        <w:t>These notes are for Evervie's internal review and should be removed before publishing individual articles.</w:t>
      </w:r>
    </w:p>
    <w:p>
      <w:pPr>
        <w:pStyle w:val="Heading2"/>
      </w:pPr>
      <w:r>
        <w:t>Claims handled with caution</w:t>
      </w:r>
    </w:p>
    <w:p>
      <w:pPr>
        <w:pStyle w:val="EvervieBullet"/>
      </w:pPr>
      <w:r>
        <w:rPr>
          <w:rFonts w:ascii="Aptos" w:hAnsi="Aptos"/>
          <w:b w:val="0"/>
          <w:i w:val="0"/>
          <w:color w:val="212B30"/>
          <w:sz w:val="22"/>
        </w:rPr>
        <w:t>Dialysis forecasts: the two supplied sources report materially different market sizes. The article presents them separately and explicitly states that they are not directly comparable.</w:t>
      </w:r>
    </w:p>
    <w:p>
      <w:pPr>
        <w:pStyle w:val="EvervieBullet"/>
      </w:pPr>
      <w:r>
        <w:rPr>
          <w:rFonts w:ascii="Aptos" w:hAnsi="Aptos"/>
          <w:b w:val="0"/>
          <w:i w:val="0"/>
          <w:color w:val="212B30"/>
          <w:sz w:val="22"/>
        </w:rPr>
        <w:t>Healthy ageing and 3.3 percent of GDP: the supplied ageing source page does not clearly establish what this percentage measures or the relevant year. It has not been used in the publishable article.</w:t>
      </w:r>
    </w:p>
    <w:p>
      <w:pPr>
        <w:pStyle w:val="EvervieBullet"/>
      </w:pPr>
      <w:r>
        <w:rPr>
          <w:rFonts w:ascii="Aptos" w:hAnsi="Aptos"/>
          <w:b w:val="0"/>
          <w:i w:val="0"/>
          <w:color w:val="212B30"/>
          <w:sz w:val="22"/>
        </w:rPr>
        <w:t>Market forecasts: all projections remain attributed to the publisher and should be reviewed periodically before reuse in later content.</w:t>
      </w:r>
    </w:p>
    <w:p>
      <w:pPr>
        <w:pStyle w:val="EvervieBullet"/>
      </w:pPr>
      <w:r>
        <w:rPr>
          <w:rFonts w:ascii="Aptos" w:hAnsi="Aptos"/>
          <w:b w:val="0"/>
          <w:i w:val="0"/>
          <w:color w:val="212B30"/>
          <w:sz w:val="22"/>
        </w:rPr>
        <w:t>Evervie claims: the copy states a perspective and care philosophy. Add facility counts, geographic reach, technology, accreditations, outcomes, or service commitments only after internal verification.</w:t>
      </w:r>
    </w:p>
    <w:p>
      <w:pPr>
        <w:pStyle w:val="Heading2"/>
      </w:pPr>
      <w:r>
        <w:t>Suggested website presentation</w:t>
      </w:r>
    </w:p>
    <w:p>
      <w:pPr>
        <w:pStyle w:val="EvervieBullet"/>
      </w:pPr>
      <w:r>
        <w:rPr>
          <w:rFonts w:ascii="Aptos" w:hAnsi="Aptos"/>
          <w:b w:val="0"/>
          <w:i w:val="0"/>
          <w:color w:val="212B30"/>
          <w:sz w:val="22"/>
        </w:rPr>
        <w:t>Display each piece under an Insights or Perspectives section, with the relevant Evervie platform shown as its category.</w:t>
      </w:r>
    </w:p>
    <w:p>
      <w:pPr>
        <w:pStyle w:val="EvervieBullet"/>
      </w:pPr>
      <w:r>
        <w:rPr>
          <w:rFonts w:ascii="Aptos" w:hAnsi="Aptos"/>
          <w:b w:val="0"/>
          <w:i w:val="0"/>
          <w:color w:val="212B30"/>
          <w:sz w:val="22"/>
        </w:rPr>
        <w:t>Place one key statistic near the opening, followed by a short source label and forecast year.</w:t>
      </w:r>
    </w:p>
    <w:p>
      <w:pPr>
        <w:pStyle w:val="EvervieBullet"/>
      </w:pPr>
      <w:r>
        <w:rPr>
          <w:rFonts w:ascii="Aptos" w:hAnsi="Aptos"/>
          <w:b w:val="0"/>
          <w:i w:val="0"/>
          <w:color w:val="212B30"/>
          <w:sz w:val="22"/>
        </w:rPr>
        <w:t>Keep the full source list visible at the end of the page.</w:t>
      </w:r>
    </w:p>
    <w:p>
      <w:pPr>
        <w:pStyle w:val="EvervieBullet"/>
      </w:pPr>
      <w:r>
        <w:rPr>
          <w:rFonts w:ascii="Aptos" w:hAnsi="Aptos"/>
          <w:b w:val="0"/>
          <w:i w:val="0"/>
          <w:color w:val="212B30"/>
          <w:sz w:val="22"/>
        </w:rPr>
        <w:t>Add a contextual call to action such as 'Explore Renal Care', 'Explore Oncology', or 'Explore Diagnostics' only where the linked platform page supports the article's claims.</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b w:val="0"/>
        <w:i/>
        <w:color w:val="5B686E"/>
        <w:sz w:val="17"/>
      </w:rPr>
      <w:t>Care that looks ahead</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rFonts w:ascii="Aptos" w:hAnsi="Aptos"/>
        <w:b/>
        <w:i w:val="0"/>
        <w:color w:val="5B686E"/>
        <w:sz w:val="17"/>
      </w:rPr>
      <w:t>EVERVIE HEALTH  |  INSIGHTS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abstractNum w:abstractNumId="42">
    <w:lvl w:ilvl="0">
      <w:start w:val="1"/>
      <w:numFmt w:val="bullet"/>
      <w:lvlText w:val="•"/>
      <w:lvlJc w:val="left"/>
      <w:pPr>
        <w:tabs>
          <w:tab w:val="num" w:pos="540"/>
        </w:tabs>
        <w:ind w:left="540" w:hanging="280"/>
      </w:pPr>
    </w:lvl>
  </w:abstractNum>
  <w:num w:numId="42">
    <w:abstractNumId w:val="4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60" w:line="320" w:lineRule="auto"/>
      <w:jc w:val="both"/>
    </w:pPr>
    <w:rPr>
      <w:rFonts w:ascii="Aptos" w:hAnsi="Aptos"/>
      <w:color w:val="212B3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Aptos Display" w:hAnsi="Aptos Display"/>
      <w:b/>
      <w:bCs/>
      <w:color w:val="164B47"/>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Aptos Display" w:hAnsi="Aptos Display"/>
      <w:b/>
      <w:bCs/>
      <w:color w:val="164B47"/>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Aptos Display" w:hAnsi="Aptos Display"/>
      <w:b/>
      <w:bCs/>
      <w:color w:val="0E3431"/>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ArticleTitle">
    <w:name w:val="Article Title"/>
    <w:pPr>
      <w:keepNext/>
      <w:spacing w:before="0" w:after="180"/>
    </w:pPr>
  </w:style>
  <w:style w:type="paragraph" w:customStyle="1" w:styleId="Deck">
    <w:name w:val="Deck"/>
    <w:pPr>
      <w:keepNext/>
      <w:spacing w:before="0" w:after="360" w:line="288" w:lineRule="auto"/>
    </w:pPr>
  </w:style>
  <w:style w:type="paragraph" w:customStyle="1" w:styleId="SourceNote">
    <w:name w:val="Source Note"/>
    <w:pPr>
      <w:spacing w:before="40" w:after="80" w:line="264" w:lineRule="auto"/>
    </w:pPr>
  </w:style>
  <w:style w:type="paragraph" w:customStyle="1" w:styleId="EvervieBullet">
    <w:name w:val="Evervie Bullet"/>
    <w:basedOn w:val="Normal"/>
    <w:pPr>
      <w:spacing w:after="80" w:line="290" w:lineRule="auto"/>
      <w:ind w:left="540" w:hanging="279"/>
      <w:numPr>
        <w:ilvl w:val="0"/>
        <w:numId w:val="42"/>
      </w:numPr>
    </w:p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www.nextmsc.com/news/india-dialysis-market" TargetMode="External"/><Relationship Id="rId12" Type="http://schemas.openxmlformats.org/officeDocument/2006/relationships/hyperlink" Target="https://globalriskcommunity.com/notes/india-dialysis-market-report-2026-2034-industry-size-usd-5-4-bill" TargetMode="External"/><Relationship Id="rId13" Type="http://schemas.openxmlformats.org/officeDocument/2006/relationships/hyperlink" Target="https://www.grandviewresearch.com/horizon/outlook/radiation-oncology-market/india" TargetMode="External"/><Relationship Id="rId14" Type="http://schemas.openxmlformats.org/officeDocument/2006/relationships/hyperlink" Target="https://www.mckinsey.com/industries/life-sciences/our-insights/playing-to-win-in-oncology-key-capabilities-for-success" TargetMode="External"/><Relationship Id="rId15" Type="http://schemas.openxmlformats.org/officeDocument/2006/relationships/hyperlink" Target="https://blog.creliohealth.com/beyond-metros-the-next-phase-of-indias-diagnostic-revolution-2026-forecast/" TargetMode="External"/><Relationship Id="rId16" Type="http://schemas.openxmlformats.org/officeDocument/2006/relationships/hyperlink" Target="https://www.mckinsey.com/industries/life-sciences/our-insights/digital-diagnostics-a-path-forward-for-ivd" TargetMode="External"/><Relationship Id="rId17" Type="http://schemas.openxmlformats.org/officeDocument/2006/relationships/hyperlink" Target="https://fii-institute.org/publication/the-economic-case-for-investing-in-healthy-longevity" TargetMode="External"/><Relationship Id="rId18" Type="http://schemas.openxmlformats.org/officeDocument/2006/relationships/hyperlink" Target="https://india.unfpa.org/en/publications/caring-our-elders-institutional-responses-india-ageing-report-2023" TargetMode="External"/><Relationship Id="rId19" Type="http://schemas.openxmlformats.org/officeDocument/2006/relationships/hyperlink" Target="https://www.hbs.edu/bigs/how-an-aging-america-forces-companies-to-rethink-everything" TargetMode="External"/><Relationship Id="rId20" Type="http://schemas.openxmlformats.org/officeDocument/2006/relationships/hyperlink" Target="https://www.mckinsey.com/mhi/our-insights/closing-the-womens-health-gap-a-1-trillion-dollar-opportunity-to-improve-lives-and-economies" TargetMode="External"/><Relationship Id="rId21" Type="http://schemas.openxmlformats.org/officeDocument/2006/relationships/hyperlink" Target="https://www.mckinsey.com/industries/healthcare/our-insights/the-dawn-of-the-femtech-revolution" TargetMode="External"/><Relationship Id="rId22" Type="http://schemas.openxmlformats.org/officeDocument/2006/relationships/hyperlink" Target="https://www.grandviewresearch.com/horizon/outlook/femtech-market/india"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Evervie Health Insight Articles</dc:title>
  <dc:subject>Website-ready thought leadership on the future of healthcare in India</dc:subject>
  <dc:creator>Evervie Health</dc:creator>
  <cp:keywords>Evervie Health, renal care, oncology, diagnostics, healthy ageing, women's health</cp:keywords>
  <dc:description>generated by python-docx</dc:description>
  <cp:lastModifiedBy/>
  <cp:revision>1</cp:revision>
  <dcterms:created xsi:type="dcterms:W3CDTF">2013-12-23T23:15:00Z</dcterms:created>
  <dcterms:modified xsi:type="dcterms:W3CDTF">2013-12-23T23:15:00Z</dcterms:modified>
  <cp:category/>
</cp:coreProperties>
</file>