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F0246" w14:textId="77777777" w:rsidR="00817A17" w:rsidRDefault="00817A17">
      <w:pPr>
        <w:spacing w:after="2000"/>
      </w:pPr>
    </w:p>
    <w:p w14:paraId="6266EF66" w14:textId="77777777" w:rsidR="00817A17" w:rsidRDefault="00880458">
      <w:pPr>
        <w:pBdr>
          <w:bottom w:val="single" w:sz="10" w:space="8" w:color="F04923"/>
        </w:pBdr>
        <w:spacing w:after="340"/>
        <w:jc w:val="center"/>
      </w:pPr>
      <w:r>
        <w:rPr>
          <w:sz w:val="2"/>
          <w:szCs w:val="2"/>
        </w:rPr>
        <w:t xml:space="preserve">                              </w:t>
      </w:r>
    </w:p>
    <w:p w14:paraId="21FB1032" w14:textId="77777777" w:rsidR="00817A17" w:rsidRDefault="00880458">
      <w:pPr>
        <w:spacing w:after="400"/>
        <w:jc w:val="center"/>
      </w:pPr>
      <w:r>
        <w:rPr>
          <w:rFonts w:ascii="Calibri" w:eastAsia="Calibri" w:hAnsi="Calibri" w:cs="Calibri"/>
          <w:b/>
          <w:bCs/>
          <w:color w:val="393D3E"/>
          <w:sz w:val="40"/>
          <w:szCs w:val="40"/>
        </w:rPr>
        <w:t>POLICY ON SUCCESSION PLANNING FOR THE BOARD AND SENIOR MANAGEMENT</w:t>
      </w:r>
    </w:p>
    <w:p w14:paraId="37A91678" w14:textId="77777777" w:rsidR="00817A17" w:rsidRDefault="00880458">
      <w:pPr>
        <w:spacing w:after="300"/>
        <w:jc w:val="center"/>
      </w:pPr>
      <w:r>
        <w:rPr>
          <w:rFonts w:ascii="Calibri" w:eastAsia="Calibri" w:hAnsi="Calibri" w:cs="Calibri"/>
          <w:i/>
          <w:iCs/>
          <w:color w:val="393D3E"/>
          <w:sz w:val="30"/>
          <w:szCs w:val="30"/>
        </w:rPr>
        <w:t>Evervie Health Limited (formerly known as PVP Ventures Limited)</w:t>
      </w:r>
    </w:p>
    <w:p w14:paraId="6CCFDE4C" w14:textId="77777777" w:rsidR="00817A17" w:rsidRDefault="00880458">
      <w:pPr>
        <w:jc w:val="center"/>
      </w:pPr>
      <w:r>
        <w:rPr>
          <w:rFonts w:ascii="Calibri" w:eastAsia="Calibri" w:hAnsi="Calibri" w:cs="Calibri"/>
          <w:b/>
          <w:bCs/>
          <w:color w:val="F5B324"/>
          <w:sz w:val="26"/>
          <w:szCs w:val="26"/>
        </w:rPr>
        <w:t xml:space="preserve">●  </w:t>
      </w:r>
      <w:r>
        <w:rPr>
          <w:rFonts w:ascii="Calibri" w:eastAsia="Calibri" w:hAnsi="Calibri" w:cs="Calibri"/>
          <w:b/>
          <w:bCs/>
          <w:color w:val="F28FB0"/>
          <w:sz w:val="26"/>
          <w:szCs w:val="26"/>
        </w:rPr>
        <w:t xml:space="preserve">◆  </w:t>
      </w:r>
      <w:r>
        <w:rPr>
          <w:rFonts w:ascii="Calibri" w:eastAsia="Calibri" w:hAnsi="Calibri" w:cs="Calibri"/>
          <w:b/>
          <w:bCs/>
          <w:color w:val="F04923"/>
          <w:sz w:val="26"/>
          <w:szCs w:val="26"/>
        </w:rPr>
        <w:t>✦</w:t>
      </w:r>
    </w:p>
    <w:p w14:paraId="7D8FE83E" w14:textId="77777777" w:rsidR="00817A17" w:rsidRDefault="00880458">
      <w:r>
        <w:br w:type="page"/>
      </w:r>
    </w:p>
    <w:p w14:paraId="14CD7C40" w14:textId="77777777" w:rsidR="00817A17" w:rsidRDefault="00880458">
      <w:pPr>
        <w:spacing w:before="260" w:after="170"/>
      </w:pPr>
      <w:r>
        <w:rPr>
          <w:rFonts w:ascii="Calibri" w:eastAsia="Calibri" w:hAnsi="Calibri" w:cs="Calibri"/>
          <w:b/>
          <w:bCs/>
          <w:sz w:val="22"/>
          <w:szCs w:val="22"/>
          <w:u w:val="single"/>
        </w:rPr>
        <w:lastRenderedPageBreak/>
        <w:t>Introduction:</w:t>
      </w:r>
    </w:p>
    <w:p w14:paraId="2A24621E" w14:textId="77777777" w:rsidR="00817A17" w:rsidRDefault="00880458">
      <w:pPr>
        <w:spacing w:after="170"/>
        <w:jc w:val="both"/>
      </w:pPr>
      <w:r>
        <w:rPr>
          <w:rFonts w:ascii="Calibri" w:eastAsia="Calibri" w:hAnsi="Calibri" w:cs="Calibri"/>
          <w:sz w:val="22"/>
          <w:szCs w:val="22"/>
        </w:rPr>
        <w:t>Regulation 17(4) of the SEBI (Listing Obligations and Disclosure Requirements) Regulations, 2015 requires Evervie Health Limited (formerly known as PVP Ventures Limited) (The Company) to put in place this Policy and display the same on its Website. Keeping in view of that, the Company has drawn this policy for planning of succession of directors and Senior Managerial persons for uninterrupted business functions in different areas of operations.</w:t>
      </w:r>
    </w:p>
    <w:p w14:paraId="50D4DB95" w14:textId="77777777" w:rsidR="00817A17" w:rsidRDefault="00880458">
      <w:pPr>
        <w:spacing w:before="260" w:after="170"/>
      </w:pPr>
      <w:r>
        <w:rPr>
          <w:rFonts w:ascii="Calibri" w:eastAsia="Calibri" w:hAnsi="Calibri" w:cs="Calibri"/>
          <w:b/>
          <w:bCs/>
          <w:sz w:val="22"/>
          <w:szCs w:val="22"/>
          <w:u w:val="single"/>
        </w:rPr>
        <w:t>Background and Objectives</w:t>
      </w:r>
    </w:p>
    <w:p w14:paraId="10F8D64C" w14:textId="77777777" w:rsidR="00817A17" w:rsidRDefault="00880458">
      <w:pPr>
        <w:spacing w:after="170"/>
        <w:jc w:val="both"/>
      </w:pPr>
      <w:r>
        <w:rPr>
          <w:rFonts w:ascii="Calibri" w:eastAsia="Calibri" w:hAnsi="Calibri" w:cs="Calibri"/>
          <w:sz w:val="22"/>
          <w:szCs w:val="22"/>
        </w:rPr>
        <w:t>Succession is an essential component to the survival and growth of any business. Succession planning is a tool for an organization to ensure its continued effective performance through leadership continuity. A good succession planning program aims to identify high growth individuals, train them and feed the pipelines with talents.</w:t>
      </w:r>
    </w:p>
    <w:p w14:paraId="3541DC0E" w14:textId="77777777" w:rsidR="00817A17" w:rsidRDefault="00880458">
      <w:pPr>
        <w:spacing w:after="170"/>
        <w:jc w:val="both"/>
      </w:pPr>
      <w:r>
        <w:rPr>
          <w:rFonts w:ascii="Calibri" w:eastAsia="Calibri" w:hAnsi="Calibri" w:cs="Calibri"/>
          <w:sz w:val="22"/>
          <w:szCs w:val="22"/>
        </w:rPr>
        <w:t>The Company recognizes the importance of the process of Succession Planning, which provides continuity and smooth functioning. Moreover, there are few positions in the Company, which are key to its continued growth and hence , it is important, these positions are manned by skilled and best possible incumbents and that such positions whenever fall vacant are filled well in time to avoid any leadership gaps.</w:t>
      </w:r>
    </w:p>
    <w:p w14:paraId="3AA3D2A3" w14:textId="77777777" w:rsidR="00817A17" w:rsidRDefault="00880458">
      <w:pPr>
        <w:spacing w:before="260" w:after="170"/>
      </w:pPr>
      <w:r>
        <w:rPr>
          <w:rFonts w:ascii="Calibri" w:eastAsia="Calibri" w:hAnsi="Calibri" w:cs="Calibri"/>
          <w:b/>
          <w:bCs/>
          <w:sz w:val="22"/>
          <w:szCs w:val="22"/>
          <w:u w:val="single"/>
        </w:rPr>
        <w:t>Applicability</w:t>
      </w:r>
    </w:p>
    <w:p w14:paraId="39D490FB" w14:textId="77777777" w:rsidR="00817A17" w:rsidRDefault="00880458">
      <w:pPr>
        <w:spacing w:after="170"/>
        <w:jc w:val="both"/>
      </w:pPr>
      <w:r>
        <w:rPr>
          <w:rFonts w:ascii="Calibri" w:eastAsia="Calibri" w:hAnsi="Calibri" w:cs="Calibri"/>
          <w:sz w:val="22"/>
          <w:szCs w:val="22"/>
        </w:rPr>
        <w:t>This Policy for succession planning is applicable to following personnel.</w:t>
      </w:r>
    </w:p>
    <w:p w14:paraId="2ACAB7E4" w14:textId="77777777" w:rsidR="00817A17" w:rsidRDefault="00880458">
      <w:pPr>
        <w:tabs>
          <w:tab w:val="left" w:pos="720"/>
        </w:tabs>
        <w:spacing w:after="170"/>
        <w:ind w:left="720" w:hanging="360"/>
        <w:jc w:val="both"/>
      </w:pPr>
      <w:r>
        <w:rPr>
          <w:rFonts w:ascii="Calibri" w:eastAsia="Calibri" w:hAnsi="Calibri" w:cs="Calibri"/>
          <w:sz w:val="22"/>
          <w:szCs w:val="22"/>
        </w:rPr>
        <w:t>(i)</w:t>
      </w:r>
      <w:r>
        <w:rPr>
          <w:rFonts w:ascii="Calibri" w:eastAsia="Calibri" w:hAnsi="Calibri" w:cs="Calibri"/>
          <w:sz w:val="22"/>
          <w:szCs w:val="22"/>
        </w:rPr>
        <w:tab/>
      </w:r>
      <w:r>
        <w:rPr>
          <w:rFonts w:ascii="Calibri" w:eastAsia="Calibri" w:hAnsi="Calibri" w:cs="Calibri"/>
          <w:sz w:val="22"/>
          <w:szCs w:val="22"/>
        </w:rPr>
        <w:t>Whole-time Directors and other Directors;</w:t>
      </w:r>
    </w:p>
    <w:p w14:paraId="3DFD5CFA" w14:textId="77777777" w:rsidR="00817A17" w:rsidRDefault="00880458">
      <w:pPr>
        <w:tabs>
          <w:tab w:val="left" w:pos="720"/>
        </w:tabs>
        <w:spacing w:after="170"/>
        <w:ind w:left="720" w:hanging="360"/>
        <w:jc w:val="both"/>
      </w:pPr>
      <w:r>
        <w:rPr>
          <w:rFonts w:ascii="Calibri" w:eastAsia="Calibri" w:hAnsi="Calibri" w:cs="Calibri"/>
          <w:sz w:val="22"/>
          <w:szCs w:val="22"/>
        </w:rPr>
        <w:t>(ii)</w:t>
      </w:r>
      <w:r>
        <w:rPr>
          <w:rFonts w:ascii="Calibri" w:eastAsia="Calibri" w:hAnsi="Calibri" w:cs="Calibri"/>
          <w:sz w:val="22"/>
          <w:szCs w:val="22"/>
        </w:rPr>
        <w:tab/>
        <w:t>Senior Managerial Positions:</w:t>
      </w:r>
    </w:p>
    <w:p w14:paraId="3BE4B0AC" w14:textId="77777777" w:rsidR="00817A17" w:rsidRDefault="00880458">
      <w:pPr>
        <w:tabs>
          <w:tab w:val="left" w:pos="720"/>
        </w:tabs>
        <w:spacing w:after="170"/>
        <w:ind w:left="720" w:hanging="360"/>
        <w:jc w:val="both"/>
      </w:pPr>
      <w:r>
        <w:rPr>
          <w:rFonts w:ascii="Calibri" w:eastAsia="Calibri" w:hAnsi="Calibri" w:cs="Calibri"/>
          <w:sz w:val="22"/>
          <w:szCs w:val="22"/>
        </w:rPr>
        <w:t>(iii)</w:t>
      </w:r>
      <w:r>
        <w:rPr>
          <w:rFonts w:ascii="Calibri" w:eastAsia="Calibri" w:hAnsi="Calibri" w:cs="Calibri"/>
          <w:sz w:val="22"/>
          <w:szCs w:val="22"/>
        </w:rPr>
        <w:tab/>
        <w:t>Key Managerial Personnel</w:t>
      </w:r>
    </w:p>
    <w:p w14:paraId="4F5A85C2" w14:textId="77777777" w:rsidR="00817A17" w:rsidRDefault="00880458">
      <w:pPr>
        <w:tabs>
          <w:tab w:val="left" w:pos="720"/>
        </w:tabs>
        <w:spacing w:after="170"/>
        <w:ind w:left="720" w:hanging="360"/>
        <w:jc w:val="both"/>
      </w:pPr>
      <w:r>
        <w:rPr>
          <w:rFonts w:ascii="Calibri" w:eastAsia="Calibri" w:hAnsi="Calibri" w:cs="Calibri"/>
          <w:sz w:val="22"/>
          <w:szCs w:val="22"/>
        </w:rPr>
        <w:t>(iv)</w:t>
      </w:r>
      <w:r>
        <w:rPr>
          <w:rFonts w:ascii="Calibri" w:eastAsia="Calibri" w:hAnsi="Calibri" w:cs="Calibri"/>
          <w:sz w:val="22"/>
          <w:szCs w:val="22"/>
        </w:rPr>
        <w:tab/>
        <w:t>General Manager and above</w:t>
      </w:r>
    </w:p>
    <w:p w14:paraId="5ECA440F" w14:textId="77777777" w:rsidR="00817A17" w:rsidRDefault="00880458">
      <w:pPr>
        <w:spacing w:before="260" w:after="170"/>
      </w:pPr>
      <w:r>
        <w:rPr>
          <w:rFonts w:ascii="Calibri" w:eastAsia="Calibri" w:hAnsi="Calibri" w:cs="Calibri"/>
          <w:b/>
          <w:bCs/>
          <w:sz w:val="22"/>
          <w:szCs w:val="22"/>
          <w:u w:val="single"/>
        </w:rPr>
        <w:t>Succession Plan for Board of Directors</w:t>
      </w:r>
    </w:p>
    <w:p w14:paraId="10A1D276" w14:textId="77777777" w:rsidR="00817A17" w:rsidRDefault="00880458">
      <w:pPr>
        <w:spacing w:after="170"/>
        <w:jc w:val="both"/>
      </w:pPr>
      <w:r>
        <w:rPr>
          <w:rFonts w:ascii="Calibri" w:eastAsia="Calibri" w:hAnsi="Calibri" w:cs="Calibri"/>
          <w:sz w:val="22"/>
          <w:szCs w:val="22"/>
        </w:rPr>
        <w:t>As far as the Succession Plan for the Board of Directors is concerned the Nomination Committee of the Board, shall apply a due diligence process to determine the competency of the person(s) being considered for appointment or re-appointment as a Director of the Company. This shall be based on his educational qualification, experience and record of accomplishment and every such person shall meet ‘fit and proper’ criteria, as the Company may stipulate from time to time. Accordingly, any appointment or re-appo</w:t>
      </w:r>
      <w:r>
        <w:rPr>
          <w:rFonts w:ascii="Calibri" w:eastAsia="Calibri" w:hAnsi="Calibri" w:cs="Calibri"/>
          <w:sz w:val="22"/>
          <w:szCs w:val="22"/>
        </w:rPr>
        <w:t>intment of a Director shall be subject to prior approval by the Nomination and Remuneration Committee of the Company.</w:t>
      </w:r>
    </w:p>
    <w:p w14:paraId="2B13B8A2" w14:textId="77777777" w:rsidR="00817A17" w:rsidRDefault="00880458">
      <w:pPr>
        <w:spacing w:after="170"/>
        <w:jc w:val="both"/>
      </w:pPr>
      <w:r>
        <w:rPr>
          <w:rFonts w:ascii="Calibri" w:eastAsia="Calibri" w:hAnsi="Calibri" w:cs="Calibri"/>
          <w:sz w:val="22"/>
          <w:szCs w:val="22"/>
        </w:rPr>
        <w:t>The Company has framed a ‘Nomination and Remuneration Policy’ to guide the Board in relation to appointment / re-appointment / removal of Directors, to devise criteria for performance evaluation of Independent Directors and the Board has to ensure adequate diversity in the Board members to get the best of the varied skills on the industry with experience, background and other qualities of the Director.</w:t>
      </w:r>
    </w:p>
    <w:p w14:paraId="2E9EE86F" w14:textId="77777777" w:rsidR="00817A17" w:rsidRDefault="00880458">
      <w:pPr>
        <w:spacing w:after="170"/>
        <w:jc w:val="both"/>
        <w:rPr>
          <w:rFonts w:ascii="Calibri" w:eastAsia="Calibri" w:hAnsi="Calibri" w:cs="Calibri"/>
          <w:sz w:val="22"/>
          <w:szCs w:val="22"/>
        </w:rPr>
      </w:pPr>
      <w:r>
        <w:rPr>
          <w:rFonts w:ascii="Calibri" w:eastAsia="Calibri" w:hAnsi="Calibri" w:cs="Calibri"/>
          <w:sz w:val="22"/>
          <w:szCs w:val="22"/>
        </w:rPr>
        <w:t>Accordingly, the appointment / re-appointment / removal and tenure of the Directors including the Chairman / Managing Director / Whole-time Directors of the company shall be governed by the provisions of ‘</w:t>
      </w:r>
      <w:proofErr w:type="gramStart"/>
      <w:r>
        <w:rPr>
          <w:rFonts w:ascii="Calibri" w:eastAsia="Calibri" w:hAnsi="Calibri" w:cs="Calibri"/>
          <w:sz w:val="22"/>
          <w:szCs w:val="22"/>
        </w:rPr>
        <w:t>Nomination ,</w:t>
      </w:r>
      <w:proofErr w:type="gramEnd"/>
      <w:r>
        <w:rPr>
          <w:rFonts w:ascii="Calibri" w:eastAsia="Calibri" w:hAnsi="Calibri" w:cs="Calibri"/>
          <w:sz w:val="22"/>
          <w:szCs w:val="22"/>
        </w:rPr>
        <w:t xml:space="preserve"> Remuneration and Performance Evaluation Policy’ of the Company approved by the Board.</w:t>
      </w:r>
    </w:p>
    <w:p w14:paraId="53F5B18E" w14:textId="77777777" w:rsidR="00407E10" w:rsidRDefault="00407E10">
      <w:pPr>
        <w:spacing w:after="170"/>
        <w:jc w:val="both"/>
        <w:rPr>
          <w:rFonts w:ascii="Calibri" w:eastAsia="Calibri" w:hAnsi="Calibri" w:cs="Calibri"/>
          <w:sz w:val="22"/>
          <w:szCs w:val="22"/>
        </w:rPr>
      </w:pPr>
    </w:p>
    <w:p w14:paraId="64DEAA33" w14:textId="77777777" w:rsidR="00407E10" w:rsidRDefault="00407E10">
      <w:pPr>
        <w:spacing w:after="170"/>
        <w:jc w:val="both"/>
      </w:pPr>
    </w:p>
    <w:p w14:paraId="2147AC0A" w14:textId="77777777" w:rsidR="00817A17" w:rsidRDefault="00880458">
      <w:pPr>
        <w:spacing w:before="260" w:after="170"/>
      </w:pPr>
      <w:r>
        <w:rPr>
          <w:rFonts w:ascii="Calibri" w:eastAsia="Calibri" w:hAnsi="Calibri" w:cs="Calibri"/>
          <w:b/>
          <w:bCs/>
          <w:sz w:val="22"/>
          <w:szCs w:val="22"/>
          <w:u w:val="single"/>
        </w:rPr>
        <w:lastRenderedPageBreak/>
        <w:t>Succession Plan for Senior Managerial Personnel</w:t>
      </w:r>
    </w:p>
    <w:p w14:paraId="559FBA92" w14:textId="77777777" w:rsidR="00817A17" w:rsidRDefault="00880458">
      <w:pPr>
        <w:spacing w:after="170"/>
        <w:jc w:val="both"/>
      </w:pPr>
      <w:r>
        <w:rPr>
          <w:rFonts w:ascii="Calibri" w:eastAsia="Calibri" w:hAnsi="Calibri" w:cs="Calibri"/>
          <w:sz w:val="22"/>
          <w:szCs w:val="22"/>
        </w:rPr>
        <w:t>The Nomination and Remuneration Committee of Evervie Health Limited (formerly known as PVP Ventures Limited) shall consider the list of senior managerial personnel due for retirement/attrition within the year. The Committee shall also consider the new vacancies that may arise because of business needs / up-gradation of Department(s) or expansion of level of business. Considering the above, the Committee shall assess the availability of suitable candidates for the Company's future succession, growth and deve</w:t>
      </w:r>
      <w:r>
        <w:rPr>
          <w:rFonts w:ascii="Calibri" w:eastAsia="Calibri" w:hAnsi="Calibri" w:cs="Calibri"/>
          <w:sz w:val="22"/>
          <w:szCs w:val="22"/>
        </w:rPr>
        <w:t>lopment. Further, based on the recommendation of Whole-time Directors, all Key Managerial Persons, Head of Departments and others concerned,</w:t>
      </w:r>
    </w:p>
    <w:p w14:paraId="6BC5630E" w14:textId="77777777" w:rsidR="00817A17" w:rsidRDefault="00880458">
      <w:pPr>
        <w:spacing w:after="170"/>
        <w:jc w:val="both"/>
      </w:pPr>
      <w:r>
        <w:rPr>
          <w:rFonts w:ascii="Calibri" w:eastAsia="Calibri" w:hAnsi="Calibri" w:cs="Calibri"/>
          <w:sz w:val="22"/>
          <w:szCs w:val="22"/>
        </w:rPr>
        <w:t>The Nomination and Remuneration Committee shall evaluate the incumbent after considering all relevant criteria like experience, age, health, leadership quality etc. and recommend to the Board of Directors whether the concerned individual be granted an extension in term / service or be replaced with an identified internal or external candidates.</w:t>
      </w:r>
    </w:p>
    <w:p w14:paraId="0E75FF22" w14:textId="77777777" w:rsidR="00817A17" w:rsidRDefault="00880458">
      <w:pPr>
        <w:spacing w:after="170"/>
        <w:jc w:val="both"/>
      </w:pPr>
      <w:r>
        <w:rPr>
          <w:rFonts w:ascii="Calibri" w:eastAsia="Calibri" w:hAnsi="Calibri" w:cs="Calibri"/>
          <w:sz w:val="22"/>
          <w:szCs w:val="22"/>
        </w:rPr>
        <w:t>It shall identify the competency requirements of Directors / Key position Employees, assess potential candidates, and develop required competency through planned development and learning initiatives. The Committee may utilize the services of professional search firms to assist in identifying and evaluating potential candidates.</w:t>
      </w:r>
    </w:p>
    <w:p w14:paraId="5FC97652" w14:textId="77777777" w:rsidR="00817A17" w:rsidRDefault="00880458">
      <w:pPr>
        <w:spacing w:after="170"/>
        <w:jc w:val="both"/>
      </w:pPr>
      <w:r>
        <w:rPr>
          <w:rFonts w:ascii="Calibri" w:eastAsia="Calibri" w:hAnsi="Calibri" w:cs="Calibri"/>
          <w:sz w:val="22"/>
          <w:szCs w:val="22"/>
        </w:rPr>
        <w:t>It may be recommended to the Board to appoint other suitable external candidates as special recruitment at the senior managerial level based on job roles and competency to provide a continuous flow of talented people to meet the organizational needs.</w:t>
      </w:r>
    </w:p>
    <w:p w14:paraId="4ECCFFC1" w14:textId="77777777" w:rsidR="00817A17" w:rsidRDefault="00880458">
      <w:pPr>
        <w:spacing w:after="170"/>
        <w:jc w:val="both"/>
      </w:pPr>
      <w:r>
        <w:rPr>
          <w:rFonts w:ascii="Calibri" w:eastAsia="Calibri" w:hAnsi="Calibri" w:cs="Calibri"/>
          <w:sz w:val="22"/>
          <w:szCs w:val="22"/>
        </w:rPr>
        <w:t>The recommendation of the Nomination and Remuneration Committee shall be placed to the Board for final approval. While making its recommendation, the Nomination and Remuneration Committee shall consult with the Chairman Cum Managing Director, as may be relevant and all key factors including the available talent within the organization and the need to ensure the availability of continuous service with the growth of the Company shall be carefully considered.</w:t>
      </w:r>
    </w:p>
    <w:p w14:paraId="297C7265" w14:textId="77777777" w:rsidR="00817A17" w:rsidRDefault="00880458">
      <w:pPr>
        <w:spacing w:after="170"/>
        <w:jc w:val="both"/>
      </w:pPr>
      <w:r>
        <w:rPr>
          <w:rFonts w:ascii="Calibri" w:eastAsia="Calibri" w:hAnsi="Calibri" w:cs="Calibri"/>
          <w:sz w:val="22"/>
          <w:szCs w:val="22"/>
        </w:rPr>
        <w:t>The Chairman &amp; Managing Director and the Whole Time Directors shall from time to time identify high-potential employees who merit faster career progression to position of higher responsibility and formulate, administer, monitor &amp; review the process of skill development and identify the training requirements.</w:t>
      </w:r>
    </w:p>
    <w:p w14:paraId="263D5A05" w14:textId="77777777" w:rsidR="00817A17" w:rsidRDefault="00880458">
      <w:pPr>
        <w:spacing w:after="170"/>
        <w:jc w:val="both"/>
      </w:pPr>
      <w:r>
        <w:rPr>
          <w:rFonts w:ascii="Calibri" w:eastAsia="Calibri" w:hAnsi="Calibri" w:cs="Calibri"/>
          <w:sz w:val="22"/>
          <w:szCs w:val="22"/>
        </w:rPr>
        <w:t>Appointment of Key Managerial Personnel such as Company Secretary, Chief Financial Officer and other Compliance Professionals shall be made in compliance with and conforming to applicable provisions of relevant laws.</w:t>
      </w:r>
    </w:p>
    <w:p w14:paraId="1AB336AE" w14:textId="77777777" w:rsidR="00817A17" w:rsidRDefault="00880458">
      <w:pPr>
        <w:spacing w:before="260" w:after="170"/>
      </w:pPr>
      <w:r>
        <w:rPr>
          <w:rFonts w:ascii="Calibri" w:eastAsia="Calibri" w:hAnsi="Calibri" w:cs="Calibri"/>
          <w:b/>
          <w:bCs/>
          <w:sz w:val="22"/>
          <w:szCs w:val="22"/>
          <w:u w:val="single"/>
        </w:rPr>
        <w:t>Review of the Policy</w:t>
      </w:r>
    </w:p>
    <w:p w14:paraId="684561EA" w14:textId="77777777" w:rsidR="00817A17" w:rsidRDefault="00880458">
      <w:pPr>
        <w:spacing w:after="170"/>
        <w:jc w:val="both"/>
      </w:pPr>
      <w:r>
        <w:rPr>
          <w:rFonts w:ascii="Calibri" w:eastAsia="Calibri" w:hAnsi="Calibri" w:cs="Calibri"/>
          <w:sz w:val="22"/>
          <w:szCs w:val="22"/>
        </w:rPr>
        <w:t>In case of any amendment(s), clarification(s), circular(s) etc issued by relevant authorities, not consistent with the provisions laid down under this Policy, then such amendment(s), clarification(s), circular(s) etc. shall prevail and this Policy shall stand amended to that extent.</w:t>
      </w:r>
    </w:p>
    <w:p w14:paraId="48CA2A65" w14:textId="77777777" w:rsidR="00817A17" w:rsidRDefault="00880458">
      <w:pPr>
        <w:spacing w:after="170"/>
        <w:jc w:val="both"/>
      </w:pPr>
      <w:r>
        <w:rPr>
          <w:rFonts w:ascii="Calibri" w:eastAsia="Calibri" w:hAnsi="Calibri" w:cs="Calibri"/>
          <w:sz w:val="22"/>
          <w:szCs w:val="22"/>
        </w:rPr>
        <w:t>The Board of Directors of the Company has the power to replace and or amend this Policy on recommendation by the Nomination and Remuneration Committee from time to time as and when needed.</w:t>
      </w:r>
    </w:p>
    <w:sectPr w:rsidR="00817A17">
      <w:headerReference w:type="default" r:id="rId7"/>
      <w:footerReference w:type="default" r:id="rId8"/>
      <w:headerReference w:type="first" r:id="rId9"/>
      <w:footerReference w:type="first" r:id="rId10"/>
      <w:pgSz w:w="11906" w:h="16838"/>
      <w:pgMar w:top="1500" w:right="1300" w:bottom="1400" w:left="130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3AEA" w14:textId="77777777" w:rsidR="00880458" w:rsidRDefault="00880458">
      <w:r>
        <w:separator/>
      </w:r>
    </w:p>
  </w:endnote>
  <w:endnote w:type="continuationSeparator" w:id="0">
    <w:p w14:paraId="64BED30F" w14:textId="77777777" w:rsidR="00880458" w:rsidRDefault="0088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869C" w14:textId="77777777" w:rsidR="00817A17" w:rsidRDefault="00880458">
    <w:r>
      <w:rPr>
        <w:noProof/>
      </w:rPr>
      <w:drawing>
        <wp:inline distT="0" distB="0" distL="0" distR="0" wp14:anchorId="43FF3BB1" wp14:editId="31A1BDFC">
          <wp:extent cx="3667125" cy="428625"/>
          <wp:effectExtent l="0" t="0" r="0" b="0"/>
          <wp:docPr id="1263849951" name="Picture 126384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DD59" w14:textId="77777777" w:rsidR="00817A17" w:rsidRDefault="00880458">
    <w:r>
      <w:rPr>
        <w:noProof/>
      </w:rPr>
      <w:drawing>
        <wp:inline distT="0" distB="0" distL="0" distR="0" wp14:anchorId="2F92A8DF" wp14:editId="28653F97">
          <wp:extent cx="3667125" cy="428625"/>
          <wp:effectExtent l="0" t="0" r="0" b="0"/>
          <wp:docPr id="1919861066" name="Picture 191986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1764" w14:textId="77777777" w:rsidR="00880458" w:rsidRDefault="00880458">
      <w:r>
        <w:separator/>
      </w:r>
    </w:p>
  </w:footnote>
  <w:footnote w:type="continuationSeparator" w:id="0">
    <w:p w14:paraId="3C1070BD" w14:textId="77777777" w:rsidR="00880458" w:rsidRDefault="00880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AFAD" w14:textId="77777777" w:rsidR="00817A17" w:rsidRDefault="00880458">
    <w:pPr>
      <w:tabs>
        <w:tab w:val="right" w:pos="9306"/>
      </w:tabs>
    </w:pPr>
    <w:r>
      <w:rPr>
        <w:noProof/>
      </w:rPr>
      <w:drawing>
        <wp:inline distT="0" distB="0" distL="0" distR="0" wp14:anchorId="16C8689C" wp14:editId="2161E79D">
          <wp:extent cx="13335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r>
      <w:tab/>
    </w:r>
    <w:r>
      <w:rPr>
        <w:b/>
        <w:bCs/>
        <w:i/>
        <w:iCs/>
        <w:sz w:val="26"/>
        <w:szCs w:val="26"/>
      </w:rPr>
      <w:t>Succession Planning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3BC8" w14:textId="77777777" w:rsidR="00817A17" w:rsidRDefault="00880458">
    <w:pPr>
      <w:tabs>
        <w:tab w:val="right" w:pos="9306"/>
      </w:tabs>
    </w:pPr>
    <w:r>
      <w:rPr>
        <w:noProof/>
      </w:rPr>
      <w:drawing>
        <wp:inline distT="0" distB="0" distL="0" distR="0" wp14:anchorId="2502275E" wp14:editId="5EAD0B2D">
          <wp:extent cx="1333500" cy="333375"/>
          <wp:effectExtent l="0" t="0" r="0" b="0"/>
          <wp:docPr id="1063837387" name="Picture 106383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11D8A"/>
    <w:multiLevelType w:val="hybridMultilevel"/>
    <w:tmpl w:val="BCC689FC"/>
    <w:lvl w:ilvl="0" w:tplc="34669308">
      <w:start w:val="1"/>
      <w:numFmt w:val="bullet"/>
      <w:lvlText w:val="●"/>
      <w:lvlJc w:val="left"/>
      <w:pPr>
        <w:ind w:left="720" w:hanging="360"/>
      </w:pPr>
    </w:lvl>
    <w:lvl w:ilvl="1" w:tplc="2334C8A2">
      <w:start w:val="1"/>
      <w:numFmt w:val="bullet"/>
      <w:lvlText w:val="○"/>
      <w:lvlJc w:val="left"/>
      <w:pPr>
        <w:ind w:left="1440" w:hanging="360"/>
      </w:pPr>
    </w:lvl>
    <w:lvl w:ilvl="2" w:tplc="A0CA14DA">
      <w:start w:val="1"/>
      <w:numFmt w:val="bullet"/>
      <w:lvlText w:val="■"/>
      <w:lvlJc w:val="left"/>
      <w:pPr>
        <w:ind w:left="2160" w:hanging="360"/>
      </w:pPr>
    </w:lvl>
    <w:lvl w:ilvl="3" w:tplc="42841DE6">
      <w:start w:val="1"/>
      <w:numFmt w:val="bullet"/>
      <w:lvlText w:val="●"/>
      <w:lvlJc w:val="left"/>
      <w:pPr>
        <w:ind w:left="2880" w:hanging="360"/>
      </w:pPr>
    </w:lvl>
    <w:lvl w:ilvl="4" w:tplc="60028FCE">
      <w:start w:val="1"/>
      <w:numFmt w:val="bullet"/>
      <w:lvlText w:val="○"/>
      <w:lvlJc w:val="left"/>
      <w:pPr>
        <w:ind w:left="3600" w:hanging="360"/>
      </w:pPr>
    </w:lvl>
    <w:lvl w:ilvl="5" w:tplc="3A68F4B2">
      <w:start w:val="1"/>
      <w:numFmt w:val="bullet"/>
      <w:lvlText w:val="■"/>
      <w:lvlJc w:val="left"/>
      <w:pPr>
        <w:ind w:left="4320" w:hanging="360"/>
      </w:pPr>
    </w:lvl>
    <w:lvl w:ilvl="6" w:tplc="06DEF19C">
      <w:start w:val="1"/>
      <w:numFmt w:val="bullet"/>
      <w:lvlText w:val="●"/>
      <w:lvlJc w:val="left"/>
      <w:pPr>
        <w:ind w:left="5040" w:hanging="360"/>
      </w:pPr>
    </w:lvl>
    <w:lvl w:ilvl="7" w:tplc="768A04E0">
      <w:start w:val="1"/>
      <w:numFmt w:val="bullet"/>
      <w:lvlText w:val="●"/>
      <w:lvlJc w:val="left"/>
      <w:pPr>
        <w:ind w:left="5760" w:hanging="360"/>
      </w:pPr>
    </w:lvl>
    <w:lvl w:ilvl="8" w:tplc="520E5B88">
      <w:start w:val="1"/>
      <w:numFmt w:val="bullet"/>
      <w:lvlText w:val="●"/>
      <w:lvlJc w:val="left"/>
      <w:pPr>
        <w:ind w:left="6480" w:hanging="360"/>
      </w:pPr>
    </w:lvl>
  </w:abstractNum>
  <w:num w:numId="1" w16cid:durableId="222757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A17"/>
    <w:rsid w:val="00407E10"/>
    <w:rsid w:val="00817A17"/>
    <w:rsid w:val="00880458"/>
    <w:rsid w:val="00EF61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DA5D"/>
  <w15:docId w15:val="{CA7A48D8-EFB1-4EC7-B419-3B3E87AE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5212</Characters>
  <Application>Microsoft Office Word</Application>
  <DocSecurity>4</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Ellen Feehan</cp:lastModifiedBy>
  <cp:revision>2</cp:revision>
  <dcterms:created xsi:type="dcterms:W3CDTF">2026-09-01T11:55:00Z</dcterms:created>
  <dcterms:modified xsi:type="dcterms:W3CDTF">2026-09-01T11:55:00Z</dcterms:modified>
</cp:coreProperties>
</file>