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2A4A"/>
          <w:sz w:val="48"/>
          <w:szCs w:val="48"/>
        </w:rPr>
        <w:t xml:space="preserve">ENERGY STOCK SQUEEZE</w:t>
      </w:r>
    </w:p>
    <w:p>
      <w:pPr>
        <w:jc w:val="center"/>
      </w:pPr>
      <w:r>
        <w:rPr>
          <w:rFonts w:ascii="Arial" w:cs="Arial" w:eastAsia="Arial" w:hAnsi="Arial"/>
          <w:b/>
          <w:bCs/>
          <w:color w:val="0D9488"/>
          <w:sz w:val="42"/>
          <w:szCs w:val="42"/>
        </w:rPr>
        <w:t xml:space="preserve">&amp; BREAKOUT PROBABILITY MATRIX</w:t>
      </w:r>
    </w:p>
    <w:p>
      <w:pPr>
        <w:pBdr>
          <w:bottom w:val="single" w:color="D4A843" w:sz="6"/>
        </w:pBdr>
        <w:spacing w:before="200"/>
        <w:jc w:val="center"/>
      </w:pPr>
    </w:p>
    <w:p>
      <w:pPr>
        <w:spacing w:before="300"/>
        <w:jc w:val="center"/>
      </w:pPr>
      <w:r>
        <w:rPr>
          <w:rFonts w:ascii="Arial" w:cs="Arial" w:eastAsia="Arial" w:hAnsi="Arial"/>
          <w:color w:val="666666"/>
          <w:sz w:val="24"/>
          <w:szCs w:val="24"/>
        </w:rPr>
        <w:t xml:space="preserve">23 Energy Positions Assessed Against the 2026 Strait of Hormuz Crisis</w:t>
      </w:r>
    </w:p>
    <w:p>
      <w:pPr>
        <w:jc w:val="center"/>
      </w:pPr>
      <w:r>
        <w:rPr>
          <w:rFonts w:ascii="Arial" w:cs="Arial" w:eastAsia="Arial" w:hAnsi="Arial"/>
          <w:color w:val="666666"/>
          <w:sz w:val="22"/>
          <w:szCs w:val="22"/>
        </w:rPr>
        <w:t xml:space="preserve">Full Portfolio Analysis | 26 March 2026</w:t>
      </w:r>
    </w:p>
    <w:p>
      <w:pPr>
        <w:spacing w:before="300"/>
        <w:jc w:val="center"/>
      </w:pPr>
      <w:r>
        <w:rPr>
          <w:rFonts w:ascii="Arial" w:cs="Arial" w:eastAsia="Arial" w:hAnsi="Arial"/>
          <w:b/>
          <w:bCs/>
          <w:color w:val="1B2A4A"/>
          <w:sz w:val="22"/>
          <w:szCs w:val="22"/>
        </w:rPr>
        <w:t xml:space="preserve">Prepared for: DNA Entertainment</w:t>
      </w:r>
    </w:p>
    <w:p>
      <w:pPr>
        <w:spacing w:before="400"/>
        <w:jc w:val="center"/>
      </w:pPr>
      <w:r>
        <w:rPr>
          <w:rFonts w:ascii="Arial" w:cs="Arial" w:eastAsia="Arial" w:hAnsi="Arial"/>
          <w:i/>
          <w:iCs/>
          <w:color w:val="DC2626"/>
          <w:sz w:val="15"/>
          <w:szCs w:val="15"/>
        </w:rPr>
        <w:t xml:space="preserve">DISCLAIMER: This document is for informational purposes only and does not constitute financial advice. All investments carry risk including total loss of capital. Past performance is not indicative of future results. Consult a qualified financial advisor.</w:t>
      </w:r>
    </w:p>
    <w:p>
      <w:r>
        <w:br w:type="page"/>
      </w:r>
    </w:p>
    <w:p>
      <w:pPr>
        <w:pStyle w:val="Heading1"/>
      </w:pPr>
      <w:r>
        <w:t xml:space="preserve">CRITICAL MACRO CONTEXT: 2026 HORMUZ CRISIS</w:t>
      </w:r>
    </w:p>
    <w:p>
      <w:pPr>
        <w:spacing w:after="120"/>
      </w:pPr>
      <w:r>
        <w:rPr>
          <w:rFonts w:ascii="Arial" w:cs="Arial" w:eastAsia="Arial" w:hAnsi="Arial"/>
          <w:b w:val="false"/>
          <w:bCs w:val="false"/>
          <w:color w:val="333333"/>
          <w:sz w:val="20"/>
          <w:szCs w:val="20"/>
        </w:rPr>
        <w:t xml:space="preserve">On February 28, 2026, joint US-Israeli strikes on Iran killed Supreme Leader Khamenei, triggering </w:t>
      </w:r>
      <w:r>
        <w:rPr>
          <w:rFonts w:ascii="Arial" w:cs="Arial" w:eastAsia="Arial" w:hAnsi="Arial"/>
          <w:b/>
          <w:bCs/>
          <w:color w:val="DC2626"/>
          <w:sz w:val="20"/>
          <w:szCs w:val="20"/>
        </w:rPr>
        <w:t xml:space="preserve">the closure of the Strait of Hormuz — the largest energy supply disruption since the 1970s.</w:t>
      </w:r>
      <w:r>
        <w:rPr>
          <w:rFonts w:ascii="Arial" w:cs="Arial" w:eastAsia="Arial" w:hAnsi="Arial"/>
          <w:b w:val="false"/>
          <w:bCs w:val="false"/>
          <w:color w:val="333333"/>
          <w:sz w:val="20"/>
          <w:szCs w:val="20"/>
        </w:rPr>
        <w:t xml:space="preserve"> Brent surged past $120/bbl at peak. 20% of global seaborne oil is blocked. As of late March 2026, Brent trades ~$91–92 with extreme volatility. The US military is conducting operations to reopen the strait. Larry Fink describes two extremes: oil at $40 (quick resolution) or $150+ (prolonged).</w:t>
      </w:r>
    </w:p>
    <w:p>
      <w:pPr>
        <w:spacing w:after="120"/>
      </w:pPr>
      <w:r>
        <w:rPr>
          <w:rFonts w:ascii="Arial" w:cs="Arial" w:eastAsia="Arial" w:hAnsi="Arial"/>
          <w:b/>
          <w:bCs/>
          <w:color w:val="333333"/>
          <w:sz w:val="20"/>
          <w:szCs w:val="20"/>
        </w:rPr>
        <w:t xml:space="preserve">Every stock in this portfolio is affected. </w:t>
      </w:r>
      <w:r>
        <w:rPr>
          <w:rFonts w:ascii="Arial" w:cs="Arial" w:eastAsia="Arial" w:hAnsi="Arial"/>
          <w:b w:val="false"/>
          <w:bCs w:val="false"/>
          <w:color w:val="333333"/>
          <w:sz w:val="20"/>
          <w:szCs w:val="20"/>
        </w:rPr>
        <w:t xml:space="preserve">Non-Gulf producers (Alaska, Falklands, Peru, Nigeria, Angola, Australia, UK) are now strategically premium. European domestic gas is critical with Qatar LNG stranded. Shipping companies benefit from Cape of Good Hope rerouting. Kurdistan producers face binary risk from proximity to the conflict zone.</w:t>
      </w:r>
    </w:p>
    <w:p>
      <w:r>
        <w:br w:type="page"/>
      </w:r>
    </w:p>
    <w:p>
      <w:pPr>
        <w:pStyle w:val="Heading1"/>
      </w:pPr>
      <w:r>
        <w:t xml:space="preserve">MASTER PROBABILITY MATRIX — ALL 23 POSITIONS</w:t>
      </w:r>
    </w:p>
    <w:p>
      <w:pPr>
        <w:spacing w:after="120"/>
      </w:pPr>
      <w:r>
        <w:rPr>
          <w:rFonts w:ascii="Arial" w:cs="Arial" w:eastAsia="Arial" w:hAnsi="Arial"/>
          <w:i/>
          <w:iCs/>
          <w:color w:val="666666"/>
          <w:sz w:val="20"/>
          <w:szCs w:val="20"/>
        </w:rPr>
        <w:t xml:space="preserve">Rated by: original catalyst, current status, Hormuz tailwind, market cap, near-term timeline.</w:t>
      </w:r>
    </w:p>
    <w:tbl>
      <w:tblPr>
        <w:tblW w:type="dxa" w:w="75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100"/>
        <w:gridCol w:w="1200"/>
        <w:gridCol w:w="1206"/>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STOCK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ORIG. CATALYST</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MKT CAP</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NEAR CAT.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HORMUZ</w:t>
            </w:r>
          </w:p>
        </w:tc>
        <w:tc>
          <w:tcPr>
            <w:tcW w:type="dxa" w:w="1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REPEAT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Imperial Petroleum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Short squeeze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$212M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NOW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Extreme</w:t>
            </w:r>
          </w:p>
        </w:tc>
        <w:tc>
          <w:tcPr>
            <w:tcW w:type="dxa" w:w="1206"/>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16"/>
                <w:szCs w:val="16"/>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Afentra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Acq. growth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£167M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2026-27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V. Strong</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Prospex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EU gas spike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£21M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H1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V. Strong</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Borders &amp; Southern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Partner/FID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£92M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V. Strong</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Kosmos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GTA LNG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$1.35B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NOW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V. Strong</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Rockhopper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Sea Lion FID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£797M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V. Strong</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Gulf Keystone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Export restart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£447M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BINARY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DC2626"/>
                <w:sz w:val="16"/>
                <w:szCs w:val="16"/>
              </w:rPr>
              <w:t xml:space="preserve">Extreme</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VAALCO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Merger/ramp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$640M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H2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Extreme</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Arrow Exploration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Colombia drill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£85M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NOW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Frontline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Tanker rates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$7.2B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NOW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Extreme</w:t>
            </w:r>
          </w:p>
        </w:tc>
        <w:tc>
          <w:tcPr>
            <w:tcW w:type="dxa" w:w="1206"/>
            <w:tcBorders>
              <w:top w:val="single" w:color="CCCCCC" w:sz="1"/>
              <w:left w:val="single" w:color="CCCCCC" w:sz="1"/>
              <w:bottom w:val="single" w:color="CCCCCC" w:sz="1"/>
              <w:right w:val="single" w:color="CCCCCC" w:sz="1"/>
            </w:tcBorders>
            <w:shd w:fill="D1FAE5" w:val="clear"/>
            <w:tcMar>
              <w:top w:type="dxa" w:w="60"/>
              <w:left w:type="dxa" w:w="100"/>
              <w:bottom w:type="dxa" w:w="60"/>
              <w:right w:type="dxa" w:w="100"/>
            </w:tcMar>
          </w:tcPr>
          <w:p>
            <w:pPr>
              <w:jc w:val="center"/>
            </w:pPr>
            <w:r>
              <w:rPr>
                <w:rFonts w:ascii="Arial" w:cs="Arial" w:eastAsia="Arial" w:hAnsi="Arial"/>
                <w:b/>
                <w:bCs/>
                <w:color w:val="0D9488"/>
                <w:sz w:val="16"/>
                <w:szCs w:val="16"/>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88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Drill hype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£46M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Q1 2027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Pantheon Resources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Discovery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£461M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H1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Seplat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Acquisition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$4.02B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V. 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PetroTal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Production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$346M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Aminex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First gas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£105M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Mid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F59E0B"/>
                <w:sz w:val="16"/>
                <w:szCs w:val="16"/>
              </w:rPr>
              <w:t xml:space="preserve">Moderate</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Eco (Atlantic)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Namibia/Falk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$37M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H2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Star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Oil spike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£18M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Q2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Jadestone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Asia prod.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$395M rev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Chariot Ltd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Morocco gas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~£20M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F59E0B"/>
                <w:sz w:val="16"/>
                <w:szCs w:val="16"/>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Harbour Energy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Wintershall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$10.3B rev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LOW-MED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Petrobras ADR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Mega-cap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~$90B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16A34A"/>
                <w:sz w:val="16"/>
                <w:szCs w:val="16"/>
              </w:rPr>
              <w:t xml:space="preserve">Strong</w:t>
            </w:r>
          </w:p>
        </w:tc>
        <w:tc>
          <w:tcPr>
            <w:tcW w:type="dxa" w:w="1206"/>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92400E"/>
                <w:sz w:val="16"/>
                <w:szCs w:val="16"/>
              </w:rPr>
              <w:t xml:space="preserve">LOW-MED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Eni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EU major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~$50B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Ongoing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F59E0B"/>
                <w:sz w:val="16"/>
                <w:szCs w:val="16"/>
              </w:rPr>
              <w:t xml:space="preserve">Mod-Strong</w:t>
            </w:r>
          </w:p>
        </w:tc>
        <w:tc>
          <w:tcPr>
            <w:tcW w:type="dxa" w:w="120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6"/>
                <w:szCs w:val="16"/>
              </w:rPr>
              <w:t xml:space="preserve">ARKO Petroleum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IPO/distrib.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$886M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333333"/>
                <w:sz w:val="16"/>
                <w:szCs w:val="16"/>
              </w:rPr>
              <w:t xml:space="preserve">Q1 2026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B7280"/>
                <w:sz w:val="16"/>
                <w:szCs w:val="16"/>
              </w:rPr>
              <w:t xml:space="preserve">Minimal</w:t>
            </w:r>
          </w:p>
        </w:tc>
        <w:tc>
          <w:tcPr>
            <w:tcW w:type="dxa" w:w="120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pPr>
              <w:jc w:val="center"/>
            </w:pPr>
            <w:r>
              <w:rPr>
                <w:rFonts w:ascii="Arial" w:cs="Arial" w:eastAsia="Arial" w:hAnsi="Arial"/>
                <w:b/>
                <w:bCs/>
                <w:color w:val="6B7280"/>
                <w:sz w:val="16"/>
                <w:szCs w:val="16"/>
              </w:rPr>
              <w:t xml:space="preserve">LOW</w:t>
            </w:r>
          </w:p>
        </w:tc>
      </w:tr>
    </w:tbl>
    <w:p>
      <w:r>
        <w:br w:type="page"/>
      </w:r>
    </w:p>
    <w:p>
      <w:pPr>
        <w:pStyle w:val="Heading1"/>
      </w:pPr>
      <w:r>
        <w:t xml:space="preserve">INDIVIDUAL STOCK ANALYSES</w:t>
      </w:r>
    </w:p>
    <w:p>
      <w:pPr>
        <w:pStyle w:val="Heading3"/>
      </w:pPr>
      <w:r>
        <w:rPr>
          <w:color w:val="16A34A"/>
        </w:rPr>
        <w:t xml:space="preserve">TIER 1 — HIGHEST CONVICTION</w:t>
      </w:r>
    </w:p>
    <w:p>
      <w:pPr>
        <w:pStyle w:val="Heading2"/>
      </w:pPr>
      <w:r>
        <w:t xml:space="preserve">1. Imperial Petroleum (NASDAQ:IMPP)</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IMPP ran from ~$0.30 to over $50 (adjusted) in a historic short squeeze in Feb 2022, driven by low float, high short interest, and the Russia–Ukraine energy shock.</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~$4.10, $212M cap. Fleet expanded from 3 to 20 vessels (targeting 26 by end-2026). FY2025: net income $50M, EBITDA $71M, cash $179M, ZERO debt. NAV estimated at $508M ($11.38/share vs $4.10 price). $10M buyback active. Q4 revenue up 95% YoY.</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EXTREME. Most directly leveraged stock to the crisis. Cape of Good Hope rerouting massively increases tonne-mile demand. Freight rates spiking. Both tanker and dry bulk fleets benefit.</w:t>
      </w:r>
    </w:p>
    <w:p>
      <w:pPr>
        <w:spacing w:after="120"/>
      </w:pPr>
      <w:r>
        <w:rPr>
          <w:rFonts w:ascii="Arial" w:cs="Arial" w:eastAsia="Arial" w:hAnsi="Arial"/>
          <w:b/>
          <w:bCs/>
          <w:color w:val="16A34A"/>
          <w:sz w:val="20"/>
          <w:szCs w:val="20"/>
        </w:rPr>
        <w:t xml:space="preserve">Repeat Probability: HIGH. </w:t>
      </w:r>
      <w:r>
        <w:rPr>
          <w:rFonts w:ascii="Arial" w:cs="Arial" w:eastAsia="Arial" w:hAnsi="Arial"/>
          <w:color w:val="333333"/>
          <w:sz w:val="20"/>
          <w:szCs w:val="20"/>
        </w:rPr>
        <w:t xml:space="preserve">Trades at 4x earnings, 77% below book. Hormuz is a direct fundamental catalyst. Unlike 2022 (purely technical), IMPP now has genuine earnings power. Extreme undervaluation + Hormuz + buyback + tiny float = highest probability re-rating. Risk: dilutive offerings.</w:t>
      </w:r>
    </w:p>
    <w:p>
      <w:pPr>
        <w:pStyle w:val="Heading2"/>
      </w:pPr>
      <w:r>
        <w:t xml:space="preserve">2. Afentra (AIM:AET)</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Afentra (formerly Sterling Energy) re-rated from ~10p to 77p+ (7x) in 2024–2026 as the Angola acquisition strategy delivered production, revenue, and a 400% resource upgrade.</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~77p, £167M cap. 2025 net production 6,324 bopd, $114.4M revenue. 2C contingent resources up 400%+ to 87.3 mmboe. Block 3/24 operatorship secured (40% WI). Etu acquisition completing Q2 2026. Infill drilling programme 2026–27 could add 12,500 bopd gross. Analyst target £54.</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VERY STRONG. Angolan crude exports entirely bypass Hormuz. West African oil is now premium supply for Asian and European buyers scrambling for alternatives.</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Revenue-generating producer with massive growth catalysts. At £167M cap with $114M revenue and 87M boe 2C resources, clearly undervalued. The 2026–27 drilling programme is the key catalyst. Not a squeeze candidate per se, but a strong 2–3x re-rating play.</w:t>
      </w:r>
    </w:p>
    <w:p>
      <w:r>
        <w:br w:type="page"/>
      </w:r>
    </w:p>
    <w:p>
      <w:pPr>
        <w:pStyle w:val="Heading3"/>
      </w:pPr>
      <w:r>
        <w:rPr>
          <w:color w:val="0D9488"/>
        </w:rPr>
        <w:t xml:space="preserve">TIER 2 — STRONG CATALYSTS + HORMUZ TAILWIND</w:t>
      </w:r>
    </w:p>
    <w:p>
      <w:pPr>
        <w:pStyle w:val="Heading2"/>
      </w:pPr>
      <w:r>
        <w:t xml:space="preserve">3. Prospex Energy (AIM:PXEN)</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sub-1p to over 8p in 2022 during the European gas crisis when TTF spiked to record levels.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~4.85p, £21M cap. Owns 100% of El Romeral (Spain), Viura (Spain), Selva Malvezzi (Italy). Revenue up 91% in 2024. El Romeral restarted Feb 2026 at 30% capacity. Five new wells in permitting. Bidding for two Polish licences. Analyst target 20p.</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VERY STRONG. European gas prices spiking again with Qatar LNG stranded. TTF surged to €56/MWh. Producing European gas company = direct beneficiary.</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Near-identical setup to 2022. European gas crisis + tiny cap + growing revenue + multiple catalysts. Analyst target 20p = 312% upside. Key risk: Spanish permitting delays.</w:t>
      </w:r>
    </w:p>
    <w:p>
      <w:pPr>
        <w:pStyle w:val="Heading2"/>
      </w:pPr>
      <w:r>
        <w:t xml:space="preserve">4. Borders &amp; Southern (AIM:BOR)</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~3p to 20p+ on Darwin discovery (2012), then 2p to 12p on Falklands sentiment (2021–22).</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~10p, £91.5M cap. Sea Lion FID confirmed Dec 2025 (game-changer for Falklands). Debt-free, &gt;$2M cash. Seeking development partner for Darwin (hundreds of millions boe).</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VERY STRONG. Falklands are as far from Hormuz as possible. 500M+ barrel potential being repriced.</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Sea Lion FID de-risks the region. Partner announcement could send this 5–10x. Main risk: limited cash runway to mid-2026.</w:t>
      </w:r>
    </w:p>
    <w:p>
      <w:pPr>
        <w:pStyle w:val="Heading2"/>
      </w:pPr>
      <w:r>
        <w:t xml:space="preserve">5. Kosmos Energy (NYSE:KOS)</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~$1 to $8 (8x) in 2021–22 on oil recovery and GTA LNG progress.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~$2.40, $1.35B cap. GTA LNG expecting 32–36 gross cargoes in 2026. Jubilee &gt;70,000 bpd. CapEx cut 70% in 2025. Focused on FCF.</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VERY STRONG. West African oil/LNG outside Hormuz. GTA LNG perfectly timed as Qatar exports stranded.</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Deeply undervalued at $2.40. GTA LNG delivering into a supply crisis. Return to $5–8 fundamentally justified.</w:t>
      </w:r>
    </w:p>
    <w:p>
      <w:pPr>
        <w:pStyle w:val="Heading2"/>
      </w:pPr>
      <w:r>
        <w:t xml:space="preserve">6. Rockhopper (AIM:RKH)</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5p to 350p (70x) on Sea Lion discovery (2010–11), then 4p to 93p on FID progress (2025).</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~71–78p, £797M cap. Sea Lion FID confirmed Dec 2025. Raised at 53p for Phase 1 capex. 517 Mbbl resource. Analyst target 97p.</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VERY STRONG. Falklands isolated from Hormuz. 517Mbbl at $90+ Brent = premium valuation.</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FID'd and de-risked. First oil would be transformational. Argentina risk reduced under Milei. 100p+ near term.</w:t>
      </w:r>
    </w:p>
    <w:p>
      <w:pPr>
        <w:pStyle w:val="Heading2"/>
      </w:pPr>
      <w:r>
        <w:t xml:space="preserve">7. Gulf Keystone (LSE:GKP)</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15p to over 400p (2009–12) on Shaikan discovery. Multiple subsequent squeezes on Kurdistan export restarts.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~204p, £447M cap. 2025 production 41,560 bopd, EBITDA $111M. Kurdistan exports restarted Sept 2025. Currently receiving ~$30/bbl under interim agreements. Net cash $89M. 12% dividend yield. BUT: shut-in production on Feb 28, 2026 due to Iran conflict. 2026 guidance suspended.</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EXTREME BINARY. Most directly affected stock. Kurdistan is adjacent to the Iran conflict zone. IF resolved: exports resume at international prices ($90+ vs $30) = potential 3x. IF conflict spreads: devastating.</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Highest risk/reward binary in the portfolio. If the Iran conflict resolves and GKP gets international pricing at $90+, earnings could triple overnight. But the downside scenario is severe. Analyst target 258p.</w:t>
      </w:r>
    </w:p>
    <w:p>
      <w:pPr>
        <w:pStyle w:val="Heading2"/>
      </w:pPr>
      <w:r>
        <w:t xml:space="preserve">8. VAALCO Energy (NYSE:EGY)</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~$2 to $9 (4.5x) in 2021–22 on oil recovery and TransGlobe merger diversification.</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~$6.25, $640M cap. Revenue $359M. Production in Gabon, Egypt, Côte d'Ivoire, Equatorial Guinea. 60% operator interest in Kossipo field (~102 MMBOE 2C, 293M bbl in place). FDP expected H2 2026. Gabon Phase 3 drilling completing April 2026. EV/EBITDA just 2.8x. 6.5% dividend. Named by OilPrice.com as a top Hormuz beneficiary.</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EXTREME. Every asset thousands of miles from Hormuz. West African crude is exactly the barrels the market wants. Brent-priced, zero war-risk insurance surcharge.</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OilPrice.com specifically named EGY as a top 5 stock for Hormuz disruption. Production ramp underway pre-crisis. Kossipo FDP in H2 2026 is a major catalyst. At 2.8x EV/EBITDA, deeply undervalued. Analyst target $10 (60% upside). Risk: Gabon FPSO refurbishment delays.</w:t>
      </w:r>
    </w:p>
    <w:p>
      <w:pPr>
        <w:pStyle w:val="Heading2"/>
      </w:pPr>
      <w:r>
        <w:t xml:space="preserve">9. Arrow Exploration (AIM:AXL)</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~3p to 25p+ (8x) in 2022–24 on Colombia drilling success and production ramp.</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~16p, ~£85M cap but NPV10 of 2P reserves is $244.5M (0.35x asset value). Production 5,325+ bopd and climbing. Drilled 40+ wells with only ONE dry hole. Debt-free with $11–12M cash. Generating $3M/month FCF. M-12Hz horizontal well drilling now, Icaco exploration prospect spudding April 2026. Analyst target 31.6p (97% upside).</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Colombian oil exports entirely bypass Hormuz. Brent-priced crude at $90+ dramatically improves economics of every well.</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Exceptional drilling track record (40 wells, 1 dry hole). Trading at 0.35x NPV10. Active drilling campaign with multiple wells in 2026. Icaco exploration prospect in April could be material. At £85M cap with $3M/month FCF, significantly undervalued. Very similar to PetroTal but earlier in its growth curve.</w:t>
      </w:r>
    </w:p>
    <w:p>
      <w:pPr>
        <w:pStyle w:val="Heading2"/>
      </w:pPr>
      <w:r>
        <w:t xml:space="preserve">10. Frontline (NYSE:FRO)</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~$7 to $27 (4x) in 2022 on Russia–Ukraine shipping disruption. Has run from $21.82 to $35.49 (+62.6% YTD) in 2026 on Hormuz crisis.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~$33.78, $7.2B cap. World's largest VLCC operator with 81 vessels. Q4 2025 profit $228M ($1.02/share). Q1 2026 VLCC spot TCEs at $107,100/day (up from $74,200 in Q4). Fleet renewal: selling 8 older VLCCs, acquiring 9 scrubber-fitted newbuildings. $1.03/share Q4 dividend. Up 62.6% YTD and 124% over 12 months.</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EXTREME. The purest large-cap play on Hormuz. Longer shipping routes = more revenue per voyage. VLCC rates at $107,100/day. War-risk insurance driving de facto Hormuz closure means sustained high rates.</w:t>
      </w:r>
    </w:p>
    <w:p>
      <w:pPr>
        <w:spacing w:after="120"/>
      </w:pPr>
      <w:r>
        <w:rPr>
          <w:rFonts w:ascii="Arial" w:cs="Arial" w:eastAsia="Arial" w:hAnsi="Arial"/>
          <w:b/>
          <w:bCs/>
          <w:color w:val="0D9488"/>
          <w:sz w:val="20"/>
          <w:szCs w:val="20"/>
        </w:rPr>
        <w:t xml:space="preserve">Repeat Probability: MED-HIGH. </w:t>
      </w:r>
      <w:r>
        <w:rPr>
          <w:rFonts w:ascii="Arial" w:cs="Arial" w:eastAsia="Arial" w:hAnsi="Arial"/>
          <w:color w:val="333333"/>
          <w:sz w:val="20"/>
          <w:szCs w:val="20"/>
        </w:rPr>
        <w:t xml:space="preserve">Already up 62% YTD but analysts haven't updated targets for Hormuz (mean $37.67). If rates stay elevated, earnings could be extraordinary. $1.03/share quarterly dividend = ~12% yield. The IMPP thesis at larger, more liquid scale. Risk: tanker stocks are cyclical — a ceasefire could unwind gains quickly.</w:t>
      </w:r>
    </w:p>
    <w:p>
      <w:r>
        <w:br w:type="page"/>
      </w:r>
    </w:p>
    <w:p>
      <w:pPr>
        <w:pStyle w:val="Heading3"/>
      </w:pPr>
      <w:r>
        <w:rPr>
          <w:color w:val="F59E0B"/>
        </w:rPr>
        <w:t xml:space="preserve">TIER 3 — CATALYST-DEPENDENT</w:t>
      </w:r>
    </w:p>
    <w:p>
      <w:pPr>
        <w:pStyle w:val="Heading2"/>
      </w:pPr>
      <w:r>
        <w:t xml:space="preserve">11. 88 Energy (AIM:88E)</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10x+ from sub-0.5p to ~5p in early 2021 on Merlin-1 drilling hype.</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~1.1p, £46M cap. Raised A$5.03M for Augusta-1 (early 2027 drill). Franklin Bluffs-1H scheduled Q3 2026. 1:25 reverse split May 2025.</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Alaska oil = Trump priority + national security.</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Perennial drilling-hype stock. Tiny cap + retail following + drilling = squeeze conditions. But serial disappointments at the drill bit.</w:t>
      </w:r>
    </w:p>
    <w:p>
      <w:pPr>
        <w:pStyle w:val="Heading2"/>
      </w:pPr>
      <w:r>
        <w:t xml:space="preserve">12. Pantheon Resources (AIM:PANR)</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~5p to 60p (12x) in 2022–23 on massive Alaska North Slope well results.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~8p, £461M cap. 1.6Bn bbl ANS crude + 6.6 Tcf gas certified. Dubhe-1 disappointing flow test. Raised $10M Jan 2026 for further testing. Farm-out discussions on Kodiak.</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Alaska LNG now a national security project with Qatar LNG stranded.</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Massive resource base but needs commercial flow rates. Dubhe-1 retest or Kodiak farm-out is the catalyst.</w:t>
      </w:r>
    </w:p>
    <w:p>
      <w:pPr>
        <w:pStyle w:val="Heading2"/>
      </w:pPr>
      <w:r>
        <w:t xml:space="preserve">13. Seplat Energy (LSE:SEPL)</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50p to 200p (2021–22), then 155p to 460p (2025) on Mobil Producing acquisition.</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~456p, $4.02B cap. Revenue $2.7B in FY2025 (+144% YoY). ANOH first gas Jan 2026. Targeting 200 kboepd by 2030. S&amp;P outlook positive.</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VERY STRONG. Nigerian oil/gas entirely outside Hormuz. ANOH LNG fills critical gap.</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Now a large-cap. Steady re-rating to 550–600p likely rather than explosive squeeze.</w:t>
      </w:r>
    </w:p>
    <w:p>
      <w:pPr>
        <w:pStyle w:val="Heading2"/>
      </w:pPr>
      <w:r>
        <w:t xml:space="preserve">14. PetroTal (TSX:TAL)</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~5p to 40p (8x) in 2021–22 on Peru production ramp + oil recovery.</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~38p, $346M cap. P/E 4.5x. Revenue $342M. 8.44% dividend. Targeting 20,000+ bopd.</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Peruvian oil production premium as non-Gulf supply.</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Mature producer at 4.5x P/E. Likely steady 2x to 80p–100p rather than squeeze.</w:t>
      </w:r>
    </w:p>
    <w:p>
      <w:pPr>
        <w:pStyle w:val="Heading2"/>
      </w:pPr>
      <w:r>
        <w:t xml:space="preserve">15. Aminex (LSE:AEX)</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~0.5p to 3.5p (7x) in 2021–22 on Ntorya gas discovery progress.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~2.3p, £105M cap. Ntorya now in construction phase. Pipeline completion July 2026. First gas revenue expected Sept 2026. Debt-free. 25% carried interest.</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MODERATE. East African gas not directly Hormuz-impacted but higher global gas prices help.</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Most de-risked it has ever been. First revenue transforms the investment case. Key risk: Tanzania government delays.</w:t>
      </w:r>
    </w:p>
    <w:p>
      <w:pPr>
        <w:pStyle w:val="Heading2"/>
      </w:pPr>
      <w:r>
        <w:t xml:space="preserve">16. Eco (Atlantic) (AIM:ECO)</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~3p to 20p (6.5x) in 2019–20 on Namibia/Guyana hype.</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~12p, $37M cap. Just acquired JHI (Falklands position alongside Navitas). Advancing Orinduik (Guyana), Namibia farmouts (22,893 km2 Walvis Basin), South Africa Block 3B/4B. Raised $10M.</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Multi-basin Atlantic Margin explorer. Falklands, Namibia, Guyana all outside Hormuz.</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Huge acreage, minimal revenue. JHI/Falklands adds optionality. Namibia farmout is the big catalyst. At $37M cap, any news could 3–5x.</w:t>
      </w:r>
    </w:p>
    <w:p>
      <w:pPr>
        <w:pStyle w:val="Heading2"/>
      </w:pPr>
      <w:r>
        <w:t xml:space="preserve">17. Star Energy (AIM:STAR)</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~5p to 50p+ in 2021–22 on UK energy crisis + oil spike.</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~13.5p, £18M cap. Revenue £44M. Production 1,886 boe/d. Singleton gas-to-wire Q2 2026. Geothermal optionality. Share price up 82% from Jan 2025 low. Analyst target 40p.</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UK domestic onshore oil = energy security play.</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Analyst target 40p (196% upside). At £18M cap with £44M revenue, objectively undervalued. Steady 2–3x re-rating.</w:t>
      </w:r>
    </w:p>
    <w:p>
      <w:pPr>
        <w:pStyle w:val="Heading2"/>
      </w:pPr>
      <w:r>
        <w:t xml:space="preserve">18. Jadestone Energy (AIM:JSE)</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~15p to 60p+ (4x) in 2022 on production ramp and Asia-Pacific oil demand.</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~28p. Revenue $395M (2024), record production in 2025 (+14% YoY). Assets in Australia, Malaysia, Indonesia, Vietnam. Analyst target 54.5p (94% upside). Hedged 1.8M bbl at ~$70.</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Asian buyers scrambling for non-Gulf oil. Australian/Malaysian crude fills the gap. But hedging limits near-term oil price upside.</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Deep discount to NAV. 94% upside to analyst target. Hedging caps Hormuz benefit. Steady re-rating play.</w:t>
      </w:r>
    </w:p>
    <w:p>
      <w:pPr>
        <w:pStyle w:val="Heading2"/>
      </w:pPr>
      <w:r>
        <w:t xml:space="preserve">19. Chariot Ltd (AIM:CHAR)</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Ran from ~3p to 15p (5x) in 2022 on Morocco gas discovery hype and European energy crisis.</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~6.8p. Regained 75% operatorship of Lixus/Rissana offshore Morocco after Energean exit. Anchois gas discovery confirmed across 3 wells but needs rescaling. Onshore Loukos drilling underway (Gaufrette and Dartois wells). Also has Project Nour green hydrogen in Mauritania and Transitional Power in South Africa. Stifel target 33p (385% upside). Very limited cash (~$3.6M + $9M raised).</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Moroccan gas could supply European markets as alternative to stranded Qatar LNG. Domestic Moroccan gas demand is strong. European gas diversification is now a strategic priority.</w:t>
      </w:r>
    </w:p>
    <w:p>
      <w:pPr>
        <w:spacing w:after="120"/>
      </w:pPr>
      <w:r>
        <w:rPr>
          <w:rFonts w:ascii="Arial" w:cs="Arial" w:eastAsia="Arial" w:hAnsi="Arial"/>
          <w:b/>
          <w:bCs/>
          <w:color w:val="F59E0B"/>
          <w:sz w:val="20"/>
          <w:szCs w:val="20"/>
        </w:rPr>
        <w:t xml:space="preserve">Repeat Probability: MED. </w:t>
      </w:r>
      <w:r>
        <w:rPr>
          <w:rFonts w:ascii="Arial" w:cs="Arial" w:eastAsia="Arial" w:hAnsi="Arial"/>
          <w:color w:val="333333"/>
          <w:sz w:val="20"/>
          <w:szCs w:val="20"/>
        </w:rPr>
        <w:t xml:space="preserve">Stifel's 33p target implies 385% upside but high execution risk. Anchois needs a rescaled FDP and new partner after Energean exit. Onshore drilling provides nearer-term news flow. At ~6.8p with a 33p target, the asymmetry is enormous if any catalyst lands. Risk: cash constraints, partner dependency, Morocco execution.</w:t>
      </w:r>
    </w:p>
    <w:p>
      <w:r>
        <w:br w:type="page"/>
      </w:r>
    </w:p>
    <w:p>
      <w:pPr>
        <w:pStyle w:val="Heading3"/>
      </w:pPr>
      <w:r>
        <w:rPr>
          <w:color w:val="6B7280"/>
        </w:rPr>
        <w:t xml:space="preserve">TIER 4 — LARGE-CAP / DEFENSIVE ANCHORS</w:t>
      </w:r>
    </w:p>
    <w:p>
      <w:pPr>
        <w:pStyle w:val="Heading2"/>
      </w:pPr>
      <w:r>
        <w:t xml:space="preserve">20. Harbour Energy (LSE:HBR)</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Not a historical squeeze stock. Transformed via Wintershall Dea acquisition in 2024.</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~300p. Revenue $10.3B, EBITDAX $7.1B, FCF $1.1B. Production 474 kboepd. Operations in Norway, UK, Argentina, Mexico, Egypt. Acquiring LLOG ($3.2B). 7.7% dividend.</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Norwegian/UK gas assets premium. Diversified global portfolio.</w:t>
      </w:r>
    </w:p>
    <w:p>
      <w:pPr>
        <w:spacing w:after="120"/>
      </w:pPr>
      <w:r>
        <w:rPr>
          <w:rFonts w:ascii="Arial" w:cs="Arial" w:eastAsia="Arial" w:hAnsi="Arial"/>
          <w:b/>
          <w:bCs/>
          <w:color w:val="F59E0B"/>
          <w:sz w:val="20"/>
          <w:szCs w:val="20"/>
        </w:rPr>
        <w:t xml:space="preserve">Repeat Probability: LOW-MED. </w:t>
      </w:r>
      <w:r>
        <w:rPr>
          <w:rFonts w:ascii="Arial" w:cs="Arial" w:eastAsia="Arial" w:hAnsi="Arial"/>
          <w:color w:val="333333"/>
          <w:sz w:val="20"/>
          <w:szCs w:val="20"/>
        </w:rPr>
        <w:t xml:space="preserve">Too large to squeeze. But enormously leveraged to oil + EU gas prices. Highest quality defensive holding in portfolio.</w:t>
      </w:r>
    </w:p>
    <w:p>
      <w:pPr>
        <w:pStyle w:val="Heading2"/>
      </w:pPr>
      <w:r>
        <w:t xml:space="preserve">21. Petrobras ADR (NYSE:PBR)</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Not a squeeze stock. Brazilian state oil major ~2.7M boepd.</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~$90B cap. Brazilian pre-salt oil now among most strategically important non-Gulf supply globally. 10%+ dividend yield. Political risk endemic.</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STRONG. Non-Gulf supply from the Atlantic. Premium positioning.</w:t>
      </w:r>
    </w:p>
    <w:p>
      <w:pPr>
        <w:spacing w:after="120"/>
      </w:pPr>
      <w:r>
        <w:rPr>
          <w:rFonts w:ascii="Arial" w:cs="Arial" w:eastAsia="Arial" w:hAnsi="Arial"/>
          <w:b/>
          <w:bCs/>
          <w:color w:val="F59E0B"/>
          <w:sz w:val="20"/>
          <w:szCs w:val="20"/>
        </w:rPr>
        <w:t xml:space="preserve">Repeat Probability: LOW-MED. </w:t>
      </w:r>
      <w:r>
        <w:rPr>
          <w:rFonts w:ascii="Arial" w:cs="Arial" w:eastAsia="Arial" w:hAnsi="Arial"/>
          <w:color w:val="333333"/>
          <w:sz w:val="20"/>
          <w:szCs w:val="20"/>
        </w:rPr>
        <w:t xml:space="preserve">Portfolio anchor, not speculative play. 20–40% upside from sustained high oil prices.</w:t>
      </w:r>
    </w:p>
    <w:p>
      <w:pPr>
        <w:pStyle w:val="Heading2"/>
      </w:pPr>
      <w:r>
        <w:t xml:space="preserve">22. Eni (BIT:ENI)</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Italian integrated major. ~$50B cap.</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European gas exposure, African upstream (Libya, Egypt, Congo, Nigeria, Mozambique LNG), renewables. ~7% dividend.</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MODERATE-STRONG. European gas repriced higher. Diverse non-Gulf upstream.</w:t>
      </w:r>
    </w:p>
    <w:p>
      <w:pPr>
        <w:spacing w:after="120"/>
      </w:pPr>
      <w:r>
        <w:rPr>
          <w:rFonts w:ascii="Arial" w:cs="Arial" w:eastAsia="Arial" w:hAnsi="Arial"/>
          <w:b/>
          <w:bCs/>
          <w:color w:val="6B7280"/>
          <w:sz w:val="20"/>
          <w:szCs w:val="20"/>
        </w:rPr>
        <w:t xml:space="preserve">Repeat Probability: LOW. </w:t>
      </w:r>
      <w:r>
        <w:rPr>
          <w:rFonts w:ascii="Arial" w:cs="Arial" w:eastAsia="Arial" w:hAnsi="Arial"/>
          <w:color w:val="333333"/>
          <w:sz w:val="20"/>
          <w:szCs w:val="20"/>
        </w:rPr>
        <w:t xml:space="preserve">Defensive quality hold. European gas upside. Not a squeeze candidate.</w:t>
      </w:r>
    </w:p>
    <w:p>
      <w:pPr>
        <w:pStyle w:val="Heading2"/>
      </w:pPr>
      <w:r>
        <w:t xml:space="preserve">23. ARKO Petroleum (NASDAQ:APC)</w:t>
      </w:r>
    </w:p>
    <w:p>
      <w:pPr>
        <w:spacing w:after="120"/>
      </w:pPr>
      <w:r>
        <w:rPr>
          <w:rFonts w:ascii="Arial" w:cs="Arial" w:eastAsia="Arial" w:hAnsi="Arial"/>
          <w:b/>
          <w:bCs/>
          <w:color w:val="333333"/>
          <w:sz w:val="20"/>
          <w:szCs w:val="20"/>
        </w:rPr>
        <w:t xml:space="preserve">Original Move: </w:t>
      </w:r>
      <w:r>
        <w:rPr>
          <w:rFonts w:ascii="Arial" w:cs="Arial" w:eastAsia="Arial" w:hAnsi="Arial"/>
          <w:color w:val="333333"/>
          <w:sz w:val="20"/>
          <w:szCs w:val="20"/>
        </w:rPr>
        <w:t xml:space="preserve">IPO'd Feb 2026 at $18. Fuel distribution, NOT upstream E&amp;P.</w:t>
      </w:r>
    </w:p>
    <w:p>
      <w:pPr>
        <w:spacing w:after="120"/>
      </w:pPr>
      <w:r>
        <w:rPr>
          <w:rFonts w:ascii="Arial" w:cs="Arial" w:eastAsia="Arial" w:hAnsi="Arial"/>
          <w:b/>
          <w:bCs/>
          <w:color w:val="333333"/>
          <w:sz w:val="20"/>
          <w:szCs w:val="20"/>
        </w:rPr>
        <w:t xml:space="preserve">Current Status: </w:t>
      </w:r>
      <w:r>
        <w:rPr>
          <w:rFonts w:ascii="Arial" w:cs="Arial" w:eastAsia="Arial" w:hAnsi="Arial"/>
          <w:color w:val="333333"/>
          <w:sz w:val="20"/>
          <w:szCs w:val="20"/>
        </w:rPr>
        <w:t xml:space="preserve">Trading ~$18.74, $886M cap. Largest wholesale fuel distributor in North America. Q4 EBITDA up 16%. Fee-based contracts. Analyst target $21.60.</w:t>
      </w:r>
    </w:p>
    <w:p>
      <w:pPr>
        <w:spacing w:after="120"/>
      </w:pPr>
      <w:r>
        <w:rPr>
          <w:rFonts w:ascii="Arial" w:cs="Arial" w:eastAsia="Arial" w:hAnsi="Arial"/>
          <w:b/>
          <w:bCs/>
          <w:color w:val="16A34A"/>
          <w:sz w:val="20"/>
          <w:szCs w:val="20"/>
        </w:rPr>
        <w:t xml:space="preserve">Hormuz Impact: </w:t>
      </w:r>
      <w:r>
        <w:rPr>
          <w:rFonts w:ascii="Arial" w:cs="Arial" w:eastAsia="Arial" w:hAnsi="Arial"/>
          <w:color w:val="333333"/>
          <w:sz w:val="20"/>
          <w:szCs w:val="20"/>
        </w:rPr>
        <w:t xml:space="preserve">MINIMAL. Fuel distribution is volume-based, not price-based. US domestic supply robust.</w:t>
      </w:r>
    </w:p>
    <w:p>
      <w:pPr>
        <w:spacing w:after="120"/>
      </w:pPr>
      <w:r>
        <w:rPr>
          <w:rFonts w:ascii="Arial" w:cs="Arial" w:eastAsia="Arial" w:hAnsi="Arial"/>
          <w:b/>
          <w:bCs/>
          <w:color w:val="6B7280"/>
          <w:sz w:val="20"/>
          <w:szCs w:val="20"/>
        </w:rPr>
        <w:t xml:space="preserve">Repeat Probability: LOW. </w:t>
      </w:r>
      <w:r>
        <w:rPr>
          <w:rFonts w:ascii="Arial" w:cs="Arial" w:eastAsia="Arial" w:hAnsi="Arial"/>
          <w:color w:val="333333"/>
          <w:sz w:val="20"/>
          <w:szCs w:val="20"/>
        </w:rPr>
        <w:t xml:space="preserve">Stable fee-based business. Not an energy price play. Defensive holding with 15% upside to analyst target.</w:t>
      </w:r>
    </w:p>
    <w:p>
      <w:r>
        <w:br w:type="page"/>
      </w:r>
    </w:p>
    <w:p>
      <w:pPr>
        <w:pStyle w:val="Heading1"/>
      </w:pPr>
      <w:r>
        <w:t xml:space="preserve">PORTFOLIO POSITIONING SUMMARY</w:t>
      </w:r>
    </w:p>
    <w:p>
      <w:pPr>
        <w:spacing w:after="120"/>
      </w:pPr>
      <w:r>
        <w:rPr>
          <w:rFonts w:ascii="Arial" w:cs="Arial" w:eastAsia="Arial" w:hAnsi="Arial"/>
          <w:b/>
          <w:bCs/>
          <w:color w:val="333333"/>
          <w:sz w:val="20"/>
          <w:szCs w:val="20"/>
        </w:rPr>
        <w:t xml:space="preserve">Your 23-position energy portfolio is exceptionally well-positioned for the current macro environment:</w:t>
      </w:r>
    </w:p>
    <w:p>
      <w:pPr>
        <w:pStyle w:val="ListParagraph"/>
        <w:numPr>
          <w:ilvl w:val="0"/>
          <w:numId w:val="2"/>
        </w:numPr>
      </w:pPr>
      <w:r>
        <w:rPr>
          <w:rFonts w:ascii="Arial" w:cs="Arial" w:eastAsia="Arial" w:hAnsi="Arial"/>
          <w:b/>
          <w:bCs/>
          <w:color w:val="333333"/>
          <w:sz w:val="20"/>
          <w:szCs w:val="20"/>
        </w:rPr>
        <w:t xml:space="preserve">Direct Hormuz beneficiaries (shipping): </w:t>
      </w:r>
      <w:r>
        <w:rPr>
          <w:rFonts w:ascii="Arial" w:cs="Arial" w:eastAsia="Arial" w:hAnsi="Arial"/>
          <w:color w:val="333333"/>
          <w:sz w:val="20"/>
          <w:szCs w:val="20"/>
        </w:rPr>
        <w:t xml:space="preserve">Imperial Petroleum, Frontline — tanker + dry bulk rates spiking from rerouting.</w:t>
      </w:r>
    </w:p>
    <w:p>
      <w:pPr>
        <w:pStyle w:val="ListParagraph"/>
        <w:numPr>
          <w:ilvl w:val="0"/>
          <w:numId w:val="2"/>
        </w:numPr>
      </w:pPr>
      <w:r>
        <w:rPr>
          <w:rFonts w:ascii="Arial" w:cs="Arial" w:eastAsia="Arial" w:hAnsi="Arial"/>
          <w:b/>
          <w:bCs/>
          <w:color w:val="333333"/>
          <w:sz w:val="20"/>
          <w:szCs w:val="20"/>
        </w:rPr>
        <w:t xml:space="preserve">Non-Gulf producers (premium supply): </w:t>
      </w:r>
      <w:r>
        <w:rPr>
          <w:rFonts w:ascii="Arial" w:cs="Arial" w:eastAsia="Arial" w:hAnsi="Arial"/>
          <w:color w:val="333333"/>
          <w:sz w:val="20"/>
          <w:szCs w:val="20"/>
        </w:rPr>
        <w:t xml:space="preserve">Afentra (Angola), VAALCO (Gabon/Egypt/Côte d'Ivoire), Seplat (Nigeria), Kosmos (Ghana/Mauritania), PetroTal (Peru), Arrow (Colombia), Petrobras (Brazil), Eni (diversified).</w:t>
      </w:r>
    </w:p>
    <w:p>
      <w:pPr>
        <w:pStyle w:val="ListParagraph"/>
        <w:numPr>
          <w:ilvl w:val="0"/>
          <w:numId w:val="2"/>
        </w:numPr>
      </w:pPr>
      <w:r>
        <w:rPr>
          <w:rFonts w:ascii="Arial" w:cs="Arial" w:eastAsia="Arial" w:hAnsi="Arial"/>
          <w:b/>
          <w:bCs/>
          <w:color w:val="333333"/>
          <w:sz w:val="20"/>
          <w:szCs w:val="20"/>
        </w:rPr>
        <w:t xml:space="preserve">Falklands exposure (geographically isolated): </w:t>
      </w:r>
      <w:r>
        <w:rPr>
          <w:rFonts w:ascii="Arial" w:cs="Arial" w:eastAsia="Arial" w:hAnsi="Arial"/>
          <w:color w:val="333333"/>
          <w:sz w:val="20"/>
          <w:szCs w:val="20"/>
        </w:rPr>
        <w:t xml:space="preserve">Borders &amp; Southern, Rockhopper, Eco Atlantic (via JHI acquisition).</w:t>
      </w:r>
    </w:p>
    <w:p>
      <w:pPr>
        <w:pStyle w:val="ListParagraph"/>
        <w:numPr>
          <w:ilvl w:val="0"/>
          <w:numId w:val="2"/>
        </w:numPr>
      </w:pPr>
      <w:r>
        <w:rPr>
          <w:rFonts w:ascii="Arial" w:cs="Arial" w:eastAsia="Arial" w:hAnsi="Arial"/>
          <w:b/>
          <w:bCs/>
          <w:color w:val="333333"/>
          <w:sz w:val="20"/>
          <w:szCs w:val="20"/>
        </w:rPr>
        <w:t xml:space="preserve">European/North African gas plays (Qatar LNG stranded): </w:t>
      </w:r>
      <w:r>
        <w:rPr>
          <w:rFonts w:ascii="Arial" w:cs="Arial" w:eastAsia="Arial" w:hAnsi="Arial"/>
          <w:color w:val="333333"/>
          <w:sz w:val="20"/>
          <w:szCs w:val="20"/>
        </w:rPr>
        <w:t xml:space="preserve">Prospex Energy, Star Energy, Chariot Ltd (Morocco), Harbour Energy (Norway/UK gas).</w:t>
      </w:r>
    </w:p>
    <w:p>
      <w:pPr>
        <w:pStyle w:val="ListParagraph"/>
        <w:numPr>
          <w:ilvl w:val="0"/>
          <w:numId w:val="2"/>
        </w:numPr>
      </w:pPr>
      <w:r>
        <w:rPr>
          <w:rFonts w:ascii="Arial" w:cs="Arial" w:eastAsia="Arial" w:hAnsi="Arial"/>
          <w:b/>
          <w:bCs/>
          <w:color w:val="333333"/>
          <w:sz w:val="20"/>
          <w:szCs w:val="20"/>
        </w:rPr>
        <w:t xml:space="preserve">Alaska/North America (Trump priority): </w:t>
      </w:r>
      <w:r>
        <w:rPr>
          <w:rFonts w:ascii="Arial" w:cs="Arial" w:eastAsia="Arial" w:hAnsi="Arial"/>
          <w:color w:val="333333"/>
          <w:sz w:val="20"/>
          <w:szCs w:val="20"/>
        </w:rPr>
        <w:t xml:space="preserve">88 Energy, Pantheon Resources.</w:t>
      </w:r>
    </w:p>
    <w:p>
      <w:pPr>
        <w:pStyle w:val="ListParagraph"/>
        <w:numPr>
          <w:ilvl w:val="0"/>
          <w:numId w:val="2"/>
        </w:numPr>
      </w:pPr>
      <w:r>
        <w:rPr>
          <w:rFonts w:ascii="Arial" w:cs="Arial" w:eastAsia="Arial" w:hAnsi="Arial"/>
          <w:b/>
          <w:bCs/>
          <w:color w:val="333333"/>
          <w:sz w:val="20"/>
          <w:szCs w:val="20"/>
        </w:rPr>
        <w:t xml:space="preserve">Asia-Pacific (non-Gulf Asian demand): </w:t>
      </w:r>
      <w:r>
        <w:rPr>
          <w:rFonts w:ascii="Arial" w:cs="Arial" w:eastAsia="Arial" w:hAnsi="Arial"/>
          <w:color w:val="333333"/>
          <w:sz w:val="20"/>
          <w:szCs w:val="20"/>
        </w:rPr>
        <w:t xml:space="preserve">Jadestone Energy.</w:t>
      </w:r>
    </w:p>
    <w:p>
      <w:pPr>
        <w:pStyle w:val="ListParagraph"/>
        <w:numPr>
          <w:ilvl w:val="0"/>
          <w:numId w:val="2"/>
        </w:numPr>
      </w:pPr>
      <w:r>
        <w:rPr>
          <w:rFonts w:ascii="Arial" w:cs="Arial" w:eastAsia="Arial" w:hAnsi="Arial"/>
          <w:b/>
          <w:bCs/>
          <w:color w:val="DC2626"/>
          <w:sz w:val="20"/>
          <w:szCs w:val="20"/>
        </w:rPr>
        <w:t xml:space="preserve">Binary risk (Kurdistan/Iran adjacent): </w:t>
      </w:r>
      <w:r>
        <w:rPr>
          <w:rFonts w:ascii="Arial" w:cs="Arial" w:eastAsia="Arial" w:hAnsi="Arial"/>
          <w:color w:val="333333"/>
          <w:sz w:val="20"/>
          <w:szCs w:val="20"/>
        </w:rPr>
        <w:t xml:space="preserve">Gulf Keystone — highest risk/reward in the portfolio.</w:t>
      </w:r>
    </w:p>
    <w:p>
      <w:pPr>
        <w:pStyle w:val="ListParagraph"/>
        <w:numPr>
          <w:ilvl w:val="0"/>
          <w:numId w:val="2"/>
        </w:numPr>
      </w:pPr>
      <w:r>
        <w:rPr>
          <w:rFonts w:ascii="Arial" w:cs="Arial" w:eastAsia="Arial" w:hAnsi="Arial"/>
          <w:b/>
          <w:bCs/>
          <w:color w:val="333333"/>
          <w:sz w:val="20"/>
          <w:szCs w:val="20"/>
        </w:rPr>
        <w:t xml:space="preserve">Defensive anchors: </w:t>
      </w:r>
      <w:r>
        <w:rPr>
          <w:rFonts w:ascii="Arial" w:cs="Arial" w:eastAsia="Arial" w:hAnsi="Arial"/>
          <w:color w:val="333333"/>
          <w:sz w:val="20"/>
          <w:szCs w:val="20"/>
        </w:rPr>
        <w:t xml:space="preserve">Harbour Energy, Petrobras, Eni, ARKO Petroleum.</w:t>
      </w:r>
    </w:p>
    <w:p>
      <w:pPr>
        <w:spacing w:after="120"/>
      </w:pPr>
      <w:r>
        <w:rPr>
          <w:rFonts w:ascii="Arial" w:cs="Arial" w:eastAsia="Arial" w:hAnsi="Arial"/>
          <w:b w:val="false"/>
          <w:bCs w:val="false"/>
          <w:color w:val="333333"/>
          <w:sz w:val="20"/>
          <w:szCs w:val="20"/>
        </w:rPr>
        <w:t xml:space="preserve">
The portfolio has strong thematic diversification across geographies, asset stages (exploration to major production), and energy types (oil, gas, LNG, shipping, fuel distribution). The Hormuz crisis is a net positive for 21 of 23 positions, with only ARKO (minimal impact) and Gulf Keystone (binary) as exceptions.</w:t>
      </w:r>
    </w:p>
    <w:p>
      <w:pPr>
        <w:pBdr>
          <w:bottom w:val="single" w:color="D4A843" w:sz="6"/>
        </w:pBdr>
        <w:spacing w:before="400"/>
      </w:pPr>
    </w:p>
    <w:p>
      <w:pPr>
        <w:spacing w:before="200"/>
      </w:pPr>
      <w:r>
        <w:rPr>
          <w:rFonts w:ascii="Arial" w:cs="Arial" w:eastAsia="Arial" w:hAnsi="Arial"/>
          <w:b/>
          <w:bCs/>
          <w:color w:val="DC2626"/>
          <w:sz w:val="16"/>
          <w:szCs w:val="16"/>
        </w:rPr>
        <w:t xml:space="preserve">IMPORTANT DISCLAIMER: </w:t>
      </w:r>
      <w:r>
        <w:rPr>
          <w:rFonts w:ascii="Arial" w:cs="Arial" w:eastAsia="Arial" w:hAnsi="Arial"/>
          <w:i/>
          <w:iCs/>
          <w:color w:val="666666"/>
          <w:sz w:val="16"/>
          <w:szCs w:val="16"/>
        </w:rPr>
        <w:t xml:space="preserve">This analysis is for informational purposes only. It does not constitute financial advice or a recommendation to buy or sell securities. All small-cap oil and gas investments carry extreme risk including total loss of capital. The geopolitical situation is rapidly evolving. Always consult a qualified financial advisor.</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948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2026-03-26T09:54:53.471Z</dcterms:created>
  <dcterms:modified xsi:type="dcterms:W3CDTF">2026-03-26T09:54:53.472Z</dcterms:modified>
</cp:coreProperties>
</file>

<file path=docProps/custom.xml><?xml version="1.0" encoding="utf-8"?>
<Properties xmlns="http://schemas.openxmlformats.org/officeDocument/2006/custom-properties" xmlns:vt="http://schemas.openxmlformats.org/officeDocument/2006/docPropsVTypes"/>
</file>