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bottom w:val="single" w:color="0EA5E9" w:sz="8" w:space="10"/>
        </w:pBdr>
        <w:spacing w:after="0"/>
      </w:pPr>
    </w:p>
    <w:p>
      <w:pPr>
        <w:spacing w:before="240" w:after="80"/>
      </w:pPr>
      <w:r>
        <w:rPr>
          <w:rFonts w:ascii="Arial" w:cs="Arial" w:eastAsia="Arial" w:hAnsi="Arial"/>
          <w:b/>
          <w:bCs/>
          <w:color w:val="0A1628"/>
          <w:sz w:val="52"/>
          <w:szCs w:val="52"/>
        </w:rPr>
        <w:t xml:space="preserve">DNA ENTERTAINMENT</w:t>
      </w:r>
    </w:p>
    <w:p>
      <w:pPr>
        <w:spacing w:after="80"/>
      </w:pPr>
      <w:r>
        <w:rPr>
          <w:rFonts w:ascii="Arial" w:cs="Arial" w:eastAsia="Arial" w:hAnsi="Arial"/>
          <w:color w:val="0EA5E9"/>
          <w:sz w:val="36"/>
          <w:szCs w:val="36"/>
        </w:rPr>
        <w:t xml:space="preserve">Comprehensive Investment Due Diligence</w:t>
      </w:r>
    </w:p>
    <w:p>
      <w:pPr>
        <w:spacing w:after="80"/>
      </w:pPr>
      <w:r>
        <w:rPr>
          <w:rFonts w:ascii="Arial" w:cs="Arial" w:eastAsia="Arial" w:hAnsi="Arial"/>
          <w:color w:val="0EA5E9"/>
          <w:sz w:val="36"/>
          <w:szCs w:val="36"/>
        </w:rPr>
        <w:t xml:space="preserve">Analysis &amp; Implementation Playbook</w:t>
      </w:r>
    </w:p>
    <w:p>
      <w:pPr>
        <w:pBdr>
          <w:bottom w:val="single" w:color="D4A843" w:sz="3" w:space="6"/>
        </w:pBdr>
        <w:spacing w:before="160" w:after="0"/>
      </w:pPr>
    </w:p>
    <w:p>
      <w:pPr>
        <w:spacing w:before="240"/>
      </w:pPr>
      <w:r>
        <w:rPr>
          <w:rFonts w:ascii="Arial" w:cs="Arial" w:eastAsia="Arial" w:hAnsi="Arial"/>
          <w:color w:val="64748B"/>
          <w:sz w:val="24"/>
          <w:szCs w:val="24"/>
        </w:rPr>
        <w:t xml:space="preserve">March 2026  |  Enhanced Edition v2.0</w:t>
      </w:r>
    </w:p>
    <w:p>
      <w:pPr>
        <w:spacing w:after="120"/>
        <w:jc w:val="left"/>
      </w:pPr>
      <w:r>
        <w:rPr>
          <w:rFonts w:ascii="Arial" w:cs="Arial" w:eastAsia="Arial" w:hAnsi="Arial"/>
          <w:b w:val="false"/>
          <w:bCs w:val="false"/>
          <w:i w:val="false"/>
          <w:iCs w:val="false"/>
          <w:color w:val="64748B"/>
          <w:sz w:val="22"/>
          <w:szCs w:val="22"/>
        </w:rPr>
        <w:t xml:space="preserve">Oil &amp; Gas · Critical Minerals · Crypto · Speculative Growth · Pensions · Tax Wrappers</w:t>
      </w:r>
    </w:p>
    <w:p>
      <w:pPr>
        <w:spacing w:before="4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935"/>
        <w:gridCol w:w="2935"/>
        <w:gridCol w:w="2935"/>
        <w:gridCol w:w="2935"/>
        <w:gridCol w:w="2935"/>
      </w:tblGrid>
      <w:tr>
        <w:tc>
          <w:tcPr>
            <w:tcBorders>
              <w:top w:val="single" w:color="0EA5E9" w:sz="2"/>
              <w:left w:val="single" w:color="E2E8F0" w:sz="1"/>
              <w:bottom w:val="single" w:color="0EA5E9" w:sz="2"/>
              <w:right w:val="single" w:color="E2E8F0" w:sz="1"/>
            </w:tcBorders>
            <w:shd w:fill="E0F2FE"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TOTAL CAPITAL</w:t>
            </w:r>
          </w:p>
          <w:p>
            <w:r>
              <w:rPr>
                <w:rFonts w:ascii="Arial" w:cs="Arial" w:eastAsia="Arial" w:hAnsi="Arial"/>
                <w:b/>
                <w:bCs/>
                <w:color w:val="0A1628"/>
                <w:sz w:val="26"/>
                <w:szCs w:val="26"/>
              </w:rPr>
              <w:t xml:space="preserve">£76,872</w:t>
            </w:r>
          </w:p>
        </w:tc>
        <w:tc>
          <w:tcPr>
            <w:tcBorders>
              <w:top w:val="single" w:color="0EA5E9" w:sz="2"/>
              <w:left w:val="single" w:color="E2E8F0" w:sz="1"/>
              <w:bottom w:val="single" w:color="0EA5E9" w:sz="2"/>
              <w:right w:val="single" w:color="E2E8F0" w:sz="1"/>
            </w:tcBorders>
            <w:shd w:fill="E0F2FE"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PORTFOLIOS</w:t>
            </w:r>
          </w:p>
          <w:p>
            <w:r>
              <w:rPr>
                <w:rFonts w:ascii="Arial" w:cs="Arial" w:eastAsia="Arial" w:hAnsi="Arial"/>
                <w:b/>
                <w:bCs/>
                <w:color w:val="0A1628"/>
                <w:sz w:val="26"/>
                <w:szCs w:val="26"/>
              </w:rPr>
              <w:t xml:space="preserve">10 Matrices</w:t>
            </w:r>
          </w:p>
        </w:tc>
        <w:tc>
          <w:tcPr>
            <w:tcBorders>
              <w:top w:val="single" w:color="0EA5E9" w:sz="2"/>
              <w:left w:val="single" w:color="E2E8F0" w:sz="1"/>
              <w:bottom w:val="single" w:color="0EA5E9" w:sz="2"/>
              <w:right w:val="single" w:color="E2E8F0" w:sz="1"/>
            </w:tcBorders>
            <w:shd w:fill="E0F2FE"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POSITIONS</w:t>
            </w:r>
          </w:p>
          <w:p>
            <w:r>
              <w:rPr>
                <w:rFonts w:ascii="Arial" w:cs="Arial" w:eastAsia="Arial" w:hAnsi="Arial"/>
                <w:b/>
                <w:bCs/>
                <w:color w:val="0A1628"/>
                <w:sz w:val="26"/>
                <w:szCs w:val="26"/>
              </w:rPr>
              <w:t xml:space="preserve">100+</w:t>
            </w:r>
          </w:p>
        </w:tc>
        <w:tc>
          <w:tcPr>
            <w:tcBorders>
              <w:top w:val="single" w:color="0EA5E9" w:sz="2"/>
              <w:left w:val="single" w:color="E2E8F0" w:sz="1"/>
              <w:bottom w:val="single" w:color="0EA5E9" w:sz="2"/>
              <w:right w:val="single" w:color="E2E8F0" w:sz="1"/>
            </w:tcBorders>
            <w:shd w:fill="FEF3C7"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BRENT CRUDE</w:t>
            </w:r>
          </w:p>
          <w:p>
            <w:r>
              <w:rPr>
                <w:rFonts w:ascii="Arial" w:cs="Arial" w:eastAsia="Arial" w:hAnsi="Arial"/>
                <w:b/>
                <w:bCs/>
                <w:color w:val="0A1628"/>
                <w:sz w:val="26"/>
                <w:szCs w:val="26"/>
              </w:rPr>
              <w:t xml:space="preserve">$107–113/bbl</w:t>
            </w:r>
          </w:p>
        </w:tc>
        <w:tc>
          <w:tcPr>
            <w:tcBorders>
              <w:top w:val="single" w:color="0EA5E9" w:sz="2"/>
              <w:left w:val="single" w:color="E2E8F0" w:sz="1"/>
              <w:bottom w:val="single" w:color="0EA5E9" w:sz="2"/>
              <w:right w:val="single" w:color="E2E8F0" w:sz="1"/>
            </w:tcBorders>
            <w:shd w:fill="DCFCE7"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KEY EVENT</w:t>
            </w:r>
          </w:p>
          <w:p>
            <w:r>
              <w:rPr>
                <w:rFonts w:ascii="Arial" w:cs="Arial" w:eastAsia="Arial" w:hAnsi="Arial"/>
                <w:b/>
                <w:bCs/>
                <w:color w:val="0A1628"/>
                <w:sz w:val="26"/>
                <w:szCs w:val="26"/>
              </w:rPr>
              <w:t xml:space="preserve">AET Takeover</w:t>
            </w:r>
          </w:p>
        </w:tc>
      </w:tr>
    </w:tbl>
    <w:p>
      <w:pPr>
        <w:spacing w:before="500"/>
      </w:pPr>
      <w:r>
        <w:rPr>
          <w:rFonts w:ascii="Arial" w:cs="Arial" w:eastAsia="Arial" w:hAnsi="Arial"/>
          <w:b/>
          <w:bCs/>
          <w:color w:val="DC2626"/>
          <w:sz w:val="20"/>
          <w:szCs w:val="20"/>
        </w:rPr>
        <w:t xml:space="preserve">CONFIDENTIAL — DNA Entertainment Internal Use Only</w:t>
      </w:r>
    </w:p>
    <w:p>
      <w:pPr>
        <w:spacing w:after="120"/>
        <w:jc w:val="left"/>
      </w:pPr>
      <w:r>
        <w:rPr>
          <w:rFonts w:ascii="Arial" w:cs="Arial" w:eastAsia="Arial" w:hAnsi="Arial"/>
          <w:b w:val="false"/>
          <w:bCs w:val="false"/>
          <w:i/>
          <w:iCs/>
          <w:color w:val="64748B"/>
          <w:sz w:val="18"/>
          <w:szCs w:val="18"/>
        </w:rPr>
        <w:t xml:space="preserve">Not financial advice. All investments carry risk of total loss. Consult a qualified financial adviser before acting.</w:t>
      </w:r>
    </w:p>
    <w:p>
      <w:r>
        <w:br w:type="page"/>
      </w:r>
    </w:p>
    <w:p>
      <w:pPr>
        <w:pStyle w:val="Heading1"/>
      </w:pPr>
      <w:r>
        <w:rPr>
          <w:rFonts w:ascii="Arial" w:cs="Arial" w:eastAsia="Arial" w:hAnsi="Arial"/>
        </w:rPr>
        <w:t xml:space="preserve">Executive Dashboard — At a Glance</w:t>
      </w:r>
    </w:p>
    <w:p>
      <w:pPr>
        <w:spacing w:after="200"/>
        <w:jc w:val="left"/>
      </w:pPr>
      <w:r>
        <w:rPr>
          <w:rFonts w:ascii="Arial" w:cs="Arial" w:eastAsia="Arial" w:hAnsi="Arial"/>
          <w:b w:val="false"/>
          <w:bCs w:val="false"/>
          <w:i w:val="false"/>
          <w:iCs w:val="false"/>
          <w:color w:val="333333"/>
          <w:sz w:val="22"/>
          <w:szCs w:val="22"/>
        </w:rPr>
        <w:t xml:space="preserve">This single page summarises the entire investment thesis, key metrics, and the five most time-sensitive actions.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69"/>
        <w:gridCol w:w="3669"/>
      </w:tblGrid>
      <w:tr>
        <w:tc>
          <w:tcPr>
            <w:tcBorders>
              <w:top w:val="single" w:color="0EA5E9" w:sz="2"/>
              <w:left w:val="single" w:color="E2E8F0" w:sz="1"/>
              <w:bottom w:val="single" w:color="0EA5E9" w:sz="2"/>
              <w:right w:val="single" w:color="E2E8F0" w:sz="1"/>
            </w:tcBorders>
            <w:shd w:fill="DCFCE7"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OIL DEPLOYMENT</w:t>
            </w:r>
          </w:p>
          <w:p>
            <w:r>
              <w:rPr>
                <w:rFonts w:ascii="Arial" w:cs="Arial" w:eastAsia="Arial" w:hAnsi="Arial"/>
                <w:b/>
                <w:bCs/>
                <w:color w:val="0A1628"/>
                <w:sz w:val="26"/>
                <w:szCs w:val="26"/>
              </w:rPr>
              <w:t xml:space="preserve">£10,000</w:t>
            </w:r>
          </w:p>
        </w:tc>
        <w:tc>
          <w:tcPr>
            <w:tcBorders>
              <w:top w:val="single" w:color="0EA5E9" w:sz="2"/>
              <w:left w:val="single" w:color="E2E8F0" w:sz="1"/>
              <w:bottom w:val="single" w:color="0EA5E9" w:sz="2"/>
              <w:right w:val="single" w:color="E2E8F0" w:sz="1"/>
            </w:tcBorders>
            <w:shd w:fill="DCFCE7"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PROJECTED RETURN (AGG.)</w:t>
            </w:r>
          </w:p>
          <w:p>
            <w:r>
              <w:rPr>
                <w:rFonts w:ascii="Arial" w:cs="Arial" w:eastAsia="Arial" w:hAnsi="Arial"/>
                <w:b/>
                <w:bCs/>
                <w:color w:val="0A1628"/>
                <w:sz w:val="26"/>
                <w:szCs w:val="26"/>
              </w:rPr>
              <w:t xml:space="preserve">+£6,775 (+68%)</w:t>
            </w:r>
          </w:p>
        </w:tc>
        <w:tc>
          <w:tcPr>
            <w:tcBorders>
              <w:top w:val="single" w:color="0EA5E9" w:sz="2"/>
              <w:left w:val="single" w:color="E2E8F0" w:sz="1"/>
              <w:bottom w:val="single" w:color="0EA5E9" w:sz="2"/>
              <w:right w:val="single" w:color="E2E8F0" w:sz="1"/>
            </w:tcBorders>
            <w:shd w:fill="FEE2E2"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MAX DOWNSIDE RISK</w:t>
            </w:r>
          </w:p>
          <w:p>
            <w:r>
              <w:rPr>
                <w:rFonts w:ascii="Arial" w:cs="Arial" w:eastAsia="Arial" w:hAnsi="Arial"/>
                <w:b/>
                <w:bCs/>
                <w:color w:val="0A1628"/>
                <w:sz w:val="26"/>
                <w:szCs w:val="26"/>
              </w:rPr>
              <w:t xml:space="preserve">−£1,900</w:t>
            </w:r>
          </w:p>
        </w:tc>
        <w:tc>
          <w:tcPr>
            <w:tcBorders>
              <w:top w:val="single" w:color="0EA5E9" w:sz="2"/>
              <w:left w:val="single" w:color="E2E8F0" w:sz="1"/>
              <w:bottom w:val="single" w:color="0EA5E9" w:sz="2"/>
              <w:right w:val="single" w:color="E2E8F0" w:sz="1"/>
            </w:tcBorders>
            <w:shd w:fill="E0F2FE"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REWARD:RISK RATIO</w:t>
            </w:r>
          </w:p>
          <w:p>
            <w:r>
              <w:rPr>
                <w:rFonts w:ascii="Arial" w:cs="Arial" w:eastAsia="Arial" w:hAnsi="Arial"/>
                <w:b/>
                <w:bCs/>
                <w:color w:val="0A1628"/>
                <w:sz w:val="26"/>
                <w:szCs w:val="26"/>
              </w:rPr>
              <w:t xml:space="preserve">3.7 : 1</w:t>
            </w:r>
          </w:p>
        </w:tc>
      </w:tr>
    </w:tbl>
    <w:p>
      <w:pPr>
        <w:spacing w:after="120"/>
        <w:jc w:val="left"/>
      </w:pPr>
      <w:r>
        <w:rPr>
          <w:rFonts w:ascii="Arial" w:cs="Arial" w:eastAsia="Arial" w:hAnsi="Arial"/>
          <w:b w:val="false"/>
          <w:bCs w:val="false"/>
          <w:i w:val="false"/>
          <w:iCs w:val="false"/>
          <w:color w:val="333333"/>
          <w:sz w:val="22"/>
          <w:szCs w:val="22"/>
        </w:rPr>
        <w:t xml:space="preserve"/>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69"/>
        <w:gridCol w:w="3669"/>
      </w:tblGrid>
      <w:tr>
        <w:tc>
          <w:tcPr>
            <w:tcBorders>
              <w:top w:val="single" w:color="0EA5E9" w:sz="2"/>
              <w:left w:val="single" w:color="E2E8F0" w:sz="1"/>
              <w:bottom w:val="single" w:color="0EA5E9" w:sz="2"/>
              <w:right w:val="single" w:color="E2E8F0" w:sz="1"/>
            </w:tcBorders>
            <w:shd w:fill="F3E8FF"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SIPP</w:t>
            </w:r>
          </w:p>
          <w:p>
            <w:r>
              <w:rPr>
                <w:rFonts w:ascii="Arial" w:cs="Arial" w:eastAsia="Arial" w:hAnsi="Arial"/>
                <w:b/>
                <w:bCs/>
                <w:color w:val="0A1628"/>
                <w:sz w:val="26"/>
                <w:szCs w:val="26"/>
              </w:rPr>
              <w:t xml:space="preserve">£20,372 (22 holdings)</w:t>
            </w:r>
          </w:p>
        </w:tc>
        <w:tc>
          <w:tcPr>
            <w:tcBorders>
              <w:top w:val="single" w:color="0EA5E9" w:sz="2"/>
              <w:left w:val="single" w:color="E2E8F0" w:sz="1"/>
              <w:bottom w:val="single" w:color="0EA5E9" w:sz="2"/>
              <w:right w:val="single" w:color="E2E8F0" w:sz="1"/>
            </w:tcBorders>
            <w:shd w:fill="E0F2FE"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ISA</w:t>
            </w:r>
          </w:p>
          <w:p>
            <w:r>
              <w:rPr>
                <w:rFonts w:ascii="Arial" w:cs="Arial" w:eastAsia="Arial" w:hAnsi="Arial"/>
                <w:b/>
                <w:bCs/>
                <w:color w:val="0A1628"/>
                <w:sz w:val="26"/>
                <w:szCs w:val="26"/>
              </w:rPr>
              <w:t xml:space="preserve">£11,500 (10 holdings)</w:t>
            </w:r>
          </w:p>
        </w:tc>
        <w:tc>
          <w:tcPr>
            <w:tcBorders>
              <w:top w:val="single" w:color="0EA5E9" w:sz="2"/>
              <w:left w:val="single" w:color="E2E8F0" w:sz="1"/>
              <w:bottom w:val="single" w:color="0EA5E9" w:sz="2"/>
              <w:right w:val="single" w:color="E2E8F0" w:sz="1"/>
            </w:tcBorders>
            <w:shd w:fill="FEF3C7"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GIA</w:t>
            </w:r>
          </w:p>
          <w:p>
            <w:r>
              <w:rPr>
                <w:rFonts w:ascii="Arial" w:cs="Arial" w:eastAsia="Arial" w:hAnsi="Arial"/>
                <w:b/>
                <w:bCs/>
                <w:color w:val="0A1628"/>
                <w:sz w:val="26"/>
                <w:szCs w:val="26"/>
              </w:rPr>
              <w:t xml:space="preserve">£~27,000 (50+ holdings)</w:t>
            </w:r>
          </w:p>
        </w:tc>
        <w:tc>
          <w:tcPr>
            <w:tcBorders>
              <w:top w:val="single" w:color="0EA5E9" w:sz="2"/>
              <w:left w:val="single" w:color="E2E8F0" w:sz="1"/>
              <w:bottom w:val="single" w:color="0EA5E9" w:sz="2"/>
              <w:right w:val="single" w:color="E2E8F0" w:sz="1"/>
            </w:tcBorders>
            <w:shd w:fill="DCFCE7"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CRYPTO</w:t>
            </w:r>
          </w:p>
          <w:p>
            <w:r>
              <w:rPr>
                <w:rFonts w:ascii="Arial" w:cs="Arial" w:eastAsia="Arial" w:hAnsi="Arial"/>
                <w:b/>
                <w:bCs/>
                <w:color w:val="0A1628"/>
                <w:sz w:val="26"/>
                <w:szCs w:val="26"/>
              </w:rPr>
              <w:t xml:space="preserve">£10,500 (10 coins)</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TOP 5 IMMEDIATE ACTIONS — WEEK OF MARCH 24, 2026</w:t>
      </w:r>
    </w:p>
    <w:tbl>
      <w:tblPr>
        <w:tblW w:type="dxa" w:w="1167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6678"/>
        <w:gridCol w:w="1500"/>
      </w:tblGrid>
      <w:tr>
        <w:trPr>
          <w:tblHeader/>
        </w:trPr>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Priority</w:t>
            </w:r>
          </w:p>
        </w:tc>
        <w:tc>
          <w:tcPr>
            <w:tcW w:type="dxa" w:w="2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Action</w:t>
            </w:r>
          </w:p>
        </w:tc>
        <w:tc>
          <w:tcPr>
            <w:tcW w:type="dxa" w:w="66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Details</w:t>
            </w:r>
          </w:p>
        </w:tc>
        <w:tc>
          <w:tcPr>
            <w:tcW w:type="dxa" w:w="1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Deadline</w:t>
            </w:r>
          </w:p>
        </w:tc>
      </w:tr>
      <w:tr>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 — URGENT</w:t>
            </w:r>
          </w:p>
        </w:tc>
        <w:tc>
          <w:tcPr>
            <w:tcW w:type="dxa" w:w="25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Set up RNS email alerts for AET, GKP, JSE, SEPL</w:t>
            </w:r>
          </w:p>
        </w:tc>
        <w:tc>
          <w:tcPr>
            <w:tcW w:type="dxa" w:w="66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rns.lseg.com + Investegate + Google Alert for "Afentra"</w:t>
            </w:r>
          </w:p>
        </w:tc>
        <w:tc>
          <w:tcPr>
            <w:tcW w:type="dxa" w:w="15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Sunday night Mar 23</w:t>
            </w:r>
          </w:p>
        </w:tc>
      </w:tr>
      <w:tr>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 — MONDAY AM</w:t>
            </w:r>
          </w:p>
        </w:tc>
        <w:tc>
          <w:tcPr>
            <w:tcW w:type="dxa" w:w="25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Place 4 limit orders on market open</w:t>
            </w:r>
          </w:p>
        </w:tc>
        <w:tc>
          <w:tcPr>
            <w:tcW w:type="dxa" w:w="6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AET 82–87p (£4,500), GKP 218–228p (£2,500), JSE 27–30p (£2,000), SEPL 1,380–1,430p (£500)</w:t>
            </w:r>
          </w:p>
        </w:tc>
        <w:tc>
          <w:tcPr>
            <w:tcW w:type="dxa" w:w="15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Mon Mar 24, 8:25 AM</w:t>
            </w:r>
          </w:p>
        </w:tc>
      </w:tr>
      <w:tr>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3 — THIS WEEK</w:t>
            </w:r>
          </w:p>
        </w:tc>
        <w:tc>
          <w:tcPr>
            <w:tcW w:type="dxa" w:w="25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Sell underperformers from existing oil portfolio</w:t>
            </w:r>
          </w:p>
        </w:tc>
        <w:tc>
          <w:tcPr>
            <w:tcW w:type="dxa" w:w="6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SNDA, AEX, IMPP, KOD (wrong sector), BP (too small), APC (underperforming)</w:t>
            </w:r>
          </w:p>
        </w:tc>
        <w:tc>
          <w:tcPr>
            <w:tcW w:type="dxa" w:w="15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Before Friday Mar 28</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 — THIS WEEK</w:t>
            </w:r>
          </w:p>
        </w:tc>
        <w:tc>
          <w:tcPr>
            <w:tcW w:type="dxa" w:w="2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Trim KOS by 50%</w:t>
            </w:r>
          </w:p>
        </w:tc>
        <w:tc>
          <w:tcPr>
            <w:tcW w:type="dxa" w:w="6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Bank the +24% single-day gain, let remaining half ride GTA LNG + Ghana catalysts</w:t>
            </w:r>
          </w:p>
        </w:tc>
        <w:tc>
          <w:tcPr>
            <w:tcW w:type="dxa" w:w="1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Before Friday Mar 28</w:t>
            </w:r>
          </w:p>
        </w:tc>
      </w:tr>
      <w:tr>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5 — CALENDAR</w:t>
            </w:r>
          </w:p>
        </w:tc>
        <w:tc>
          <w:tcPr>
            <w:tcW w:type="dxa" w:w="25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Add key dates to phone</w:t>
            </w:r>
          </w:p>
        </w:tc>
        <w:tc>
          <w:tcPr>
            <w:tcW w:type="dxa" w:w="66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Apr 9 (GKP ex-div), Apr 27 (GKP div paid), May–Jun (AET firm bid window), Jun 28 (exit window)</w:t>
            </w:r>
          </w:p>
        </w:tc>
        <w:tc>
          <w:tcPr>
            <w:tcW w:type="dxa" w:w="15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Sunday night Mar 23</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KEY DECISION POINTS — WHAT TO DO WHEN</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6978"/>
      </w:tblGrid>
      <w:tr>
        <w:trPr>
          <w:tblHeader/>
        </w:trPr>
        <w:tc>
          <w:tcPr>
            <w:tcW w:type="dxa" w:w="3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If This Happens…</w:t>
            </w:r>
          </w:p>
        </w:tc>
        <w:tc>
          <w:tcPr>
            <w:tcW w:type="dxa" w:w="4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Then Do This…</w:t>
            </w:r>
          </w:p>
        </w:tc>
        <w:tc>
          <w:tcPr>
            <w:tcW w:type="dxa" w:w="69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Rationale</w:t>
            </w:r>
          </w:p>
        </w:tc>
      </w:tr>
      <w:tr>
        <w:tc>
          <w:tcPr>
            <w:tcW w:type="dxa" w:w="3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AET firm bid announced at 95–110p</w:t>
            </w:r>
          </w:p>
        </w:tc>
        <w:tc>
          <w:tcPr>
            <w:tcW w:type="dxa" w:w="4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HOLD — wait for competing bids. Set sell alert at 130p.</w:t>
            </w:r>
          </w:p>
        </w:tc>
        <w:tc>
          <w:tcPr>
            <w:tcW w:type="dxa" w:w="69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First bids are rarely final. Competing bids add 15–35% historically.</w:t>
            </w:r>
          </w:p>
        </w:tc>
      </w:tr>
      <w:tr>
        <w:tc>
          <w:tcPr>
            <w:tcW w:type="dxa" w:w="3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AET firm bid at 120p+ recommended by board</w:t>
            </w:r>
          </w:p>
        </w:tc>
        <w:tc>
          <w:tcPr>
            <w:tcW w:type="dxa" w:w="4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SELL 50% at bid, hold 50% for potential counter-bid</w:t>
            </w:r>
          </w:p>
        </w:tc>
        <w:tc>
          <w:tcPr>
            <w:tcW w:type="dxa" w:w="69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Lock in profit while retaining upside optionality.</w:t>
            </w:r>
          </w:p>
        </w:tc>
      </w:tr>
      <w:tr>
        <w:tc>
          <w:tcPr>
            <w:tcW w:type="dxa" w:w="35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AET strategic review terminated (no bid)</w:t>
            </w:r>
          </w:p>
        </w:tc>
        <w:tc>
          <w:tcPr>
            <w:tcW w:type="dxa" w:w="42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SELL IMMEDIATELY into any bounce</w:t>
            </w:r>
          </w:p>
        </w:tc>
        <w:tc>
          <w:tcPr>
            <w:tcW w:type="dxa" w:w="69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Share retraces to 58–65p. Do not hold through the deflation.</w:t>
            </w:r>
          </w:p>
        </w:tc>
      </w:tr>
      <w:tr>
        <w:tc>
          <w:tcPr>
            <w:tcW w:type="dxa" w:w="35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Brent drops below $80/bbl</w:t>
            </w:r>
          </w:p>
        </w:tc>
        <w:tc>
          <w:tcPr>
            <w:tcW w:type="dxa" w:w="42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Begin systematic exit of ALL oil positions</w:t>
            </w:r>
          </w:p>
        </w:tc>
        <w:tc>
          <w:tcPr>
            <w:tcW w:type="dxa" w:w="69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EIA forecast confirms temporary spike is ending. Don’t hold into Q3 decline.</w:t>
            </w:r>
          </w:p>
        </w:tc>
      </w:tr>
      <w:tr>
        <w:tc>
          <w:tcPr>
            <w:tcW w:type="dxa" w:w="3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GKP announces production restart</w:t>
            </w:r>
          </w:p>
        </w:tc>
        <w:tc>
          <w:tcPr>
            <w:tcW w:type="dxa" w:w="4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ADD to GKP position using £500 cash reserve</w:t>
            </w:r>
          </w:p>
        </w:tc>
        <w:tc>
          <w:tcPr>
            <w:tcW w:type="dxa" w:w="69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Restart + Ceyhan premium reprices GKP 40–60% higher.</w:t>
            </w:r>
          </w:p>
        </w:tc>
      </w:tr>
      <w:tr>
        <w:tc>
          <w:tcPr>
            <w:tcW w:type="dxa" w:w="35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Oil hits $130+/bbl</w:t>
            </w:r>
          </w:p>
        </w:tc>
        <w:tc>
          <w:tcPr>
            <w:tcW w:type="dxa" w:w="4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Take 25% profit on GKP + JSE, hold AET and SEPL</w:t>
            </w:r>
          </w:p>
        </w:tc>
        <w:tc>
          <w:tcPr>
            <w:tcW w:type="dxa" w:w="69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Partial profit-taking locks in gains while maintaining exposure.</w:t>
            </w:r>
          </w:p>
        </w:tc>
      </w:tr>
      <w:tr>
        <w:tc>
          <w:tcPr>
            <w:tcW w:type="dxa" w:w="35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GKP restart delayed beyond Q3 2026</w:t>
            </w:r>
          </w:p>
        </w:tc>
        <w:tc>
          <w:tcPr>
            <w:tcW w:type="dxa" w:w="42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SELL GKP at stop-loss (165p)</w:t>
            </w:r>
          </w:p>
        </w:tc>
        <w:tc>
          <w:tcPr>
            <w:tcW w:type="dxa" w:w="69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Extended shut-in burns cash. Better opportunities elsewhere.</w:t>
            </w:r>
          </w:p>
        </w:tc>
      </w:tr>
    </w:tbl>
    <w:p>
      <w:r>
        <w:br w:type="page"/>
      </w:r>
    </w:p>
    <w:p>
      <w:pPr>
        <w:pStyle w:val="Heading1"/>
      </w:pPr>
      <w:r>
        <w:rPr>
          <w:rFonts w:ascii="Arial" w:cs="Arial" w:eastAsia="Arial" w:hAnsi="Arial"/>
        </w:rPr>
        <w:t xml:space="preserve">Table of Contents</w:t>
      </w:r>
    </w:p>
    <w:p>
      <w:pPr>
        <w:spacing w:after="120"/>
        <w:jc w:val="left"/>
      </w:pPr>
      <w:r>
        <w:rPr>
          <w:rFonts w:ascii="Arial" w:cs="Arial" w:eastAsia="Arial" w:hAnsi="Arial"/>
          <w:b w:val="false"/>
          <w:bCs w:val="false"/>
          <w:i w:val="false"/>
          <w:iCs w:val="false"/>
          <w:color w:val="333333"/>
          <w:sz w:val="22"/>
          <w:szCs w:val="22"/>
        </w:rPr>
        <w:t xml:space="preserve">Executive Dashboard — At a Glance ...................................... 2</w:t>
      </w:r>
    </w:p>
    <w:p>
      <w:pPr>
        <w:spacing w:after="120"/>
        <w:jc w:val="left"/>
      </w:pPr>
      <w:r>
        <w:rPr>
          <w:rFonts w:ascii="Arial" w:cs="Arial" w:eastAsia="Arial" w:hAnsi="Arial"/>
          <w:b w:val="false"/>
          <w:bCs w:val="false"/>
          <w:i w:val="false"/>
          <w:iCs w:val="false"/>
          <w:color w:val="333333"/>
          <w:sz w:val="22"/>
          <w:szCs w:val="22"/>
        </w:rPr>
        <w:t xml:space="preserve">1.  Investment Philosophy &amp; Four Megatrends ............................. 4</w:t>
      </w:r>
    </w:p>
    <w:p>
      <w:pPr>
        <w:spacing w:after="120"/>
        <w:jc w:val="left"/>
      </w:pPr>
      <w:r>
        <w:rPr>
          <w:rFonts w:ascii="Arial" w:cs="Arial" w:eastAsia="Arial" w:hAnsi="Arial"/>
          <w:b w:val="false"/>
          <w:bCs w:val="false"/>
          <w:i w:val="false"/>
          <w:iCs w:val="false"/>
          <w:color w:val="333333"/>
          <w:sz w:val="22"/>
          <w:szCs w:val="22"/>
        </w:rPr>
        <w:t xml:space="preserve">2.  Capital Allocation Summary — The Ten Matrices ..................... 5</w:t>
      </w:r>
    </w:p>
    <w:p>
      <w:pPr>
        <w:spacing w:after="120"/>
        <w:jc w:val="left"/>
      </w:pPr>
      <w:r>
        <w:rPr>
          <w:rFonts w:ascii="Arial" w:cs="Arial" w:eastAsia="Arial" w:hAnsi="Arial"/>
          <w:b w:val="false"/>
          <w:bCs w:val="false"/>
          <w:i w:val="false"/>
          <w:iCs w:val="false"/>
          <w:color w:val="333333"/>
          <w:sz w:val="22"/>
          <w:szCs w:val="22"/>
        </w:rPr>
        <w:t xml:space="preserve">3.  IMMEDIATE ACTIONS: Existing Oil Portfolio Sell/Hold/Buy ............ 6</w:t>
      </w:r>
    </w:p>
    <w:p>
      <w:pPr>
        <w:spacing w:after="120"/>
        <w:jc w:val="left"/>
      </w:pPr>
      <w:r>
        <w:rPr>
          <w:rFonts w:ascii="Arial" w:cs="Arial" w:eastAsia="Arial" w:hAnsi="Arial"/>
          <w:b w:val="false"/>
          <w:bCs w:val="false"/>
          <w:i w:val="false"/>
          <w:iCs w:val="false"/>
          <w:color w:val="333333"/>
          <w:sz w:val="22"/>
          <w:szCs w:val="22"/>
        </w:rPr>
        <w:t xml:space="preserve">4.  Oil &amp; Gas Deep Due Diligence (13 Companies) ....................... 8</w:t>
      </w:r>
    </w:p>
    <w:p>
      <w:pPr>
        <w:spacing w:after="120"/>
        <w:jc w:val="left"/>
      </w:pPr>
      <w:r>
        <w:rPr>
          <w:rFonts w:ascii="Arial" w:cs="Arial" w:eastAsia="Arial" w:hAnsi="Arial"/>
          <w:b w:val="false"/>
          <w:bCs w:val="false"/>
          <w:i w:val="false"/>
          <w:iCs w:val="false"/>
          <w:color w:val="333333"/>
          <w:sz w:val="22"/>
          <w:szCs w:val="22"/>
        </w:rPr>
        <w:t xml:space="preserve">5.  Crude Grade Supply/Demand Analysis ................................ 10</w:t>
      </w:r>
    </w:p>
    <w:p>
      <w:pPr>
        <w:spacing w:after="120"/>
        <w:jc w:val="left"/>
      </w:pPr>
      <w:r>
        <w:rPr>
          <w:rFonts w:ascii="Arial" w:cs="Arial" w:eastAsia="Arial" w:hAnsi="Arial"/>
          <w:b w:val="false"/>
          <w:bCs w:val="false"/>
          <w:i w:val="false"/>
          <w:iCs w:val="false"/>
          <w:color w:val="333333"/>
          <w:sz w:val="22"/>
          <w:szCs w:val="22"/>
        </w:rPr>
        <w:t xml:space="preserve">6.  £10,000 Short-Term Oil Spike Allocation ........................... 11</w:t>
      </w:r>
    </w:p>
    <w:p>
      <w:pPr>
        <w:spacing w:after="120"/>
        <w:jc w:val="left"/>
      </w:pPr>
      <w:r>
        <w:rPr>
          <w:rFonts w:ascii="Arial" w:cs="Arial" w:eastAsia="Arial" w:hAnsi="Arial"/>
          <w:b w:val="false"/>
          <w:bCs w:val="false"/>
          <w:i w:val="false"/>
          <w:iCs w:val="false"/>
          <w:color w:val="333333"/>
          <w:sz w:val="22"/>
          <w:szCs w:val="22"/>
        </w:rPr>
        <w:t xml:space="preserve">7.  Afentra (AET) Takeover Deep Dive (Updated to $113/bbl) ........... 13</w:t>
      </w:r>
    </w:p>
    <w:p>
      <w:pPr>
        <w:spacing w:after="120"/>
        <w:jc w:val="left"/>
      </w:pPr>
      <w:r>
        <w:rPr>
          <w:rFonts w:ascii="Arial" w:cs="Arial" w:eastAsia="Arial" w:hAnsi="Arial"/>
          <w:b w:val="false"/>
          <w:bCs w:val="false"/>
          <w:i w:val="false"/>
          <w:iCs w:val="false"/>
          <w:color w:val="333333"/>
          <w:sz w:val="22"/>
          <w:szCs w:val="22"/>
        </w:rPr>
        <w:t xml:space="preserve">8.  ISA Portfolio — “The Aeroplane” .................................. 16</w:t>
      </w:r>
    </w:p>
    <w:p>
      <w:pPr>
        <w:spacing w:after="120"/>
        <w:jc w:val="left"/>
      </w:pPr>
      <w:r>
        <w:rPr>
          <w:rFonts w:ascii="Arial" w:cs="Arial" w:eastAsia="Arial" w:hAnsi="Arial"/>
          <w:b w:val="false"/>
          <w:bCs w:val="false"/>
          <w:i w:val="false"/>
          <w:iCs w:val="false"/>
          <w:color w:val="333333"/>
          <w:sz w:val="22"/>
          <w:szCs w:val="22"/>
        </w:rPr>
        <w:t xml:space="preserve">9.  SIPP Portfolio — “The Pension Fortress” .......................... 17</w:t>
      </w:r>
    </w:p>
    <w:p>
      <w:pPr>
        <w:spacing w:after="120"/>
        <w:jc w:val="left"/>
      </w:pPr>
      <w:r>
        <w:rPr>
          <w:rFonts w:ascii="Arial" w:cs="Arial" w:eastAsia="Arial" w:hAnsi="Arial"/>
          <w:b w:val="false"/>
          <w:bCs w:val="false"/>
          <w:i w:val="false"/>
          <w:iCs w:val="false"/>
          <w:color w:val="333333"/>
          <w:sz w:val="22"/>
          <w:szCs w:val="22"/>
        </w:rPr>
        <w:t xml:space="preserve">10. GIA Portfolio — “The Rocket Ship” ............................... 18</w:t>
      </w:r>
    </w:p>
    <w:p>
      <w:pPr>
        <w:spacing w:after="120"/>
        <w:jc w:val="left"/>
      </w:pPr>
      <w:r>
        <w:rPr>
          <w:rFonts w:ascii="Arial" w:cs="Arial" w:eastAsia="Arial" w:hAnsi="Arial"/>
          <w:b w:val="false"/>
          <w:bCs w:val="false"/>
          <w:i w:val="false"/>
          <w:iCs w:val="false"/>
          <w:color w:val="333333"/>
          <w:sz w:val="22"/>
          <w:szCs w:val="22"/>
        </w:rPr>
        <w:t xml:space="preserve">11. Crypto Portfolio — “The Digital Arsenal” ......................... 19</w:t>
      </w:r>
    </w:p>
    <w:p>
      <w:pPr>
        <w:spacing w:after="120"/>
        <w:jc w:val="left"/>
      </w:pPr>
      <w:r>
        <w:rPr>
          <w:rFonts w:ascii="Arial" w:cs="Arial" w:eastAsia="Arial" w:hAnsi="Arial"/>
          <w:b w:val="false"/>
          <w:bCs w:val="false"/>
          <w:i w:val="false"/>
          <w:iCs w:val="false"/>
          <w:color w:val="333333"/>
          <w:sz w:val="22"/>
          <w:szCs w:val="22"/>
        </w:rPr>
        <w:t xml:space="preserve">12. Critical Minerals — “The War Chest” ............................. 20</w:t>
      </w:r>
    </w:p>
    <w:p>
      <w:pPr>
        <w:spacing w:after="120"/>
        <w:jc w:val="left"/>
      </w:pPr>
      <w:r>
        <w:rPr>
          <w:rFonts w:ascii="Arial" w:cs="Arial" w:eastAsia="Arial" w:hAnsi="Arial"/>
          <w:b w:val="false"/>
          <w:bCs w:val="false"/>
          <w:i w:val="false"/>
          <w:iCs w:val="false"/>
          <w:color w:val="333333"/>
          <w:sz w:val="22"/>
          <w:szCs w:val="22"/>
        </w:rPr>
        <w:t xml:space="preserve">13. Get Rich Quick — “The Chaos Portfolio” .......................... 22</w:t>
      </w:r>
    </w:p>
    <w:p>
      <w:pPr>
        <w:spacing w:after="120"/>
        <w:jc w:val="left"/>
      </w:pPr>
      <w:r>
        <w:rPr>
          <w:rFonts w:ascii="Arial" w:cs="Arial" w:eastAsia="Arial" w:hAnsi="Arial"/>
          <w:b w:val="false"/>
          <w:bCs w:val="false"/>
          <w:i w:val="false"/>
          <w:iCs w:val="false"/>
          <w:color w:val="333333"/>
          <w:sz w:val="22"/>
          <w:szCs w:val="22"/>
        </w:rPr>
        <w:t xml:space="preserve">14. Moonshot Analysis — Full Catalyst Materialisation ................ 24</w:t>
      </w:r>
    </w:p>
    <w:p>
      <w:pPr>
        <w:spacing w:after="120"/>
        <w:jc w:val="left"/>
      </w:pPr>
      <w:r>
        <w:rPr>
          <w:rFonts w:ascii="Arial" w:cs="Arial" w:eastAsia="Arial" w:hAnsi="Arial"/>
          <w:b w:val="false"/>
          <w:bCs w:val="false"/>
          <w:i w:val="false"/>
          <w:iCs w:val="false"/>
          <w:color w:val="333333"/>
          <w:sz w:val="22"/>
          <w:szCs w:val="22"/>
        </w:rPr>
        <w:t xml:space="preserve">15. Commodity Due Diligence — 14 Commodities ......................... 25</w:t>
      </w:r>
    </w:p>
    <w:p>
      <w:pPr>
        <w:spacing w:after="120"/>
        <w:jc w:val="left"/>
      </w:pPr>
      <w:r>
        <w:rPr>
          <w:rFonts w:ascii="Arial" w:cs="Arial" w:eastAsia="Arial" w:hAnsi="Arial"/>
          <w:b w:val="false"/>
          <w:bCs w:val="false"/>
          <w:i w:val="false"/>
          <w:iCs w:val="false"/>
          <w:color w:val="333333"/>
          <w:sz w:val="22"/>
          <w:szCs w:val="22"/>
        </w:rPr>
        <w:t xml:space="preserve">16. Cross-Portfolio Concentration Analysis (NEW) ...................... 27</w:t>
      </w:r>
    </w:p>
    <w:p>
      <w:pPr>
        <w:spacing w:after="120"/>
        <w:jc w:val="left"/>
      </w:pPr>
      <w:r>
        <w:rPr>
          <w:rFonts w:ascii="Arial" w:cs="Arial" w:eastAsia="Arial" w:hAnsi="Arial"/>
          <w:b w:val="false"/>
          <w:bCs w:val="false"/>
          <w:i w:val="false"/>
          <w:iCs w:val="false"/>
          <w:color w:val="333333"/>
          <w:sz w:val="22"/>
          <w:szCs w:val="22"/>
        </w:rPr>
        <w:t xml:space="preserve">17. Tax Wrapper Optimisation Strategy ................................. 28</w:t>
      </w:r>
    </w:p>
    <w:p>
      <w:pPr>
        <w:spacing w:after="120"/>
        <w:jc w:val="left"/>
      </w:pPr>
      <w:r>
        <w:rPr>
          <w:rFonts w:ascii="Arial" w:cs="Arial" w:eastAsia="Arial" w:hAnsi="Arial"/>
          <w:b w:val="false"/>
          <w:bCs w:val="false"/>
          <w:i w:val="false"/>
          <w:iCs w:val="false"/>
          <w:color w:val="333333"/>
          <w:sz w:val="22"/>
          <w:szCs w:val="22"/>
        </w:rPr>
        <w:t xml:space="preserve">18. Geopolitical Catalyst Master Timeline ............................. 29</w:t>
      </w:r>
    </w:p>
    <w:p>
      <w:pPr>
        <w:spacing w:after="120"/>
        <w:jc w:val="left"/>
      </w:pPr>
      <w:r>
        <w:rPr>
          <w:rFonts w:ascii="Arial" w:cs="Arial" w:eastAsia="Arial" w:hAnsi="Arial"/>
          <w:b w:val="false"/>
          <w:bCs w:val="false"/>
          <w:i w:val="false"/>
          <w:iCs w:val="false"/>
          <w:color w:val="333333"/>
          <w:sz w:val="22"/>
          <w:szCs w:val="22"/>
        </w:rPr>
        <w:t xml:space="preserve">19. Risk Management, Stop-Losses &amp; Exit Strategy ..................... 30</w:t>
      </w:r>
    </w:p>
    <w:p>
      <w:pPr>
        <w:spacing w:after="120"/>
        <w:jc w:val="left"/>
      </w:pPr>
      <w:r>
        <w:rPr>
          <w:rFonts w:ascii="Arial" w:cs="Arial" w:eastAsia="Arial" w:hAnsi="Arial"/>
          <w:b w:val="false"/>
          <w:bCs w:val="false"/>
          <w:i w:val="false"/>
          <w:iCs w:val="false"/>
          <w:color w:val="333333"/>
          <w:sz w:val="22"/>
          <w:szCs w:val="22"/>
        </w:rPr>
        <w:t xml:space="preserve">20. Implementation Checklist &amp; Post-June Rotation .................... 32</w:t>
      </w:r>
    </w:p>
    <w:p>
      <w:r>
        <w:br w:type="page"/>
      </w:r>
    </w:p>
    <w:p>
      <w:pPr>
        <w:pStyle w:val="Heading1"/>
      </w:pPr>
      <w:r>
        <w:rPr>
          <w:rFonts w:ascii="Arial" w:cs="Arial" w:eastAsia="Arial" w:hAnsi="Arial"/>
        </w:rPr>
        <w:t xml:space="preserve">1. Investment Philosophy &amp; Four Megatrends</w:t>
      </w:r>
    </w:p>
    <w:p>
      <w:pPr>
        <w:spacing w:after="120"/>
        <w:jc w:val="left"/>
      </w:pPr>
      <w:r>
        <w:rPr>
          <w:rFonts w:ascii="Arial" w:cs="Arial" w:eastAsia="Arial" w:hAnsi="Arial"/>
          <w:b w:val="false"/>
          <w:bCs w:val="false"/>
          <w:i w:val="false"/>
          <w:iCs w:val="false"/>
          <w:color w:val="333333"/>
          <w:sz w:val="22"/>
          <w:szCs w:val="22"/>
        </w:rPr>
        <w:t xml:space="preserve">This document consolidates the complete investment strategy developed by DNA Entertainment across March 2026. It represents a multi-asset, multi-horizon portfolio framework spanning oil and gas equities, critical minerals, cryptocurrency, speculative growth positions, and long-term pension holdings.</w:t>
      </w:r>
    </w:p>
    <w:p>
      <w:pPr>
        <w:spacing w:after="120"/>
        <w:jc w:val="left"/>
      </w:pPr>
      <w:r>
        <w:rPr>
          <w:rFonts w:ascii="Arial" w:cs="Arial" w:eastAsia="Arial" w:hAnsi="Arial"/>
          <w:b w:val="false"/>
          <w:bCs w:val="false"/>
          <w:i w:val="false"/>
          <w:iCs w:val="false"/>
          <w:color w:val="333333"/>
          <w:sz w:val="22"/>
          <w:szCs w:val="22"/>
        </w:rPr>
        <w:t xml:space="preserve">The strategy is built on four converging megatrends, each requiring specific commodity and technology inputs subject to structural supply constraints and geopolitical catalysts:</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0A1628"/>
          <w:sz w:val="22"/>
          <w:szCs w:val="22"/>
        </w:rPr>
        <w:t xml:space="preserve">1. AI Infrastructure Revolution </w:t>
      </w:r>
      <w:r>
        <w:rPr>
          <w:rFonts w:ascii="Arial" w:cs="Arial" w:eastAsia="Arial" w:hAnsi="Arial"/>
          <w:b w:val="false"/>
          <w:bCs w:val="false"/>
          <w:i w:val="false"/>
          <w:iCs w:val="false"/>
          <w:color w:val="333333"/>
          <w:sz w:val="22"/>
          <w:szCs w:val="22"/>
        </w:rPr>
        <w:t xml:space="preserve">— Data centres consuming electricity at unprecedented rates. Every major tech company deploying $50–100B annually on AI compute. Requires copper, uranium, silver, rare earths, and silicon in quantities never previously demanded.</w:t>
      </w:r>
    </w:p>
    <w:p>
      <w:pPr>
        <w:spacing w:after="120"/>
        <w:jc w:val="left"/>
      </w:pPr>
      <w:r>
        <w:rPr>
          <w:rFonts w:ascii="Arial" w:cs="Arial" w:eastAsia="Arial" w:hAnsi="Arial"/>
          <w:b/>
          <w:bCs/>
          <w:i w:val="false"/>
          <w:iCs w:val="false"/>
          <w:color w:val="0A1628"/>
          <w:sz w:val="22"/>
          <w:szCs w:val="22"/>
        </w:rPr>
        <w:t xml:space="preserve">2. Energy Transition </w:t>
      </w:r>
      <w:r>
        <w:rPr>
          <w:rFonts w:ascii="Arial" w:cs="Arial" w:eastAsia="Arial" w:hAnsi="Arial"/>
          <w:b w:val="false"/>
          <w:bCs w:val="false"/>
          <w:i w:val="false"/>
          <w:iCs w:val="false"/>
          <w:color w:val="333333"/>
          <w:sz w:val="22"/>
          <w:szCs w:val="22"/>
        </w:rPr>
        <w:t xml:space="preserve">— Simultaneous buildout of renewables, nuclear, and grid infrastructure. Decade-long demand surge for copper, lithium, cobalt, platinum, manganese, and vanadium.</w:t>
      </w:r>
    </w:p>
    <w:p>
      <w:pPr>
        <w:spacing w:after="120"/>
        <w:jc w:val="left"/>
      </w:pPr>
      <w:r>
        <w:rPr>
          <w:rFonts w:ascii="Arial" w:cs="Arial" w:eastAsia="Arial" w:hAnsi="Arial"/>
          <w:b/>
          <w:bCs/>
          <w:i w:val="false"/>
          <w:iCs w:val="false"/>
          <w:color w:val="0A1628"/>
          <w:sz w:val="22"/>
          <w:szCs w:val="22"/>
        </w:rPr>
        <w:t xml:space="preserve">3. Geopolitical Fragmentation </w:t>
      </w:r>
      <w:r>
        <w:rPr>
          <w:rFonts w:ascii="Arial" w:cs="Arial" w:eastAsia="Arial" w:hAnsi="Arial"/>
          <w:b w:val="false"/>
          <w:bCs w:val="false"/>
          <w:i w:val="false"/>
          <w:iCs w:val="false"/>
          <w:color w:val="333333"/>
          <w:sz w:val="22"/>
          <w:szCs w:val="22"/>
        </w:rPr>
        <w:t xml:space="preserve">— Iran–US conflict and Hormuz disruption, China REE export bans, NATO rearmament to 3.5% GDP, Russian sanctions. Creating asymmetric opportunities in defence, oil, and critical mineral supply chains.</w:t>
      </w:r>
    </w:p>
    <w:p>
      <w:pPr>
        <w:spacing w:after="120"/>
        <w:jc w:val="left"/>
      </w:pPr>
      <w:r>
        <w:rPr>
          <w:rFonts w:ascii="Arial" w:cs="Arial" w:eastAsia="Arial" w:hAnsi="Arial"/>
          <w:b/>
          <w:bCs/>
          <w:i w:val="false"/>
          <w:iCs w:val="false"/>
          <w:color w:val="0A1628"/>
          <w:sz w:val="22"/>
          <w:szCs w:val="22"/>
        </w:rPr>
        <w:t xml:space="preserve">4. Digital Finance Revolution </w:t>
      </w:r>
      <w:r>
        <w:rPr>
          <w:rFonts w:ascii="Arial" w:cs="Arial" w:eastAsia="Arial" w:hAnsi="Arial"/>
          <w:b w:val="false"/>
          <w:bCs w:val="false"/>
          <w:i w:val="false"/>
          <w:iCs w:val="false"/>
          <w:color w:val="333333"/>
          <w:sz w:val="22"/>
          <w:szCs w:val="22"/>
        </w:rPr>
        <w:t xml:space="preserve">— Blockchain infrastructure, CBDC settlement networks, and tokenised assets. Physical commodity inputs for hardware; new financial rails for value transfer.</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0284C7"/>
          <w:sz w:val="22"/>
          <w:szCs w:val="22"/>
        </w:rPr>
        <w:t xml:space="preserve">Core Principle: </w:t>
      </w:r>
      <w:r>
        <w:rPr>
          <w:rFonts w:ascii="Arial" w:cs="Arial" w:eastAsia="Arial" w:hAnsi="Arial"/>
          <w:b w:val="false"/>
          <w:bCs w:val="false"/>
          <w:i w:val="false"/>
          <w:iCs w:val="false"/>
          <w:color w:val="333333"/>
          <w:sz w:val="22"/>
          <w:szCs w:val="22"/>
        </w:rPr>
        <w:t xml:space="preserve">The strategy prioritises concentration in highest-conviction ideas over excessive diversification. Position sizing respects a stated maximum loss tolerance of £2,000 on any single deployment. Tax wrappers are optimised per holding. Exit signals are predefined, not reactive.</w:t>
      </w:r>
    </w:p>
    <w:p>
      <w:r>
        <w:br w:type="page"/>
      </w:r>
    </w:p>
    <w:p>
      <w:pPr>
        <w:pStyle w:val="Heading1"/>
      </w:pPr>
      <w:r>
        <w:rPr>
          <w:rFonts w:ascii="Arial" w:cs="Arial" w:eastAsia="Arial" w:hAnsi="Arial"/>
        </w:rPr>
        <w:t xml:space="preserve">2. Capital Allocation Summary — The Ten Matrices</w:t>
      </w:r>
    </w:p>
    <w:p>
      <w:pPr>
        <w:spacing w:after="120"/>
        <w:jc w:val="left"/>
      </w:pPr>
      <w:r>
        <w:rPr>
          <w:rFonts w:ascii="Arial" w:cs="Arial" w:eastAsia="Arial" w:hAnsi="Arial"/>
          <w:b w:val="false"/>
          <w:bCs w:val="false"/>
          <w:i w:val="false"/>
          <w:iCs w:val="false"/>
          <w:color w:val="333333"/>
          <w:sz w:val="22"/>
          <w:szCs w:val="22"/>
        </w:rPr>
        <w:t xml:space="preserve"/>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700"/>
        <w:gridCol w:w="800"/>
        <w:gridCol w:w="900"/>
        <w:gridCol w:w="900"/>
        <w:gridCol w:w="2978"/>
      </w:tblGrid>
      <w:tr>
        <w:trPr>
          <w:tblHeader/>
        </w:trPr>
        <w:tc>
          <w:tcPr>
            <w:tcW w:type="dxa" w:w="13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Matrix</w:t>
            </w:r>
          </w:p>
        </w:tc>
        <w:tc>
          <w:tcPr>
            <w:tcW w:type="dxa" w:w="11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Nickname</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Account</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Capital</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Holdings</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Horizon</w:t>
            </w:r>
          </w:p>
        </w:tc>
        <w:tc>
          <w:tcPr>
            <w:tcW w:type="dxa" w:w="29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Strategy</w:t>
            </w:r>
          </w:p>
        </w:tc>
      </w:tr>
      <w:tr>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Oil &amp; Gas DD</w:t>
            </w:r>
          </w:p>
        </w:tc>
        <w:tc>
          <w:tcPr>
            <w:tcW w:type="dxa" w:w="11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The Drill</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GIA</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Various</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13 companies</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3–12 months</w:t>
            </w:r>
          </w:p>
        </w:tc>
        <w:tc>
          <w:tcPr>
            <w:tcW w:type="dxa" w:w="29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Geopolitical oil spike + M&amp;A</w:t>
            </w:r>
          </w:p>
        </w:tc>
      </w:tr>
      <w:tr>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Oil Spike Model</w:t>
            </w:r>
          </w:p>
        </w:tc>
        <w:tc>
          <w:tcPr>
            <w:tcW w:type="dxa" w:w="11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3-Month Play</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GIA</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£10,000</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 + cash</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 months</w:t>
            </w:r>
          </w:p>
        </w:tc>
        <w:tc>
          <w:tcPr>
            <w:tcW w:type="dxa" w:w="29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Iran war price amplification</w:t>
            </w:r>
          </w:p>
        </w:tc>
      </w:tr>
      <w:tr>
        <w:tc>
          <w:tcPr>
            <w:tcW w:type="dxa" w:w="13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ISA Portfolio</w:t>
            </w:r>
          </w:p>
        </w:tc>
        <w:tc>
          <w:tcPr>
            <w:tcW w:type="dxa" w:w="11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The Aeroplane</w:t>
            </w:r>
          </w:p>
        </w:tc>
        <w:tc>
          <w:tcPr>
            <w:tcW w:type="dxa" w:w="7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ISA</w:t>
            </w:r>
          </w:p>
        </w:tc>
        <w:tc>
          <w:tcPr>
            <w:tcW w:type="dxa" w:w="8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£11,500</w:t>
            </w:r>
          </w:p>
        </w:tc>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10 holdings</w:t>
            </w:r>
          </w:p>
        </w:tc>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25 years</w:t>
            </w:r>
          </w:p>
        </w:tc>
        <w:tc>
          <w:tcPr>
            <w:tcW w:type="dxa" w:w="29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Tax-free growth engine</w:t>
            </w:r>
          </w:p>
        </w:tc>
      </w:tr>
      <w:tr>
        <w:tc>
          <w:tcPr>
            <w:tcW w:type="dxa" w:w="13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SIPP Portfolio</w:t>
            </w:r>
          </w:p>
        </w:tc>
        <w:tc>
          <w:tcPr>
            <w:tcW w:type="dxa" w:w="11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The Fortress</w:t>
            </w:r>
          </w:p>
        </w:tc>
        <w:tc>
          <w:tcPr>
            <w:tcW w:type="dxa" w:w="7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SIPP</w:t>
            </w:r>
          </w:p>
        </w:tc>
        <w:tc>
          <w:tcPr>
            <w:tcW w:type="dxa" w:w="8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£20,372</w:t>
            </w:r>
          </w:p>
        </w:tc>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22 holdings</w:t>
            </w:r>
          </w:p>
        </w:tc>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25+ years</w:t>
            </w:r>
          </w:p>
        </w:tc>
        <w:tc>
          <w:tcPr>
            <w:tcW w:type="dxa" w:w="29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Tax-relieved pension compounding</w:t>
            </w:r>
          </w:p>
        </w:tc>
      </w:tr>
      <w:tr>
        <w:tc>
          <w:tcPr>
            <w:tcW w:type="dxa" w:w="13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GIA Portfolio</w:t>
            </w:r>
          </w:p>
        </w:tc>
        <w:tc>
          <w:tcPr>
            <w:tcW w:type="dxa" w:w="11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The Rocket Ship</w:t>
            </w:r>
          </w:p>
        </w:tc>
        <w:tc>
          <w:tcPr>
            <w:tcW w:type="dxa" w:w="7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GIA</w:t>
            </w:r>
          </w:p>
        </w:tc>
        <w:tc>
          <w:tcPr>
            <w:tcW w:type="dxa" w:w="8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£10,000</w:t>
            </w:r>
          </w:p>
        </w:tc>
        <w:tc>
          <w:tcPr>
            <w:tcW w:type="dxa" w:w="9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12 holdings</w:t>
            </w:r>
          </w:p>
        </w:tc>
        <w:tc>
          <w:tcPr>
            <w:tcW w:type="dxa" w:w="9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5–10 years</w:t>
            </w:r>
          </w:p>
        </w:tc>
        <w:tc>
          <w:tcPr>
            <w:tcW w:type="dxa" w:w="2978"/>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Aggressive US tech &amp; defence</w:t>
            </w:r>
          </w:p>
        </w:tc>
      </w:tr>
      <w:tr>
        <w:tc>
          <w:tcPr>
            <w:tcW w:type="dxa" w:w="13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Crypto Portfolio</w:t>
            </w:r>
          </w:p>
        </w:tc>
        <w:tc>
          <w:tcPr>
            <w:tcW w:type="dxa" w:w="11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Digital Arsenal</w:t>
            </w:r>
          </w:p>
        </w:tc>
        <w:tc>
          <w:tcPr>
            <w:tcW w:type="dxa" w:w="7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Exchange</w:t>
            </w:r>
          </w:p>
        </w:tc>
        <w:tc>
          <w:tcPr>
            <w:tcW w:type="dxa" w:w="8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£10,500</w:t>
            </w:r>
          </w:p>
        </w:tc>
        <w:tc>
          <w:tcPr>
            <w:tcW w:type="dxa" w:w="9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10 coins</w:t>
            </w:r>
          </w:p>
        </w:tc>
        <w:tc>
          <w:tcPr>
            <w:tcW w:type="dxa" w:w="900"/>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10 years</w:t>
            </w:r>
          </w:p>
        </w:tc>
        <w:tc>
          <w:tcPr>
            <w:tcW w:type="dxa" w:w="2978"/>
            <w:tcBorders>
              <w:top w:val="single" w:color="E2E8F0" w:sz="1"/>
              <w:left w:val="single" w:color="E2E8F0" w:sz="1"/>
              <w:bottom w:val="single" w:color="E2E8F0" w:sz="1"/>
              <w:right w:val="single" w:color="E2E8F0" w:sz="1"/>
            </w:tcBorders>
            <w:shd w:fill="F3E8FF" w:val="clear"/>
            <w:tcMar>
              <w:top w:type="dxa" w:w="55"/>
              <w:left w:type="dxa" w:w="90"/>
              <w:bottom w:type="dxa" w:w="55"/>
              <w:right w:type="dxa" w:w="90"/>
            </w:tcMar>
          </w:tcPr>
          <w:p>
            <w:r>
              <w:rPr>
                <w:rFonts w:ascii="Arial" w:cs="Arial" w:eastAsia="Arial" w:hAnsi="Arial"/>
                <w:color w:val="333333"/>
                <w:sz w:val="16"/>
                <w:szCs w:val="16"/>
              </w:rPr>
              <w:t xml:space="preserve">Layer 1 conviction + utility</w:t>
            </w:r>
          </w:p>
        </w:tc>
      </w:tr>
      <w:tr>
        <w:tc>
          <w:tcPr>
            <w:tcW w:type="dxa" w:w="13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Critical Minerals</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The War Chest</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Hybrid</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£14,300</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20 holdings</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25 years</w:t>
            </w:r>
          </w:p>
        </w:tc>
        <w:tc>
          <w:tcPr>
            <w:tcW w:type="dxa" w:w="29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AI + energy infrastructure metals</w:t>
            </w:r>
          </w:p>
        </w:tc>
      </w:tr>
      <w:tr>
        <w:tc>
          <w:tcPr>
            <w:tcW w:type="dxa" w:w="13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Get Rich Quick</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Chaos Portfolio</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GIA</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£6,300</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29 bets</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2–10 years</w:t>
            </w:r>
          </w:p>
        </w:tc>
        <w:tc>
          <w:tcPr>
            <w:tcW w:type="dxa" w:w="29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Asymmetric geopolitical catalysts</w:t>
            </w:r>
          </w:p>
        </w:tc>
      </w:tr>
      <w:tr>
        <w:tc>
          <w:tcPr>
            <w:tcW w:type="dxa" w:w="13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Moonshot Analysis</w:t>
            </w:r>
          </w:p>
        </w:tc>
        <w:tc>
          <w:tcPr>
            <w:tcW w:type="dxa" w:w="11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Full Catalyst</w:t>
            </w:r>
          </w:p>
        </w:tc>
        <w:tc>
          <w:tcPr>
            <w:tcW w:type="dxa" w:w="7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GIA</w:t>
            </w:r>
          </w:p>
        </w:tc>
        <w:tc>
          <w:tcPr>
            <w:tcW w:type="dxa" w:w="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£5,700</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29 bets</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2–10 years</w:t>
            </w:r>
          </w:p>
        </w:tc>
        <w:tc>
          <w:tcPr>
            <w:tcW w:type="dxa" w:w="29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Maximum upside scenario mapping</w:t>
            </w:r>
          </w:p>
        </w:tc>
      </w:tr>
      <w:tr>
        <w:tc>
          <w:tcPr>
            <w:tcW w:type="dxa" w:w="13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Commodity DD</w:t>
            </w:r>
          </w:p>
        </w:tc>
        <w:tc>
          <w:tcPr>
            <w:tcW w:type="dxa" w:w="11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14 Commodities</w:t>
            </w:r>
          </w:p>
        </w:tc>
        <w:tc>
          <w:tcPr>
            <w:tcW w:type="dxa" w:w="7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Research</w:t>
            </w:r>
          </w:p>
        </w:tc>
        <w:tc>
          <w:tcPr>
            <w:tcW w:type="dxa" w:w="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14 tracked</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Rolling</w:t>
            </w:r>
          </w:p>
        </w:tc>
        <w:tc>
          <w:tcPr>
            <w:tcW w:type="dxa" w:w="29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Entry timing &amp; structural analysis</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0A1628"/>
          <w:sz w:val="26"/>
          <w:szCs w:val="26"/>
        </w:rPr>
        <w:t xml:space="preserve">Total Capital Under Strategy: £76,872</w:t>
      </w:r>
    </w:p>
    <w:p>
      <w:r>
        <w:br w:type="page"/>
      </w:r>
    </w:p>
    <w:p>
      <w:pPr>
        <w:pStyle w:val="Heading1"/>
      </w:pPr>
      <w:r>
        <w:rPr>
          <w:rFonts w:ascii="Arial" w:cs="Arial" w:eastAsia="Arial" w:hAnsi="Arial"/>
        </w:rPr>
        <w:t xml:space="preserve">3. Immediate Actions: Existing Oil Portfolio Sell/Hold/Buy</w:t>
      </w:r>
    </w:p>
    <w:p>
      <w:pPr>
        <w:spacing w:after="120"/>
        <w:jc w:val="left"/>
      </w:pPr>
      <w:r>
        <w:rPr>
          <w:rFonts w:ascii="Arial" w:cs="Arial" w:eastAsia="Arial" w:hAnsi="Arial"/>
          <w:b w:val="false"/>
          <w:bCs w:val="false"/>
          <w:i w:val="false"/>
          <w:iCs w:val="false"/>
          <w:color w:val="333333"/>
          <w:sz w:val="22"/>
          <w:szCs w:val="22"/>
        </w:rPr>
        <w:t xml:space="preserve">Based on comprehensive due diligence across all 19 existing oil holdings as of March 22, 2026, with Brent at $107–113/bbl. Actions are colour-coded: green = hold/buy, amber = trim/monitor, red = sell.</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SELL NOW — EXIT IMMEDIATELY</w:t>
      </w:r>
    </w:p>
    <w:tbl>
      <w:tblPr>
        <w:tblW w:type="dxa" w:w="9678"/>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600"/>
        <w:gridCol w:w="800"/>
        <w:gridCol w:w="5678"/>
        <w:gridCol w:w="1000"/>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Company</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Value</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Day Change</w:t>
            </w:r>
          </w:p>
        </w:tc>
        <w:tc>
          <w:tcPr>
            <w:tcW w:type="dxa" w:w="56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Reason</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Action</w:t>
            </w:r>
          </w:p>
        </w:tc>
      </w:tr>
      <w:tr>
        <w:tc>
          <w:tcPr>
            <w:tcW w:type="dxa" w:w="6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SNDA</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Sunda Energy</w:t>
            </w:r>
          </w:p>
        </w:tc>
        <w:tc>
          <w:tcPr>
            <w:tcW w:type="dxa" w:w="6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£8.17</w:t>
            </w:r>
          </w:p>
        </w:tc>
        <w:tc>
          <w:tcPr>
            <w:tcW w:type="dxa" w:w="8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−18.57%</w:t>
            </w:r>
          </w:p>
        </w:tc>
        <w:tc>
          <w:tcPr>
            <w:tcW w:type="dxa" w:w="56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Structural collapse. 0.03p/share, 31B shares outstanding. Fell 18.57% with no news — liquidity crisis signal. −46% annual.</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EXIT IMMEDIATELY</w:t>
            </w:r>
          </w:p>
        </w:tc>
      </w:tr>
      <w:tr>
        <w:tc>
          <w:tcPr>
            <w:tcW w:type="dxa" w:w="6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AEX</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Aminex</w:t>
            </w:r>
          </w:p>
        </w:tc>
        <w:tc>
          <w:tcPr>
            <w:tcW w:type="dxa" w:w="6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£18.66</w:t>
            </w:r>
          </w:p>
        </w:tc>
        <w:tc>
          <w:tcPr>
            <w:tcW w:type="dxa" w:w="8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−5.78%</w:t>
            </w:r>
          </w:p>
        </w:tc>
        <w:tc>
          <w:tcPr>
            <w:tcW w:type="dxa" w:w="56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Falling 6% on a day Brent is $94+ is a serious divergence. Tanzania operational delays. No catalyst.</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SELL — REDEPLOY</w:t>
            </w:r>
          </w:p>
        </w:tc>
      </w:tr>
      <w:tr>
        <w:tc>
          <w:tcPr>
            <w:tcW w:type="dxa" w:w="6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IMPP</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Imperial Petroleum</w:t>
            </w:r>
          </w:p>
        </w:tc>
        <w:tc>
          <w:tcPr>
            <w:tcW w:type="dxa" w:w="6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£11.84</w:t>
            </w:r>
          </w:p>
        </w:tc>
        <w:tc>
          <w:tcPr>
            <w:tcW w:type="dxa" w:w="8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−0.18%</w:t>
            </w:r>
          </w:p>
        </w:tc>
        <w:tc>
          <w:tcPr>
            <w:tcW w:type="dxa" w:w="56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Tanker/shipping stock — doesn’t belong in an E&amp;P portfolio thesis. Flat on a massive oil day.</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SELL — MISFIT</w:t>
            </w:r>
          </w:p>
        </w:tc>
      </w:tr>
      <w:tr>
        <w:tc>
          <w:tcPr>
            <w:tcW w:type="dxa" w:w="6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KOD</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Kodal Minerals</w:t>
            </w:r>
          </w:p>
        </w:tc>
        <w:tc>
          <w:tcPr>
            <w:tcW w:type="dxa" w:w="6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£9.88</w:t>
            </w:r>
          </w:p>
        </w:tc>
        <w:tc>
          <w:tcPr>
            <w:tcW w:type="dxa" w:w="8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−5.63%</w:t>
            </w:r>
          </w:p>
        </w:tc>
        <w:tc>
          <w:tcPr>
            <w:tcW w:type="dxa" w:w="56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Primarily a lithium miner in Mali, NOT oil &amp; gas. Down 5.63% while oil surges. Wrong asset class.</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SELL — WRONG SECTOR</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TRIM / EXIT SMALL POSITIONS</w:t>
      </w:r>
    </w:p>
    <w:tbl>
      <w:tblPr>
        <w:tblW w:type="dxa" w:w="9678"/>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600"/>
        <w:gridCol w:w="800"/>
        <w:gridCol w:w="5678"/>
        <w:gridCol w:w="1000"/>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Company</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Value</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Day Change</w:t>
            </w:r>
          </w:p>
        </w:tc>
        <w:tc>
          <w:tcPr>
            <w:tcW w:type="dxa" w:w="56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Reason</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Action</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KOS</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Kosmos Energy</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£12.43</w:t>
            </w:r>
          </w:p>
        </w:tc>
        <w:tc>
          <w:tcPr>
            <w:tcW w:type="dxa" w:w="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+24.09%</w:t>
            </w:r>
          </w:p>
        </w:tc>
        <w:tc>
          <w:tcPr>
            <w:tcW w:type="dxa" w:w="5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Up 24% in a single day. 134% YTD. Take 50% off the table — bank profit, let half ride. Debt burden (5.74x D/E) means gains can reverse.</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TRIM 50%</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BP</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BP plc</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£11.61</w:t>
            </w:r>
          </w:p>
        </w:tc>
        <w:tc>
          <w:tcPr>
            <w:tcW w:type="dxa" w:w="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+8.30%</w:t>
            </w:r>
          </w:p>
        </w:tc>
        <w:tc>
          <w:tcPr>
            <w:tcW w:type="dxa" w:w="5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Only 2 shares. Token position adds nothing. Consolidate into higher-conviction names.</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SELL — TOO SMALL</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APC</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Arko Petroleum</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£19.73</w:t>
            </w:r>
          </w:p>
        </w:tc>
        <w:tc>
          <w:tcPr>
            <w:tcW w:type="dxa" w:w="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−0.20%</w:t>
            </w:r>
          </w:p>
        </w:tc>
        <w:tc>
          <w:tcPr>
            <w:tcW w:type="dxa" w:w="5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Flat on a huge oil day — underperforming peers. Only 1.44 shares. Too small to matter.</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SELL — LAGGING</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HOLD CORE — STRONG CONVICTION THROUGH CATALYSTS</w:t>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600"/>
        <w:gridCol w:w="800"/>
        <w:gridCol w:w="4678"/>
        <w:gridCol w:w="1000"/>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Company</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Value</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Day Change</w:t>
            </w:r>
          </w:p>
        </w:tc>
        <w:tc>
          <w:tcPr>
            <w:tcW w:type="dxa" w:w="46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Key Catalyst</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Action</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AET</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Afentra</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£22.02</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+12.06%</w:t>
            </w:r>
          </w:p>
        </w:tc>
        <w:tc>
          <w:tcPr>
            <w:tcW w:type="dxa" w:w="4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Live strategic review. Jefferies appointed. Takeover bid expected May–Jun.</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DO NOT SELL</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GKP</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Gulf Keystone</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£11.60</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+17.41%</w:t>
            </w:r>
          </w:p>
        </w:tc>
        <w:tc>
          <w:tcPr>
            <w:tcW w:type="dxa" w:w="4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Debt-free, $89M cash. Dividend Apr 27. Restart catalyst.</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HOLD FIRMLY</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RKH</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Rockhopper</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£8.60</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+9.86%</w:t>
            </w:r>
          </w:p>
        </w:tc>
        <w:tc>
          <w:tcPr>
            <w:tcW w:type="dxa" w:w="4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Sea Lion FID Dec 2025. Financial close done. Analyst target 97–113p.</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HOLD</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ECO</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Eco Atlantic</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£10.66</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+8.29%</w:t>
            </w:r>
          </w:p>
        </w:tc>
        <w:tc>
          <w:tcPr>
            <w:tcW w:type="dxa" w:w="4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Namibia + Guyana. Malcy Bucket List. Farm-out catalyst.</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HOLD</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JSE</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Jadestone Energy</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£10.46</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+4.86%</w:t>
            </w:r>
          </w:p>
        </w:tc>
        <w:tc>
          <w:tcPr>
            <w:tcW w:type="dxa" w:w="4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94% upside to target. Vietnam FDP. PM323 drilling Q2.</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HOLD</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PBR</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Petrobras ADR</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£20.57</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+3.95%</w:t>
            </w:r>
          </w:p>
        </w:tc>
        <w:tc>
          <w:tcPr>
            <w:tcW w:type="dxa" w:w="4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Brazil deepwater giant. Strong dividend. Income play.</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HOLD</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PTAL</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PetroTal</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£10.12</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+0.85%</w:t>
            </w:r>
          </w:p>
        </w:tc>
        <w:tc>
          <w:tcPr>
            <w:tcW w:type="dxa" w:w="4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Malcy Bucket List. Peru free cash flow generator.</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HOLD</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STAR</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Star Energy</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£10.60</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+6.87%</w:t>
            </w:r>
          </w:p>
        </w:tc>
        <w:tc>
          <w:tcPr>
            <w:tcW w:type="dxa" w:w="4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UK onshore. Oil price tailwind.</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HOLD</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HOLD SPECULATIVE — SMALL POSITIONS, WATCH CATALYSTS</w:t>
      </w:r>
    </w:p>
    <w:tbl>
      <w:tblPr>
        <w:tblW w:type="dxa" w:w="9678"/>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600"/>
        <w:gridCol w:w="800"/>
        <w:gridCol w:w="5678"/>
        <w:gridCol w:w="900"/>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1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Company</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Value</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Day Change</w:t>
            </w:r>
          </w:p>
        </w:tc>
        <w:tc>
          <w:tcPr>
            <w:tcW w:type="dxa" w:w="56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Key Catalyst</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Action</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PANR</w:t>
            </w:r>
          </w:p>
        </w:tc>
        <w:tc>
          <w:tcPr>
            <w:tcW w:type="dxa" w:w="11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Pantheon Resources</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£8.60</w:t>
            </w:r>
          </w:p>
        </w:tc>
        <w:tc>
          <w:tcPr>
            <w:tcW w:type="dxa" w:w="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−14.64%</w:t>
            </w:r>
          </w:p>
        </w:tc>
        <w:tc>
          <w:tcPr>
            <w:tcW w:type="dxa" w:w="5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New management. Dubhe-1 flow test + farm-in = make or break. 200% upside to 30p target if Alaska delivers.</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HOLD 90 SHARES</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BOR</w:t>
            </w:r>
          </w:p>
        </w:tc>
        <w:tc>
          <w:tcPr>
            <w:tcW w:type="dxa" w:w="11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Borders &amp; Southern</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£9.31</w:t>
            </w:r>
          </w:p>
        </w:tc>
        <w:tc>
          <w:tcPr>
            <w:tcW w:type="dxa" w:w="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−6.41%</w:t>
            </w:r>
          </w:p>
        </w:tc>
        <w:tc>
          <w:tcPr>
            <w:tcW w:type="dxa" w:w="5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Darwin 46–49° API condensate. Cash to mid-2026 only. Farm-in = explosive. Binary.</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HOLD 96 SHARES</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88E</w:t>
            </w:r>
          </w:p>
        </w:tc>
        <w:tc>
          <w:tcPr>
            <w:tcW w:type="dxa" w:w="11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88 Energy</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£9.25</w:t>
            </w:r>
          </w:p>
        </w:tc>
        <w:tc>
          <w:tcPr>
            <w:tcW w:type="dxa" w:w="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−7.50%</w:t>
            </w:r>
          </w:p>
        </w:tc>
        <w:tc>
          <w:tcPr>
            <w:tcW w:type="dxa" w:w="5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Pre-production Alaska. 35,634 acres. Pure lottery ticket.</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HOLD 500 SHARES</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PXEN</w:t>
            </w:r>
          </w:p>
        </w:tc>
        <w:tc>
          <w:tcPr>
            <w:tcW w:type="dxa" w:w="11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Prospex Energy</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£9.76</w:t>
            </w:r>
          </w:p>
        </w:tc>
        <w:tc>
          <w:tcPr>
            <w:tcW w:type="dxa" w:w="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−2.42%</w:t>
            </w:r>
          </w:p>
        </w:tc>
        <w:tc>
          <w:tcPr>
            <w:tcW w:type="dxa" w:w="5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European gas. Small position. First to cut if capital needed.</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MONITOR</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0A1628"/>
          <w:sz w:val="22"/>
          <w:szCs w:val="22"/>
        </w:rPr>
        <w:t xml:space="preserve">Estimated Capital Freed by Sells/Trims: </w:t>
      </w:r>
      <w:r>
        <w:rPr>
          <w:rFonts w:ascii="Arial" w:cs="Arial" w:eastAsia="Arial" w:hAnsi="Arial"/>
          <w:b w:val="false"/>
          <w:bCs w:val="false"/>
          <w:i w:val="false"/>
          <w:iCs w:val="false"/>
          <w:color w:val="333333"/>
          <w:sz w:val="22"/>
          <w:szCs w:val="22"/>
        </w:rPr>
        <w:t xml:space="preserve">£30–50 in realised cash (small position sizes). The primary benefit is portfolio clarity and psychological focus on highest-conviction names rather than significant capital redeployment.</w:t>
      </w:r>
    </w:p>
    <w:p>
      <w:r>
        <w:br w:type="page"/>
      </w:r>
    </w:p>
    <w:p>
      <w:pPr>
        <w:pStyle w:val="Heading1"/>
      </w:pPr>
      <w:r>
        <w:rPr>
          <w:rFonts w:ascii="Arial" w:cs="Arial" w:eastAsia="Arial" w:hAnsi="Arial"/>
        </w:rPr>
        <w:t xml:space="preserve">4. Oil &amp; Gas Deep Due Diligence — 13 Companies</w:t>
      </w:r>
    </w:p>
    <w:p>
      <w:pPr>
        <w:spacing w:after="120"/>
        <w:jc w:val="left"/>
      </w:pPr>
      <w:r>
        <w:rPr>
          <w:rFonts w:ascii="Arial" w:cs="Arial" w:eastAsia="Arial" w:hAnsi="Arial"/>
          <w:b w:val="false"/>
          <w:bCs w:val="false"/>
          <w:i w:val="false"/>
          <w:iCs w:val="false"/>
          <w:color w:val="333333"/>
          <w:sz w:val="22"/>
          <w:szCs w:val="22"/>
        </w:rPr>
        <w:t xml:space="preserve">The oil portfolio spans West Africa, Kurdistan, South America, Southeast Asia, and the Falkland Islands. Each position is assessed across crude grade quality, JV partners, wholesale customers, and catalyst timeline.</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MARKET CONTEXT — MARCH 2026 (UPDATED)</w:t>
      </w:r>
    </w:p>
    <w:p>
      <w:pPr>
        <w:spacing w:after="120"/>
        <w:jc w:val="left"/>
      </w:pPr>
      <w:r>
        <w:rPr>
          <w:rFonts w:ascii="Arial" w:cs="Arial" w:eastAsia="Arial" w:hAnsi="Arial"/>
          <w:b/>
          <w:bCs/>
          <w:i w:val="false"/>
          <w:iCs w:val="false"/>
          <w:color w:val="DC2626"/>
          <w:sz w:val="22"/>
          <w:szCs w:val="22"/>
        </w:rPr>
        <w:t xml:space="preserve">Critical Update: </w:t>
      </w:r>
      <w:r>
        <w:rPr>
          <w:rFonts w:ascii="Arial" w:cs="Arial" w:eastAsia="Arial" w:hAnsi="Arial"/>
          <w:b w:val="false"/>
          <w:bCs w:val="false"/>
          <w:i w:val="false"/>
          <w:iCs w:val="false"/>
          <w:color w:val="333333"/>
          <w:sz w:val="22"/>
          <w:szCs w:val="22"/>
        </w:rPr>
        <w:t xml:space="preserve">Oil has moved significantly since the strategy was initiated. Brent surged from ~$60/bbl (Jan 2026) to $94/bbl (Mar 19) to $107–113/bbl (Mar 22) following Israel’s attack on South Pars and Iran’s counter-attack on Ras Laffan. UK natural gas (UKNG) rose 37% and TTF European gas rose 31% overnight. This changes all valuation models materially.</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0A1628"/>
          <w:sz w:val="22"/>
          <w:szCs w:val="22"/>
        </w:rPr>
        <w:t xml:space="preserve">Russia–Ukraine Precedent: </w:t>
      </w:r>
      <w:r>
        <w:rPr>
          <w:rFonts w:ascii="Arial" w:cs="Arial" w:eastAsia="Arial" w:hAnsi="Arial"/>
          <w:b w:val="false"/>
          <w:bCs w:val="false"/>
          <w:i w:val="false"/>
          <w:iCs w:val="false"/>
          <w:color w:val="333333"/>
          <w:sz w:val="22"/>
          <w:szCs w:val="22"/>
        </w:rPr>
        <w:t xml:space="preserve">Brent surged 56.33% ($41.49) to $127.98/bbl peak. AIM oil stocks gained 80–130% over 6–8 weeks. Current spike from $60 to $113 = +88%, already exceeding the Ukraine percentage move. Analysts warn of $150/bbl if Hormuz remains closed.</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13-COMPANY SUMMARY MATRIX</w:t>
      </w:r>
    </w:p>
    <w:tbl>
      <w:tblPr>
        <w:tblW w:type="dxa" w:w="6250"/>
        <w:tblBorders>
          <w:top w:val="single" w:color="auto" w:sz="4"/>
          <w:left w:val="single" w:color="auto" w:sz="4"/>
          <w:bottom w:val="single" w:color="auto" w:sz="4"/>
          <w:right w:val="single" w:color="auto" w:sz="4"/>
          <w:insideH w:val="single" w:color="auto" w:sz="4"/>
          <w:insideV w:val="single" w:color="auto" w:sz="4"/>
        </w:tblBorders>
      </w:tblPr>
      <w:tblGrid>
        <w:gridCol w:w="550"/>
        <w:gridCol w:w="900"/>
        <w:gridCol w:w="1050"/>
        <w:gridCol w:w="1200"/>
        <w:gridCol w:w="900"/>
        <w:gridCol w:w="650"/>
        <w:gridCol w:w="1000"/>
      </w:tblGrid>
      <w:tr>
        <w:trPr>
          <w:tblHeader/>
        </w:trPr>
        <w:tc>
          <w:tcPr>
            <w:tcW w:type="dxa" w:w="55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Company</w:t>
            </w:r>
          </w:p>
        </w:tc>
        <w:tc>
          <w:tcPr>
            <w:tcW w:type="dxa" w:w="105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Region</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Crude Grade</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Production</w:t>
            </w:r>
          </w:p>
        </w:tc>
        <w:tc>
          <w:tcPr>
            <w:tcW w:type="dxa" w:w="65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Conviction</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Action</w:t>
            </w:r>
          </w:p>
        </w:tc>
      </w:tr>
      <w:tr>
        <w:tc>
          <w:tcPr>
            <w:tcW w:type="dxa" w:w="5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AET</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Afentra plc</w:t>
            </w:r>
          </w:p>
        </w:tc>
        <w:tc>
          <w:tcPr>
            <w:tcW w:type="dxa" w:w="10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Angola</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Palanca 28–32° API</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~6,324 bopd</w:t>
            </w:r>
          </w:p>
        </w:tc>
        <w:tc>
          <w:tcPr>
            <w:tcW w:type="dxa" w:w="6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9/10</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STRONG BUY</w:t>
            </w:r>
          </w:p>
        </w:tc>
      </w:tr>
      <w:tr>
        <w:tc>
          <w:tcPr>
            <w:tcW w:type="dxa" w:w="5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KOS</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Kosmos Energy</w:t>
            </w:r>
          </w:p>
        </w:tc>
        <w:tc>
          <w:tcPr>
            <w:tcW w:type="dxa" w:w="10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Ghana / Mauritania</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Jubilee 37° + LNG</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&gt;70,000 boe/d</w:t>
            </w:r>
          </w:p>
        </w:tc>
        <w:tc>
          <w:tcPr>
            <w:tcW w:type="dxa" w:w="6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7/10</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BUY (trim spike)</w:t>
            </w:r>
          </w:p>
        </w:tc>
      </w:tr>
      <w:tr>
        <w:tc>
          <w:tcPr>
            <w:tcW w:type="dxa" w:w="55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GKP</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Gulf Keystone</w:t>
            </w:r>
          </w:p>
        </w:tc>
        <w:tc>
          <w:tcPr>
            <w:tcW w:type="dxa" w:w="105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Kurdistan</w:t>
            </w:r>
          </w:p>
        </w:tc>
        <w:tc>
          <w:tcPr>
            <w:tcW w:type="dxa" w:w="1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Shaikan 35° API</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41,560 bopd</w:t>
            </w:r>
          </w:p>
        </w:tc>
        <w:tc>
          <w:tcPr>
            <w:tcW w:type="dxa" w:w="65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7/10</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HOLD (restart)</w:t>
            </w:r>
          </w:p>
        </w:tc>
      </w:tr>
      <w:tr>
        <w:tc>
          <w:tcPr>
            <w:tcW w:type="dxa" w:w="55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ECO</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Eco Atlantic</w:t>
            </w:r>
          </w:p>
        </w:tc>
        <w:tc>
          <w:tcPr>
            <w:tcW w:type="dxa" w:w="105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Namibia / Guyana</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Explorer</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Nil</w:t>
            </w:r>
          </w:p>
        </w:tc>
        <w:tc>
          <w:tcPr>
            <w:tcW w:type="dxa" w:w="65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6/10</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HOLD (farm-out)</w:t>
            </w:r>
          </w:p>
        </w:tc>
      </w:tr>
      <w:tr>
        <w:tc>
          <w:tcPr>
            <w:tcW w:type="dxa" w:w="55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RKH</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Rockhopper</w:t>
            </w:r>
          </w:p>
        </w:tc>
        <w:tc>
          <w:tcPr>
            <w:tcW w:type="dxa" w:w="105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Falkland Islands</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Sea Lion 32° API</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Nil (FID done)</w:t>
            </w:r>
          </w:p>
        </w:tc>
        <w:tc>
          <w:tcPr>
            <w:tcW w:type="dxa" w:w="65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6/10</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HOLD</w:t>
            </w:r>
          </w:p>
        </w:tc>
      </w:tr>
      <w:tr>
        <w:tc>
          <w:tcPr>
            <w:tcW w:type="dxa" w:w="5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JSE</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Jadestone Energy</w:t>
            </w:r>
          </w:p>
        </w:tc>
        <w:tc>
          <w:tcPr>
            <w:tcW w:type="dxa" w:w="10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Australia / Malaysia</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Montara 47° API</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~12,000 boe/d</w:t>
            </w:r>
          </w:p>
        </w:tc>
        <w:tc>
          <w:tcPr>
            <w:tcW w:type="dxa" w:w="6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7/10</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STRONG BUY</w:t>
            </w:r>
          </w:p>
        </w:tc>
      </w:tr>
      <w:tr>
        <w:tc>
          <w:tcPr>
            <w:tcW w:type="dxa" w:w="55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STAR</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Star Energy</w:t>
            </w:r>
          </w:p>
        </w:tc>
        <w:tc>
          <w:tcPr>
            <w:tcW w:type="dxa" w:w="105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UK Onshore</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35–40° API</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~2,000 bopd</w:t>
            </w:r>
          </w:p>
        </w:tc>
        <w:tc>
          <w:tcPr>
            <w:tcW w:type="dxa" w:w="65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5/10</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HOLD</w:t>
            </w:r>
          </w:p>
        </w:tc>
      </w:tr>
      <w:tr>
        <w:tc>
          <w:tcPr>
            <w:tcW w:type="dxa" w:w="5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SEPL</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Seplat Energy</w:t>
            </w:r>
          </w:p>
        </w:tc>
        <w:tc>
          <w:tcPr>
            <w:tcW w:type="dxa" w:w="10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Nigeria</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Bonny Light 35°</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~50,000 boepd</w:t>
            </w:r>
          </w:p>
        </w:tc>
        <w:tc>
          <w:tcPr>
            <w:tcW w:type="dxa" w:w="65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7/10</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BUY</w:t>
            </w:r>
          </w:p>
        </w:tc>
      </w:tr>
      <w:tr>
        <w:tc>
          <w:tcPr>
            <w:tcW w:type="dxa" w:w="55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PTAL</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PetroTal</w:t>
            </w:r>
          </w:p>
        </w:tc>
        <w:tc>
          <w:tcPr>
            <w:tcW w:type="dxa" w:w="105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Peru</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Loreto 35–37° API</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~15–18k bopd</w:t>
            </w:r>
          </w:p>
        </w:tc>
        <w:tc>
          <w:tcPr>
            <w:tcW w:type="dxa" w:w="65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6/10</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HOLD</w:t>
            </w:r>
          </w:p>
        </w:tc>
      </w:tr>
      <w:tr>
        <w:tc>
          <w:tcPr>
            <w:tcW w:type="dxa" w:w="55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PBR</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Petrobras ADR</w:t>
            </w:r>
          </w:p>
        </w:tc>
        <w:tc>
          <w:tcPr>
            <w:tcW w:type="dxa" w:w="105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Brazil</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Lula/Buzios 28°</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~2.8M boe/d</w:t>
            </w:r>
          </w:p>
        </w:tc>
        <w:tc>
          <w:tcPr>
            <w:tcW w:type="dxa" w:w="65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6/10</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HOLD (income)</w:t>
            </w:r>
          </w:p>
        </w:tc>
      </w:tr>
      <w:tr>
        <w:tc>
          <w:tcPr>
            <w:tcW w:type="dxa" w:w="55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BOR</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Borders &amp; Southern</w:t>
            </w:r>
          </w:p>
        </w:tc>
        <w:tc>
          <w:tcPr>
            <w:tcW w:type="dxa" w:w="105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Falkland Islands</w:t>
            </w:r>
          </w:p>
        </w:tc>
        <w:tc>
          <w:tcPr>
            <w:tcW w:type="dxa" w:w="1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Darwin 46–49°</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Nil</w:t>
            </w:r>
          </w:p>
        </w:tc>
        <w:tc>
          <w:tcPr>
            <w:tcW w:type="dxa" w:w="65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5/10</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SPEC. HOLD</w:t>
            </w:r>
          </w:p>
        </w:tc>
      </w:tr>
      <w:tr>
        <w:tc>
          <w:tcPr>
            <w:tcW w:type="dxa" w:w="55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PXEN</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Prospex Energy</w:t>
            </w:r>
          </w:p>
        </w:tc>
        <w:tc>
          <w:tcPr>
            <w:tcW w:type="dxa" w:w="105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Spain / Poland</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Dry gas</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Small</w:t>
            </w:r>
          </w:p>
        </w:tc>
        <w:tc>
          <w:tcPr>
            <w:tcW w:type="dxa" w:w="65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4/10</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MONITOR</w:t>
            </w:r>
          </w:p>
        </w:tc>
      </w:tr>
      <w:tr>
        <w:tc>
          <w:tcPr>
            <w:tcW w:type="dxa" w:w="55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AEX</w:t>
            </w:r>
          </w:p>
        </w:tc>
        <w:tc>
          <w:tcPr>
            <w:tcW w:type="dxa" w:w="9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Aminex</w:t>
            </w:r>
          </w:p>
        </w:tc>
        <w:tc>
          <w:tcPr>
            <w:tcW w:type="dxa" w:w="105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Tanzania</w:t>
            </w:r>
          </w:p>
        </w:tc>
        <w:tc>
          <w:tcPr>
            <w:tcW w:type="dxa" w:w="12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Ntorya gas</w:t>
            </w:r>
          </w:p>
        </w:tc>
        <w:tc>
          <w:tcPr>
            <w:tcW w:type="dxa" w:w="9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Nil</w:t>
            </w:r>
          </w:p>
        </w:tc>
        <w:tc>
          <w:tcPr>
            <w:tcW w:type="dxa" w:w="65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3/10</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SELL</w:t>
            </w:r>
          </w:p>
        </w:tc>
      </w:tr>
    </w:tbl>
    <w:p>
      <w:r>
        <w:br w:type="page"/>
      </w:r>
    </w:p>
    <w:p>
      <w:pPr>
        <w:pStyle w:val="Heading1"/>
      </w:pPr>
      <w:r>
        <w:rPr>
          <w:rFonts w:ascii="Arial" w:cs="Arial" w:eastAsia="Arial" w:hAnsi="Arial"/>
        </w:rPr>
        <w:t xml:space="preserve">5. Crude Grade Supply/Demand Analysis</w:t>
      </w:r>
    </w:p>
    <w:p>
      <w:pPr>
        <w:spacing w:after="120"/>
        <w:jc w:val="left"/>
      </w:pPr>
      <w:r>
        <w:rPr>
          <w:rFonts w:ascii="Arial" w:cs="Arial" w:eastAsia="Arial" w:hAnsi="Arial"/>
          <w:b w:val="false"/>
          <w:bCs w:val="false"/>
          <w:i w:val="false"/>
          <w:iCs w:val="false"/>
          <w:color w:val="333333"/>
          <w:sz w:val="22"/>
          <w:szCs w:val="22"/>
        </w:rPr>
        <w:t xml:space="preserve">Each company’s crude is tiered by demand premium, which determines pricing power during the Hormuz disruption. This is the “extreme logic” supply/demand framework.</w:t>
      </w:r>
    </w:p>
    <w:p>
      <w:pPr>
        <w:spacing w:after="120"/>
        <w:jc w:val="left"/>
      </w:pPr>
      <w:r>
        <w:rPr>
          <w:rFonts w:ascii="Arial" w:cs="Arial" w:eastAsia="Arial" w:hAnsi="Arial"/>
          <w:b w:val="false"/>
          <w:bCs w:val="false"/>
          <w:i w:val="false"/>
          <w:iCs w:val="false"/>
          <w:color w:val="333333"/>
          <w:sz w:val="22"/>
          <w:szCs w:val="22"/>
        </w:rPr>
        <w:t xml:space="preserve"/>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500"/>
        <w:gridCol w:w="1000"/>
        <w:gridCol w:w="900"/>
        <w:gridCol w:w="1000"/>
        <w:gridCol w:w="3278"/>
      </w:tblGrid>
      <w:tr>
        <w:trPr>
          <w:tblHeader/>
        </w:trPr>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Tier</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Crude Grade</w:t>
            </w:r>
          </w:p>
        </w:tc>
        <w:tc>
          <w:tcPr>
            <w:tcW w:type="dxa" w:w="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API / Sulphur</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Brent Premium</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Price at $113 Oil</w:t>
            </w:r>
          </w:p>
        </w:tc>
        <w:tc>
          <w:tcPr>
            <w:tcW w:type="dxa" w:w="32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Extreme Demand Scenario</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 — MAXIMUM</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Bonny Light</w:t>
            </w:r>
          </w:p>
        </w:tc>
        <w:tc>
          <w:tcPr>
            <w:tcW w:type="dxa" w:w="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SEPL</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35° / Ultra-low</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 to +$5</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~$115–120/bbl</w:t>
            </w:r>
          </w:p>
        </w:tc>
        <w:tc>
          <w:tcPr>
            <w:tcW w:type="dxa" w:w="32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World’s most desirable feedstock. Post-Hormuz European buyers pay ANY price.</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 — MAXIMUM</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Montara</w:t>
            </w:r>
          </w:p>
        </w:tc>
        <w:tc>
          <w:tcPr>
            <w:tcW w:type="dxa" w:w="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JSE</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47° / Ultra-low</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 to +$6</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~$116–119/bbl</w:t>
            </w:r>
          </w:p>
        </w:tc>
        <w:tc>
          <w:tcPr>
            <w:tcW w:type="dxa" w:w="32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Condensate-equivalent. Japan/Korea 100% import dependent. Asia premium spikes.</w:t>
            </w:r>
          </w:p>
        </w:tc>
      </w:tr>
      <w:tr>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2 — BRENT EQ.</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Jubilee Blend</w:t>
            </w:r>
          </w:p>
        </w:tc>
        <w:tc>
          <w:tcPr>
            <w:tcW w:type="dxa" w:w="5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KOS</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37° / Very low</w:t>
            </w:r>
          </w:p>
        </w:tc>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Flat to +$2</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~$113–115/bbl</w:t>
            </w:r>
          </w:p>
        </w:tc>
        <w:tc>
          <w:tcPr>
            <w:tcW w:type="dxa" w:w="32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Highest quality West African light sweet. Asia scrambles for non-Hormuz supply.</w:t>
            </w:r>
          </w:p>
        </w:tc>
      </w:tr>
      <w:tr>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2 — BRENT EQ.</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Sea Lion</w:t>
            </w:r>
          </w:p>
        </w:tc>
        <w:tc>
          <w:tcPr>
            <w:tcW w:type="dxa" w:w="5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RKH</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32° / Low</w:t>
            </w:r>
          </w:p>
        </w:tc>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−$1 to flat</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~$112/bbl</w:t>
            </w:r>
          </w:p>
        </w:tc>
        <w:tc>
          <w:tcPr>
            <w:tcW w:type="dxa" w:w="32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Atlantic sweet crude = zero Hormuz risk. UK sovereign territory.</w:t>
            </w:r>
          </w:p>
        </w:tc>
      </w:tr>
      <w:tr>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2 — BRENT EQ.</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Darwin Condensate</w:t>
            </w:r>
          </w:p>
        </w:tc>
        <w:tc>
          <w:tcPr>
            <w:tcW w:type="dxa" w:w="5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BOR</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46–49° / Nil</w:t>
            </w:r>
          </w:p>
        </w:tc>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+$5 to +$10</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~$118–123/bbl equiv</w:t>
            </w:r>
          </w:p>
        </w:tc>
        <w:tc>
          <w:tcPr>
            <w:tcW w:type="dxa" w:w="32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Russian condensate banned. Darwin is perfect European replacement.</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 — DISCOUNT</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Palanca Blend</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AET</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28–32° / Low</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 to −$4</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~$109–111/bbl</w:t>
            </w:r>
          </w:p>
        </w:tc>
        <w:tc>
          <w:tcPr>
            <w:tcW w:type="dxa" w:w="32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Angola = non-sanctioned, Atlantic route. China redirecting from Russia.</w:t>
            </w:r>
          </w:p>
        </w:tc>
      </w:tr>
      <w:tr>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 — DISCOUNT</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Lula/Buzios</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PBR</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28° / Very low</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 to flat</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~$111–113/bbl</w:t>
            </w:r>
          </w:p>
        </w:tc>
        <w:tc>
          <w:tcPr>
            <w:tcW w:type="dxa" w:w="32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World’s lowest breakeven at $30/bbl. Brazil = safe swing supplier.</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 — DISCOUNT</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Loreto Crude</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PTAL</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35–37° / Low</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 to −$15</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~$98–108/bbl</w:t>
            </w:r>
          </w:p>
        </w:tc>
        <w:tc>
          <w:tcPr>
            <w:tcW w:type="dxa" w:w="32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Captive market. Petroperu MUST buy. Pipeline restart = production record.</w:t>
            </w:r>
          </w:p>
        </w:tc>
      </w:tr>
      <w:tr>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4 — GEOPOLITICAL</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Shaikan</w:t>
            </w:r>
          </w:p>
        </w:tc>
        <w:tc>
          <w:tcPr>
            <w:tcW w:type="dxa" w:w="5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GKP</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35° / Low-Med</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−$10 to −$20</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~$93–103/bbl</w:t>
            </w:r>
          </w:p>
        </w:tc>
        <w:tc>
          <w:tcPr>
            <w:tcW w:type="dxa" w:w="32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Discount could REVERSE to premium if Ceyhan = only viable ME export.</w:t>
            </w:r>
          </w:p>
        </w:tc>
      </w:tr>
    </w:tbl>
    <w:p>
      <w:r>
        <w:br w:type="page"/>
      </w:r>
    </w:p>
    <w:p>
      <w:pPr>
        <w:pStyle w:val="Heading1"/>
      </w:pPr>
      <w:r>
        <w:rPr>
          <w:rFonts w:ascii="Arial" w:cs="Arial" w:eastAsia="Arial" w:hAnsi="Arial"/>
        </w:rPr>
        <w:t xml:space="preserve">6. £10,000 Short-Term Oil Spike Allocation Model</w:t>
      </w:r>
    </w:p>
    <w:p>
      <w:pPr>
        <w:spacing w:after="120"/>
        <w:jc w:val="left"/>
      </w:pPr>
      <w:r>
        <w:rPr>
          <w:rFonts w:ascii="Arial" w:cs="Arial" w:eastAsia="Arial" w:hAnsi="Arial"/>
          <w:b w:val="false"/>
          <w:bCs w:val="false"/>
          <w:i w:val="false"/>
          <w:iCs w:val="false"/>
          <w:color w:val="333333"/>
          <w:sz w:val="22"/>
          <w:szCs w:val="22"/>
        </w:rPr>
        <w:t xml:space="preserve">3-month deployment (March–June 2026) to capture the Iran war oil price spike, with systematic exit before Q3 decline. Updated to reflect $107–113/bbl Brent as of March 22.</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ALLOCATION</w:t>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900"/>
        <w:gridCol w:w="1100"/>
        <w:gridCol w:w="1100"/>
        <w:gridCol w:w="1100"/>
        <w:gridCol w:w="2978"/>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Stock</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Allocation</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Entry Price</w:t>
            </w:r>
          </w:p>
        </w:tc>
        <w:tc>
          <w:tcPr>
            <w:tcW w:type="dxa" w:w="11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Crude Grade</w:t>
            </w:r>
          </w:p>
        </w:tc>
        <w:tc>
          <w:tcPr>
            <w:tcW w:type="dxa" w:w="11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Conservative ($110)</w:t>
            </w:r>
          </w:p>
        </w:tc>
        <w:tc>
          <w:tcPr>
            <w:tcW w:type="dxa" w:w="11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Aggressive ($130)</w:t>
            </w:r>
          </w:p>
        </w:tc>
        <w:tc>
          <w:tcPr>
            <w:tcW w:type="dxa" w:w="29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Key Catalyst</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AET</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£4,500 (45%)</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82–87p limit</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Palanca 30° API</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100p (+18%)</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120p (+41%)</w:t>
            </w:r>
          </w:p>
        </w:tc>
        <w:tc>
          <w:tcPr>
            <w:tcW w:type="dxa" w:w="29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Firm takeover bid May–Jun</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GKP</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£2,500 (25%)</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218–228p limit</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Shaikan 35° API</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300p (+36%)</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360p (+64%)</w:t>
            </w:r>
          </w:p>
        </w:tc>
        <w:tc>
          <w:tcPr>
            <w:tcW w:type="dxa" w:w="29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Dividend Apr 27 + restart</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JSE</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£2,000 (20%)</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27–30p limit</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Montara 47° API</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40p (+43%)</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54p (+93%)</w:t>
            </w:r>
          </w:p>
        </w:tc>
        <w:tc>
          <w:tcPr>
            <w:tcW w:type="dxa" w:w="29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Vietnam FDP + Malaysia Q2</w:t>
            </w:r>
          </w:p>
        </w:tc>
      </w:tr>
      <w:tr>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SEPL</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£500 (5%)</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1,380–1,430p</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Bonny Light 35°</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1,850p (+32%)</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2,300p (+64%)</w:t>
            </w:r>
          </w:p>
        </w:tc>
        <w:tc>
          <w:tcPr>
            <w:tcW w:type="dxa" w:w="29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ANOH gas ramp</w:t>
            </w:r>
          </w:p>
        </w:tc>
      </w:tr>
      <w:tr>
        <w:tc>
          <w:tcPr>
            <w:tcW w:type="dxa" w:w="6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CASH</w:t>
            </w:r>
          </w:p>
        </w:tc>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£500 (5%)</w:t>
            </w:r>
          </w:p>
        </w:tc>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w:t>
            </w:r>
          </w:p>
        </w:tc>
        <w:tc>
          <w:tcPr>
            <w:tcW w:type="dxa" w:w="11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w:t>
            </w:r>
          </w:p>
        </w:tc>
        <w:tc>
          <w:tcPr>
            <w:tcW w:type="dxa" w:w="11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w:t>
            </w:r>
          </w:p>
        </w:tc>
        <w:tc>
          <w:tcPr>
            <w:tcW w:type="dxa" w:w="11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w:t>
            </w:r>
          </w:p>
        </w:tc>
        <w:tc>
          <w:tcPr>
            <w:tcW w:type="dxa" w:w="29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Reactive dry powder</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RETURN SCENARIOS</w:t>
      </w:r>
    </w:p>
    <w:tbl>
      <w:tblPr>
        <w:tblW w:type="dxa" w:w="7678"/>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00"/>
        <w:gridCol w:w="1000"/>
        <w:gridCol w:w="1000"/>
        <w:gridCol w:w="1000"/>
        <w:gridCol w:w="1000"/>
        <w:gridCol w:w="778"/>
      </w:tblGrid>
      <w:tr>
        <w:trPr>
          <w:tblHeader/>
        </w:trPr>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Scenario</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Oil Price</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AET</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GKP</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JSE</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SEPL</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Total P&amp;L</w:t>
            </w:r>
          </w:p>
        </w:tc>
        <w:tc>
          <w:tcPr>
            <w:tcW w:type="dxa" w:w="7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Return %</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Conservative</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$110/bbl</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+£1,176</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+£909</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+£857</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+£321</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+£3,519</w:t>
            </w:r>
          </w:p>
        </w:tc>
        <w:tc>
          <w:tcPr>
            <w:tcW w:type="dxa" w:w="7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+37%</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Aggressive</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$130/bbl</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+£2,333</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+£1,590</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+£1,857</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+£964</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+£6,775</w:t>
            </w:r>
          </w:p>
        </w:tc>
        <w:tc>
          <w:tcPr>
            <w:tcW w:type="dxa" w:w="7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+68%</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Moonshot</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$150/bbl</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+£2,912</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+£1,535</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+£1,857</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+£321</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+£6,775</w:t>
            </w:r>
          </w:p>
        </w:tc>
        <w:tc>
          <w:tcPr>
            <w:tcW w:type="dxa" w:w="7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+68%</w:t>
            </w:r>
          </w:p>
        </w:tc>
      </w:tr>
      <w:tr>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Worst Case</w:t>
            </w:r>
          </w:p>
        </w:tc>
        <w:tc>
          <w:tcPr>
            <w:tcW w:type="dxa" w:w="9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$70/bbl + no bid</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−£1,459</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−£693</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−£667</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−£133</w:t>
            </w:r>
          </w:p>
        </w:tc>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−£1,900</w:t>
            </w:r>
          </w:p>
        </w:tc>
        <w:tc>
          <w:tcPr>
            <w:tcW w:type="dxa" w:w="7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−19%</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DC2626"/>
          <w:sz w:val="22"/>
          <w:szCs w:val="22"/>
        </w:rPr>
        <w:t xml:space="preserve">Critical Exit Signal: </w:t>
      </w:r>
      <w:r>
        <w:rPr>
          <w:rFonts w:ascii="Arial" w:cs="Arial" w:eastAsia="Arial" w:hAnsi="Arial"/>
          <w:b w:val="false"/>
          <w:bCs w:val="false"/>
          <w:i w:val="false"/>
          <w:iCs w:val="false"/>
          <w:color w:val="333333"/>
          <w:sz w:val="22"/>
          <w:szCs w:val="22"/>
        </w:rPr>
        <w:t xml:space="preserve">Begin systematic profit-taking by late June 2026. Oil futures for 2027–2028 trade in the high $60s. The EIA forecasts Brent below $80/bbl in Q3. Miss that window and gains reverse — Brent went from $139 (Mar 2022) to $85 (Dec 2022) in the Ukraine precedent.</w:t>
      </w:r>
    </w:p>
    <w:p>
      <w:pPr>
        <w:spacing w:after="120"/>
        <w:jc w:val="left"/>
      </w:pPr>
      <w:r>
        <w:rPr>
          <w:rFonts w:ascii="Arial" w:cs="Arial" w:eastAsia="Arial" w:hAnsi="Arial"/>
          <w:b/>
          <w:bCs/>
          <w:i w:val="false"/>
          <w:iCs w:val="false"/>
          <w:color w:val="0A1628"/>
          <w:sz w:val="22"/>
          <w:szCs w:val="22"/>
        </w:rPr>
        <w:t xml:space="preserve">Risk Tolerance Validation: </w:t>
      </w:r>
      <w:r>
        <w:rPr>
          <w:rFonts w:ascii="Arial" w:cs="Arial" w:eastAsia="Arial" w:hAnsi="Arial"/>
          <w:b w:val="false"/>
          <w:bCs w:val="false"/>
          <w:i w:val="false"/>
          <w:iCs w:val="false"/>
          <w:color w:val="333333"/>
          <w:sz w:val="22"/>
          <w:szCs w:val="22"/>
        </w:rPr>
        <w:t xml:space="preserve">Worst-case loss across the spread is −£1,900, within the stated £2,000 maximum personal loss tolerance. An all-in AET position (£10,000 at 85p, retraced to 62p) would lose −£3,647 — nearly double the tolerance. The spread is definitively the better strategy.</w:t>
      </w:r>
    </w:p>
    <w:p>
      <w:r>
        <w:br w:type="page"/>
      </w:r>
    </w:p>
    <w:p>
      <w:pPr>
        <w:pStyle w:val="Heading1"/>
      </w:pPr>
      <w:r>
        <w:rPr>
          <w:rFonts w:ascii="Arial" w:cs="Arial" w:eastAsia="Arial" w:hAnsi="Arial"/>
        </w:rPr>
        <w:t xml:space="preserve">7. Afentra (AET) — Takeover Deep Dive (Updated to $113/bbl)</w:t>
      </w:r>
    </w:p>
    <w:p>
      <w:pPr>
        <w:spacing w:after="120"/>
        <w:jc w:val="left"/>
      </w:pPr>
      <w:r>
        <w:rPr>
          <w:rFonts w:ascii="Arial" w:cs="Arial" w:eastAsia="Arial" w:hAnsi="Arial"/>
          <w:b w:val="false"/>
          <w:bCs w:val="false"/>
          <w:i w:val="false"/>
          <w:iCs w:val="false"/>
          <w:color w:val="333333"/>
          <w:sz w:val="22"/>
          <w:szCs w:val="22"/>
        </w:rPr>
        <w:t xml:space="preserve">Afentra is the single highest-conviction position across the entire portfolio. Formal strategic review launched March 19, 2026, with Jefferies engaged to identify acquirers for the entire issued share capital.</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CURRENT POSITION (MARCH 22, 2026)</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935"/>
        <w:gridCol w:w="2935"/>
        <w:gridCol w:w="2935"/>
        <w:gridCol w:w="2935"/>
        <w:gridCol w:w="2935"/>
      </w:tblGrid>
      <w:tr>
        <w:tc>
          <w:tcPr>
            <w:tcBorders>
              <w:top w:val="single" w:color="0EA5E9" w:sz="2"/>
              <w:left w:val="single" w:color="E2E8F0" w:sz="1"/>
              <w:bottom w:val="single" w:color="0EA5E9" w:sz="2"/>
              <w:right w:val="single" w:color="E2E8F0" w:sz="1"/>
            </w:tcBorders>
            <w:shd w:fill="E0F2FE"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SHARE PRICE</w:t>
            </w:r>
          </w:p>
          <w:p>
            <w:r>
              <w:rPr>
                <w:rFonts w:ascii="Arial" w:cs="Arial" w:eastAsia="Arial" w:hAnsi="Arial"/>
                <w:b/>
                <w:bCs/>
                <w:color w:val="0A1628"/>
                <w:sz w:val="26"/>
                <w:szCs w:val="26"/>
              </w:rPr>
              <w:t xml:space="preserve">77p</w:t>
            </w:r>
          </w:p>
        </w:tc>
        <w:tc>
          <w:tcPr>
            <w:tcBorders>
              <w:top w:val="single" w:color="0EA5E9" w:sz="2"/>
              <w:left w:val="single" w:color="E2E8F0" w:sz="1"/>
              <w:bottom w:val="single" w:color="0EA5E9" w:sz="2"/>
              <w:right w:val="single" w:color="E2E8F0" w:sz="1"/>
            </w:tcBorders>
            <w:shd w:fill="E0F2FE"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MARKET CAP</w:t>
            </w:r>
          </w:p>
          <w:p>
            <w:r>
              <w:rPr>
                <w:rFonts w:ascii="Arial" w:cs="Arial" w:eastAsia="Arial" w:hAnsi="Arial"/>
                <w:b/>
                <w:bCs/>
                <w:color w:val="0A1628"/>
                <w:sz w:val="26"/>
                <w:szCs w:val="26"/>
              </w:rPr>
              <w:t xml:space="preserve">£174M (~$221M)</w:t>
            </w:r>
          </w:p>
        </w:tc>
        <w:tc>
          <w:tcPr>
            <w:tcBorders>
              <w:top w:val="single" w:color="0EA5E9" w:sz="2"/>
              <w:left w:val="single" w:color="E2E8F0" w:sz="1"/>
              <w:bottom w:val="single" w:color="0EA5E9" w:sz="2"/>
              <w:right w:val="single" w:color="E2E8F0" w:sz="1"/>
            </w:tcBorders>
            <w:shd w:fill="DCFCE7"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NET 2P RESERVES</w:t>
            </w:r>
          </w:p>
          <w:p>
            <w:r>
              <w:rPr>
                <w:rFonts w:ascii="Arial" w:cs="Arial" w:eastAsia="Arial" w:hAnsi="Arial"/>
                <w:b/>
                <w:bCs/>
                <w:color w:val="0A1628"/>
                <w:sz w:val="26"/>
                <w:szCs w:val="26"/>
              </w:rPr>
              <w:t xml:space="preserve">31.9 mmbbl</w:t>
            </w:r>
          </w:p>
        </w:tc>
        <w:tc>
          <w:tcPr>
            <w:tcBorders>
              <w:top w:val="single" w:color="0EA5E9" w:sz="2"/>
              <w:left w:val="single" w:color="E2E8F0" w:sz="1"/>
              <w:bottom w:val="single" w:color="0EA5E9" w:sz="2"/>
              <w:right w:val="single" w:color="E2E8F0" w:sz="1"/>
            </w:tcBorders>
            <w:shd w:fill="DCFCE7"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NET 2C RESOURCES</w:t>
            </w:r>
          </w:p>
          <w:p>
            <w:r>
              <w:rPr>
                <w:rFonts w:ascii="Arial" w:cs="Arial" w:eastAsia="Arial" w:hAnsi="Arial"/>
                <w:b/>
                <w:bCs/>
                <w:color w:val="0A1628"/>
                <w:sz w:val="26"/>
                <w:szCs w:val="26"/>
              </w:rPr>
              <w:t xml:space="preserve">87.3 mmboe (+400%)</w:t>
            </w:r>
          </w:p>
        </w:tc>
        <w:tc>
          <w:tcPr>
            <w:tcBorders>
              <w:top w:val="single" w:color="0EA5E9" w:sz="2"/>
              <w:left w:val="single" w:color="E2E8F0" w:sz="1"/>
              <w:bottom w:val="single" w:color="0EA5E9" w:sz="2"/>
              <w:right w:val="single" w:color="E2E8F0" w:sz="1"/>
            </w:tcBorders>
            <w:shd w:fill="E0F2FE" w:val="clear"/>
            <w:tcMar>
              <w:top w:type="dxa" w:w="100"/>
              <w:left w:type="dxa" w:w="140"/>
              <w:bottom w:type="dxa" w:w="100"/>
              <w:right w:type="dxa" w:w="140"/>
            </w:tcMar>
          </w:tcPr>
          <w:p>
            <w:pPr>
              <w:spacing w:after="40"/>
            </w:pPr>
            <w:r>
              <w:rPr>
                <w:rFonts w:ascii="Arial" w:cs="Arial" w:eastAsia="Arial" w:hAnsi="Arial"/>
                <w:b/>
                <w:bCs/>
                <w:color w:val="64748B"/>
                <w:sz w:val="16"/>
                <w:szCs w:val="16"/>
              </w:rPr>
              <w:t xml:space="preserve">NET PRODUCTION</w:t>
            </w:r>
          </w:p>
          <w:p>
            <w:r>
              <w:rPr>
                <w:rFonts w:ascii="Arial" w:cs="Arial" w:eastAsia="Arial" w:hAnsi="Arial"/>
                <w:b/>
                <w:bCs/>
                <w:color w:val="0A1628"/>
                <w:sz w:val="26"/>
                <w:szCs w:val="26"/>
              </w:rPr>
              <w:t xml:space="preserve">6,324 bopd</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FIVE VALUATION LENSES — UPDATED TO $113/BBL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00"/>
        <w:gridCol w:w="800"/>
      </w:tblGrid>
      <w:tr>
        <w:trPr>
          <w:tblHeader/>
        </w:trPr>
        <w:tc>
          <w:tcPr>
            <w:tcW w:type="dxa" w:w="2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Method</w:t>
            </w:r>
          </w:p>
        </w:tc>
        <w:tc>
          <w:tcPr>
            <w:tcW w:type="dxa" w:w="1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Metric</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Implied Share Price</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Implied EV</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vs Current 77p</w:t>
            </w:r>
          </w:p>
        </w:tc>
      </w:tr>
      <w:tr>
        <w:tc>
          <w:tcPr>
            <w:tcW w:type="dxa" w:w="2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Market Cap (current)</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77p × 226M shares</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77p</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£191M ($243M)</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w:t>
            </w:r>
          </w:p>
        </w:tc>
      </w:tr>
      <w:tr>
        <w:tc>
          <w:tcPr>
            <w:tcW w:type="dxa" w:w="2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EV/2P at $8/bbl</w:t>
            </w:r>
          </w:p>
        </w:tc>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31.9 mmbbl × $8</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~82p</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~$255M</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w:t>
            </w:r>
          </w:p>
        </w:tc>
      </w:tr>
      <w:tr>
        <w:tc>
          <w:tcPr>
            <w:tcW w:type="dxa" w:w="2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EV/2P at $10/bbl</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31.9 mmbbl × $10</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~103p</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~$319M</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+34%</w:t>
            </w:r>
          </w:p>
        </w:tc>
      </w:tr>
      <w:tr>
        <w:tc>
          <w:tcPr>
            <w:tcW w:type="dxa" w:w="22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EV/2P at $12/bbl + 15% risked 2C</w:t>
            </w:r>
          </w:p>
        </w:tc>
        <w:tc>
          <w:tcPr>
            <w:tcW w:type="dxa" w:w="18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31.9 + 13.1 mmbbl</w:t>
            </w:r>
          </w:p>
        </w:tc>
        <w:tc>
          <w:tcPr>
            <w:tcW w:type="dxa" w:w="12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~112p</w:t>
            </w:r>
          </w:p>
        </w:tc>
        <w:tc>
          <w:tcPr>
            <w:tcW w:type="dxa" w:w="12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~$360M</w:t>
            </w:r>
          </w:p>
        </w:tc>
        <w:tc>
          <w:tcPr>
            <w:tcW w:type="dxa" w:w="8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+45%</w:t>
            </w:r>
          </w:p>
        </w:tc>
      </w:tr>
      <w:tr>
        <w:tc>
          <w:tcPr>
            <w:tcW w:type="dxa" w:w="2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EV/2P at $12/bbl + 25% risked 2C</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31.9 + 21.8 mmbbl</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~143p</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~$430M</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+86%</w:t>
            </w:r>
          </w:p>
        </w:tc>
      </w:tr>
      <w:tr>
        <w:tc>
          <w:tcPr>
            <w:tcW w:type="dxa" w:w="2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NPV10 at $94/bbl × 50%</w:t>
            </w:r>
          </w:p>
        </w:tc>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DCF ~$630M</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~110p</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~$315M</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+43%</w:t>
            </w:r>
          </w:p>
        </w:tc>
      </w:tr>
      <w:tr>
        <w:tc>
          <w:tcPr>
            <w:tcW w:type="dxa" w:w="2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NPV10 at $113/bbl × 50% (UPDATED)</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DCF ~$810M</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~142p</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~$405M</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+84%</w:t>
            </w:r>
          </w:p>
        </w:tc>
      </w:tr>
      <w:tr>
        <w:tc>
          <w:tcPr>
            <w:tcW w:type="dxa" w:w="2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NPV10 at $113/bbl × 60% (UPDATED)</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Higher oil = higher DCF</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~170p</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~$486M</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+121%</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UPDATED CASHFLOW AT $113/BBL</w:t>
      </w:r>
    </w:p>
    <w:p>
      <w:pPr>
        <w:spacing w:after="120"/>
        <w:jc w:val="left"/>
      </w:pPr>
      <w:r>
        <w:rPr>
          <w:rFonts w:ascii="Arial" w:cs="Arial" w:eastAsia="Arial" w:hAnsi="Arial"/>
          <w:b w:val="false"/>
          <w:bCs w:val="false"/>
          <w:i w:val="false"/>
          <w:iCs w:val="false"/>
          <w:color w:val="333333"/>
          <w:sz w:val="22"/>
          <w:szCs w:val="22"/>
        </w:rPr>
        <w:t xml:space="preserve">At $113/bbl Brent with $23/bbl opex and Angola’s ~40% fiscal take: Net revenue/bbl = $113 − $23 opex − ~$36 fiscal = ~$54/bbl net. Annual net cashflow = 6,324 bopd × 365 × $54 = ~$124.7M/year. An acquirer paying 100p (£226M) gets payback in under 22 months from current production alone, before the 87.3 mmboe 2C resource base, Block 3/24 development, or workover programme.</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0A1628"/>
          <w:sz w:val="22"/>
          <w:szCs w:val="22"/>
        </w:rPr>
        <w:t xml:space="preserve">Hidden Value: </w:t>
      </w:r>
      <w:r>
        <w:rPr>
          <w:rFonts w:ascii="Arial" w:cs="Arial" w:eastAsia="Arial" w:hAnsi="Arial"/>
          <w:b w:val="false"/>
          <w:bCs w:val="false"/>
          <w:i w:val="false"/>
          <w:iCs w:val="false"/>
          <w:color w:val="333333"/>
          <w:sz w:val="22"/>
          <w:szCs w:val="22"/>
        </w:rPr>
        <w:t xml:space="preserve">The 87.3 mmboe 2C contingent resources are priced at essentially zero by the market. At 15–25% risking, this adds 28–85p per share. The Etu Energias acquisition (Q2 2026 completion) further increases block interests. Sonangol’s decision to exercise pre-emption rights is a vote of confidence that paradoxically strengthens both the standalone case and the acquisition case.</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PROBABILITY-WEIGHTED SCENARIO MAP</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800"/>
        <w:gridCol w:w="1200"/>
        <w:gridCol w:w="1200"/>
      </w:tblGrid>
      <w:tr>
        <w:trPr>
          <w:tblHeader/>
        </w:trPr>
        <w:tc>
          <w:tcPr>
            <w:tcW w:type="dxa" w:w="2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Scenario</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Probability</w:t>
            </w:r>
          </w:p>
        </w:tc>
        <w:tc>
          <w:tcPr>
            <w:tcW w:type="dxa" w:w="1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Price Outcome</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Return from 85p</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Timeframe</w:t>
            </w:r>
          </w:p>
        </w:tc>
      </w:tr>
      <w:tr>
        <w:tc>
          <w:tcPr>
            <w:tcW w:type="dxa" w:w="2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Firm bid 100–110p, recommended</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45%</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Immediate 99–109p</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+18% to +28%</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May–Jun 2026</w:t>
            </w:r>
          </w:p>
        </w:tc>
      </w:tr>
      <w:tr>
        <w:tc>
          <w:tcPr>
            <w:tcW w:type="dxa" w:w="2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Competing bids, final 130–145p</w:t>
            </w:r>
          </w:p>
        </w:tc>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20%</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Auction to 128–143p</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+51% to +68%</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Jun–Aug 2026</w:t>
            </w:r>
          </w:p>
        </w:tc>
      </w:tr>
      <w:tr>
        <w:tc>
          <w:tcPr>
            <w:tcW w:type="dxa" w:w="2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No bid, standalone at $110+ oil</w:t>
            </w:r>
          </w:p>
        </w:tc>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25%</w:t>
            </w:r>
          </w:p>
        </w:tc>
        <w:tc>
          <w:tcPr>
            <w:tcW w:type="dxa" w:w="1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Retraces 60–65p, recovers 85–100p</w:t>
            </w:r>
          </w:p>
        </w:tc>
        <w:tc>
          <w:tcPr>
            <w:tcW w:type="dxa" w:w="1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−29% to +18%</w:t>
            </w:r>
          </w:p>
        </w:tc>
        <w:tc>
          <w:tcPr>
            <w:tcW w:type="dxa" w:w="1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By Q4 2026</w:t>
            </w:r>
          </w:p>
        </w:tc>
      </w:tr>
      <w:tr>
        <w:tc>
          <w:tcPr>
            <w:tcW w:type="dxa" w:w="22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No bid, oil falls to $70</w:t>
            </w:r>
          </w:p>
        </w:tc>
        <w:tc>
          <w:tcPr>
            <w:tcW w:type="dxa" w:w="9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10%</w:t>
            </w:r>
          </w:p>
        </w:tc>
        <w:tc>
          <w:tcPr>
            <w:tcW w:type="dxa" w:w="18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Retraces to 55–60p</w:t>
            </w:r>
          </w:p>
        </w:tc>
        <w:tc>
          <w:tcPr>
            <w:tcW w:type="dxa" w:w="12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−35% to −29%</w:t>
            </w:r>
          </w:p>
        </w:tc>
        <w:tc>
          <w:tcPr>
            <w:tcW w:type="dxa" w:w="12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Q3–Q4 2026</w:t>
            </w:r>
          </w:p>
        </w:tc>
      </w:tr>
    </w:tbl>
    <w:p>
      <w:pPr>
        <w:spacing w:after="120"/>
        <w:jc w:val="left"/>
      </w:pPr>
      <w:r>
        <w:rPr>
          <w:rFonts w:ascii="Arial" w:cs="Arial" w:eastAsia="Arial" w:hAnsi="Arial"/>
          <w:b/>
          <w:bCs/>
          <w:i w:val="false"/>
          <w:iCs w:val="false"/>
          <w:color w:val="16A34A"/>
          <w:sz w:val="22"/>
          <w:szCs w:val="22"/>
        </w:rPr>
        <w:t xml:space="preserve">Expected Value: </w:t>
      </w:r>
      <w:r>
        <w:rPr>
          <w:rFonts w:ascii="Arial" w:cs="Arial" w:eastAsia="Arial" w:hAnsi="Arial"/>
          <w:b w:val="false"/>
          <w:bCs w:val="false"/>
          <w:i w:val="false"/>
          <w:iCs w:val="false"/>
          <w:color w:val="333333"/>
          <w:sz w:val="22"/>
          <w:szCs w:val="22"/>
        </w:rPr>
        <w:t xml:space="preserve">~95–100p across all scenarios. At $113/bbl, the “no bid” scenario is less punishing because operational fundamentals support 80–100p standalone. The downside risk is specifically “no bid AND oil falls to $60” — everything else points upward.</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LIKELY BIDDERS (5 CATEGORIES)</w:t>
      </w:r>
    </w:p>
    <w:p>
      <w:pPr>
        <w:spacing w:after="120"/>
        <w:jc w:val="left"/>
      </w:pPr>
      <w:r>
        <w:rPr>
          <w:rFonts w:ascii="Arial" w:cs="Arial" w:eastAsia="Arial" w:hAnsi="Arial"/>
          <w:b/>
          <w:bCs/>
          <w:i w:val="false"/>
          <w:iCs w:val="false"/>
          <w:color w:val="333333"/>
          <w:sz w:val="22"/>
          <w:szCs w:val="22"/>
        </w:rPr>
        <w:t xml:space="preserve">1. Energy Private Equity (most likely): </w:t>
      </w:r>
      <w:r>
        <w:rPr>
          <w:rFonts w:ascii="Arial" w:cs="Arial" w:eastAsia="Arial" w:hAnsi="Arial"/>
          <w:b w:val="false"/>
          <w:bCs w:val="false"/>
          <w:i w:val="false"/>
          <w:iCs w:val="false"/>
          <w:color w:val="333333"/>
          <w:sz w:val="22"/>
          <w:szCs w:val="22"/>
        </w:rPr>
        <w:t xml:space="preserve">Harbour Energy-type profiles. Sub-2-year payback on current production.</w:t>
      </w:r>
    </w:p>
    <w:p>
      <w:pPr>
        <w:spacing w:after="120"/>
        <w:jc w:val="left"/>
      </w:pPr>
      <w:r>
        <w:rPr>
          <w:rFonts w:ascii="Arial" w:cs="Arial" w:eastAsia="Arial" w:hAnsi="Arial"/>
          <w:b/>
          <w:bCs/>
          <w:i w:val="false"/>
          <w:iCs w:val="false"/>
          <w:color w:val="333333"/>
          <w:sz w:val="22"/>
          <w:szCs w:val="22"/>
        </w:rPr>
        <w:t xml:space="preserve">2. Gulf Sovereign Wealth Funds / NOCs: </w:t>
      </w:r>
      <w:r>
        <w:rPr>
          <w:rFonts w:ascii="Arial" w:cs="Arial" w:eastAsia="Arial" w:hAnsi="Arial"/>
          <w:b w:val="false"/>
          <w:bCs w:val="false"/>
          <w:i w:val="false"/>
          <w:iCs w:val="false"/>
          <w:color w:val="333333"/>
          <w:sz w:val="22"/>
          <w:szCs w:val="22"/>
        </w:rPr>
        <w:t xml:space="preserve">ADNOC, Aramco Ventures, Qatar Energy. $500M Abu Dhabi Africa fund launched Dec 2025.</w:t>
      </w:r>
    </w:p>
    <w:p>
      <w:pPr>
        <w:spacing w:after="120"/>
        <w:jc w:val="left"/>
      </w:pPr>
      <w:r>
        <w:rPr>
          <w:rFonts w:ascii="Arial" w:cs="Arial" w:eastAsia="Arial" w:hAnsi="Arial"/>
          <w:b/>
          <w:bCs/>
          <w:i w:val="false"/>
          <w:iCs w:val="false"/>
          <w:color w:val="333333"/>
          <w:sz w:val="22"/>
          <w:szCs w:val="22"/>
        </w:rPr>
        <w:t xml:space="preserve">3. Sonangol: </w:t>
      </w:r>
      <w:r>
        <w:rPr>
          <w:rFonts w:ascii="Arial" w:cs="Arial" w:eastAsia="Arial" w:hAnsi="Arial"/>
          <w:b w:val="false"/>
          <w:bCs w:val="false"/>
          <w:i w:val="false"/>
          <w:iCs w:val="false"/>
          <w:color w:val="333333"/>
          <w:sz w:val="22"/>
          <w:szCs w:val="22"/>
        </w:rPr>
        <w:t xml:space="preserve">Raised $2.5B in Jan 2026. Already the operator. Full control = strategic logic.</w:t>
      </w:r>
    </w:p>
    <w:p>
      <w:pPr>
        <w:spacing w:after="120"/>
        <w:jc w:val="left"/>
      </w:pPr>
      <w:r>
        <w:rPr>
          <w:rFonts w:ascii="Arial" w:cs="Arial" w:eastAsia="Arial" w:hAnsi="Arial"/>
          <w:b/>
          <w:bCs/>
          <w:i w:val="false"/>
          <w:iCs w:val="false"/>
          <w:color w:val="333333"/>
          <w:sz w:val="22"/>
          <w:szCs w:val="22"/>
        </w:rPr>
        <w:t xml:space="preserve">4. African Independents: </w:t>
      </w:r>
      <w:r>
        <w:rPr>
          <w:rFonts w:ascii="Arial" w:cs="Arial" w:eastAsia="Arial" w:hAnsi="Arial"/>
          <w:b w:val="false"/>
          <w:bCs w:val="false"/>
          <w:i w:val="false"/>
          <w:iCs w:val="false"/>
          <w:color w:val="333333"/>
          <w:sz w:val="22"/>
          <w:szCs w:val="22"/>
        </w:rPr>
        <w:t xml:space="preserve">Maurel &amp; Prom (existing JV partner — knows assets intimately), Savannah, Vaalco.</w:t>
      </w:r>
    </w:p>
    <w:p>
      <w:pPr>
        <w:spacing w:after="120"/>
        <w:jc w:val="left"/>
      </w:pPr>
      <w:r>
        <w:rPr>
          <w:rFonts w:ascii="Arial" w:cs="Arial" w:eastAsia="Arial" w:hAnsi="Arial"/>
          <w:b/>
          <w:bCs/>
          <w:i w:val="false"/>
          <w:iCs w:val="false"/>
          <w:color w:val="333333"/>
          <w:sz w:val="22"/>
          <w:szCs w:val="22"/>
        </w:rPr>
        <w:t xml:space="preserve">5. Trafigura: </w:t>
      </w:r>
      <w:r>
        <w:rPr>
          <w:rFonts w:ascii="Arial" w:cs="Arial" w:eastAsia="Arial" w:hAnsi="Arial"/>
          <w:b w:val="false"/>
          <w:bCs w:val="false"/>
          <w:i w:val="false"/>
          <w:iCs w:val="false"/>
          <w:color w:val="333333"/>
          <w:sz w:val="22"/>
          <w:szCs w:val="22"/>
        </w:rPr>
        <w:t xml:space="preserve">Already RBL lender + offtaker. Acquisition = vertical integration wellhead to delivery.</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TAKEOVER TIMELINE</w:t>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078"/>
      </w:tblGrid>
      <w:tr>
        <w:trPr>
          <w:tblHeader/>
        </w:trPr>
        <w:tc>
          <w:tcPr>
            <w:tcW w:type="dxa" w:w="1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Phase</w:t>
            </w:r>
          </w:p>
        </w:tc>
        <w:tc>
          <w:tcPr>
            <w:tcW w:type="dxa" w:w="1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Date</w:t>
            </w:r>
          </w:p>
        </w:tc>
        <w:tc>
          <w:tcPr>
            <w:tcW w:type="dxa" w:w="50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Event</w:t>
            </w:r>
          </w:p>
        </w:tc>
      </w:tr>
      <w:tr>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 Formal Sale Process</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Mar 19, 2026 (done)</w:t>
            </w:r>
          </w:p>
        </w:tc>
        <w:tc>
          <w:tcPr>
            <w:tcW w:type="dxa" w:w="50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Strategic review announced. Jefferies appointed. Discussions with counterparties underway.</w:t>
            </w:r>
          </w:p>
        </w:tc>
      </w:tr>
      <w:tr>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 Indicative Bids</w:t>
            </w:r>
          </w:p>
        </w:tc>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Mid-April 2026</w:t>
            </w:r>
          </w:p>
        </w:tc>
        <w:tc>
          <w:tcPr>
            <w:tcW w:type="dxa" w:w="50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Shortlisted bidders submit indicative offers.</w:t>
            </w:r>
          </w:p>
        </w:tc>
      </w:tr>
      <w:tr>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 Due Diligence</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May 2026</w:t>
            </w:r>
          </w:p>
        </w:tc>
        <w:tc>
          <w:tcPr>
            <w:tcW w:type="dxa" w:w="50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Preferred bidder conducts detailed due diligence on Angolan assets.</w:t>
            </w:r>
          </w:p>
        </w:tc>
      </w:tr>
      <w:tr>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 Firm Offer (Rule 2.7)</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Late May / June 2026</w:t>
            </w:r>
          </w:p>
        </w:tc>
        <w:tc>
          <w:tcPr>
            <w:tcW w:type="dxa" w:w="50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Acquirer commits publicly. 28-day clock starts.</w:t>
            </w:r>
          </w:p>
        </w:tc>
      </w:tr>
      <w:tr>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5. Shareholder Vote</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Late July / August 2026</w:t>
            </w:r>
          </w:p>
        </w:tc>
        <w:tc>
          <w:tcPr>
            <w:tcW w:type="dxa" w:w="50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Day 60 unconditional date for acceptances.</w:t>
            </w:r>
          </w:p>
        </w:tc>
      </w:tr>
      <w:tr>
        <w:tc>
          <w:tcPr>
            <w:tcW w:type="dxa" w:w="1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6. Angolan Approval</w:t>
            </w:r>
          </w:p>
        </w:tc>
        <w:tc>
          <w:tcPr>
            <w:tcW w:type="dxa" w:w="1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Aug–Sep 2026 (concurrent)</w:t>
            </w:r>
          </w:p>
        </w:tc>
        <w:tc>
          <w:tcPr>
            <w:tcW w:type="dxa" w:w="50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Presidential Decree required. 2–4 months historically.</w:t>
            </w:r>
          </w:p>
        </w:tc>
      </w:tr>
      <w:tr>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7. Legal Completion</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Sep–Oct 2026</w:t>
            </w:r>
          </w:p>
        </w:tc>
        <w:tc>
          <w:tcPr>
            <w:tcW w:type="dxa" w:w="50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Delisting and cash distribution to shareholders.</w:t>
            </w:r>
          </w:p>
        </w:tc>
      </w:tr>
    </w:tbl>
    <w:p>
      <w:r>
        <w:br w:type="page"/>
      </w:r>
    </w:p>
    <w:p>
      <w:pPr>
        <w:pStyle w:val="Heading1"/>
      </w:pPr>
      <w:r>
        <w:rPr>
          <w:rFonts w:ascii="Arial" w:cs="Arial" w:eastAsia="Arial" w:hAnsi="Arial"/>
        </w:rPr>
        <w:t xml:space="preserve">8. ISA Portfolio — “The Aeroplane”</w:t>
      </w:r>
    </w:p>
    <w:p>
      <w:pPr>
        <w:spacing w:after="120"/>
        <w:jc w:val="left"/>
      </w:pPr>
      <w:r>
        <w:rPr>
          <w:rFonts w:ascii="Arial" w:cs="Arial" w:eastAsia="Arial" w:hAnsi="Arial"/>
          <w:b w:val="false"/>
          <w:bCs w:val="false"/>
          <w:i w:val="false"/>
          <w:iCs w:val="false"/>
          <w:color w:val="333333"/>
          <w:sz w:val="22"/>
          <w:szCs w:val="22"/>
        </w:rPr>
        <w:t xml:space="preserve">Budget: £11,500 | Stocks &amp; Shares ISA | Freetrade | 25-year horizon. Tax-free growth via FTSE-listed miners, ETFs, and infrastructure. Dividends reinvested within the ISA wrapper to compound tax-free.</w:t>
      </w:r>
    </w:p>
    <w:p>
      <w:pPr>
        <w:spacing w:after="120"/>
        <w:jc w:val="left"/>
      </w:pPr>
      <w:r>
        <w:rPr>
          <w:rFonts w:ascii="Arial" w:cs="Arial" w:eastAsia="Arial" w:hAnsi="Arial"/>
          <w:b w:val="false"/>
          <w:bCs w:val="false"/>
          <w:i w:val="false"/>
          <w:iCs w:val="false"/>
          <w:color w:val="333333"/>
          <w:sz w:val="22"/>
          <w:szCs w:val="22"/>
        </w:rPr>
        <w:t xml:space="preserve"/>
      </w:r>
    </w:p>
    <w:tbl>
      <w:tblPr>
        <w:tblW w:type="dxa" w:w="7678"/>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00"/>
        <w:gridCol w:w="900"/>
        <w:gridCol w:w="900"/>
        <w:gridCol w:w="500"/>
        <w:gridCol w:w="2878"/>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Holding</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Invested</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Annual Return</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25-Yr Proj.</w:t>
            </w:r>
          </w:p>
        </w:tc>
        <w:tc>
          <w:tcPr>
            <w:tcW w:type="dxa" w:w="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Yield</w:t>
            </w:r>
          </w:p>
        </w:tc>
        <w:tc>
          <w:tcPr>
            <w:tcW w:type="dxa" w:w="28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Role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RIO.L</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Rio Tinto</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£1,500</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8.5%</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£11,530</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~5.5%</w:t>
            </w:r>
          </w:p>
        </w:tc>
        <w:tc>
          <w:tcPr>
            <w:tcW w:type="dxa" w:w="2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Base Builder (Cu, Fe, Al, Li)</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GLEN.L</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Glencore</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£1,500</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10.2%</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£17,007</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~4.8%</w:t>
            </w:r>
          </w:p>
        </w:tc>
        <w:tc>
          <w:tcPr>
            <w:tcW w:type="dxa" w:w="2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The Trader (commodity chaos hedge)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AIAG.L</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L&amp;G AI ETF (Acc)</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£2,000</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18.5%</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£139,312</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Acc.</w:t>
            </w:r>
          </w:p>
        </w:tc>
        <w:tc>
          <w:tcPr>
            <w:tcW w:type="dxa" w:w="2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The Brain (full AI stack)</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FRES.L</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Fresnillo</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12.8%</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£20,311</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~2.5%</w:t>
            </w:r>
          </w:p>
        </w:tc>
        <w:tc>
          <w:tcPr>
            <w:tcW w:type="dxa" w:w="2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Silver Squeeze (5G, solar, cashless)</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ISPY.L</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L&amp;G Cyber Security</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13.9%</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£25,888</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Acc.</w:t>
            </w:r>
          </w:p>
        </w:tc>
        <w:tc>
          <w:tcPr>
            <w:tcW w:type="dxa" w:w="2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Digital Shield</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SVT.L</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Severn Trent</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7.8%</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£6,538</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~4.2%</w:t>
            </w:r>
          </w:p>
        </w:tc>
        <w:tc>
          <w:tcPr>
            <w:tcW w:type="dxa" w:w="2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AI Cooling (data centre water)</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YCA.L</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Yellow Cake</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22.5%</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£159,736</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Spot</w:t>
            </w:r>
          </w:p>
        </w:tc>
        <w:tc>
          <w:tcPr>
            <w:tcW w:type="dxa" w:w="2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Nuclear Fuel (physical uranium)</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THS.L</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Tharisa</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9.5%</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£9,668</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~6.5%</w:t>
            </w:r>
          </w:p>
        </w:tc>
        <w:tc>
          <w:tcPr>
            <w:tcW w:type="dxa" w:w="2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PGM Bridge (Pt, Cr for solar)</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BCHN.L</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Invesco Blockchain</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35.0%</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£1.8M</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Acc.</w:t>
            </w:r>
          </w:p>
        </w:tc>
        <w:tc>
          <w:tcPr>
            <w:tcW w:type="dxa" w:w="2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Crypto Rails</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ALL.L</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Atlantic Lithium</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£500</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Speculative</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£16,459</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N/A</w:t>
            </w:r>
          </w:p>
        </w:tc>
        <w:tc>
          <w:tcPr>
            <w:tcW w:type="dxa" w:w="2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Lithium Scout (Ghana)</w:t>
            </w:r>
          </w:p>
        </w:tc>
      </w:tr>
    </w:tbl>
    <w:p>
      <w:r>
        <w:br w:type="page"/>
      </w:r>
    </w:p>
    <w:p>
      <w:pPr>
        <w:pStyle w:val="Heading1"/>
      </w:pPr>
      <w:r>
        <w:rPr>
          <w:rFonts w:ascii="Arial" w:cs="Arial" w:eastAsia="Arial" w:hAnsi="Arial"/>
        </w:rPr>
        <w:t xml:space="preserve">9. SIPP Portfolio — “The Pension Fortress”</w:t>
      </w:r>
    </w:p>
    <w:p>
      <w:pPr>
        <w:spacing w:after="120"/>
        <w:jc w:val="left"/>
      </w:pPr>
      <w:r>
        <w:rPr>
          <w:rFonts w:ascii="Arial" w:cs="Arial" w:eastAsia="Arial" w:hAnsi="Arial"/>
          <w:b w:val="false"/>
          <w:bCs w:val="false"/>
          <w:i w:val="false"/>
          <w:iCs w:val="false"/>
          <w:color w:val="333333"/>
          <w:sz w:val="22"/>
          <w:szCs w:val="22"/>
        </w:rPr>
        <w:t xml:space="preserve">Budget: £20,372 | Self-Invested Personal Pension | Freetrade | 25+ year horizon. Dual-layered: 16 ETFs for long-term growth compounding with 20–40% tax relief, plus 6 income holdings generating quarterly dividends that reinvest tax-free.</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GROWTH LAYER (16 ETFS)</w:t>
      </w:r>
    </w:p>
    <w:tbl>
      <w:tblPr>
        <w:tblW w:type="dxa" w:w="667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700"/>
        <w:gridCol w:w="600"/>
        <w:gridCol w:w="500"/>
        <w:gridCol w:w="2778"/>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Holding</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Invested</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Return</w:t>
            </w:r>
          </w:p>
        </w:tc>
        <w:tc>
          <w:tcPr>
            <w:tcW w:type="dxa" w:w="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Yield</w:t>
            </w:r>
          </w:p>
        </w:tc>
        <w:tc>
          <w:tcPr>
            <w:tcW w:type="dxa" w:w="27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Role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IGLG</w:t>
            </w:r>
          </w:p>
        </w:tc>
        <w:tc>
          <w:tcPr>
            <w:tcW w:type="dxa" w:w="1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iShares Physical Gold GBP</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£1,015</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9.0%</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N/A</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Gold Shield</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AUCP</w:t>
            </w:r>
          </w:p>
        </w:tc>
        <w:tc>
          <w:tcPr>
            <w:tcW w:type="dxa" w:w="1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Amundi Gold Mining</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£1,012</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11.5%</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~1.5%</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Gold Mining leverage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BATG</w:t>
            </w:r>
          </w:p>
        </w:tc>
        <w:tc>
          <w:tcPr>
            <w:tcW w:type="dxa" w:w="1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L&amp;G Battery Value-Chain</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£1,006</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14.5%</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Acc.</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Full battery chain</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EAIAG</w:t>
            </w:r>
          </w:p>
        </w:tc>
        <w:tc>
          <w:tcPr>
            <w:tcW w:type="dxa" w:w="1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L&amp;G AI ETF</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£993</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20.5%</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Acc.</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AI Core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LGGG</w:t>
            </w:r>
          </w:p>
        </w:tc>
        <w:tc>
          <w:tcPr>
            <w:tcW w:type="dxa" w:w="1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L&amp;G Global Equity</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£988</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11.5%</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~1.6%</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Global diversification</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BCHS</w:t>
            </w:r>
          </w:p>
        </w:tc>
        <w:tc>
          <w:tcPr>
            <w:tcW w:type="dxa" w:w="1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Invesco Blockchain</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£972</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55.0%</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Acc.</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Blockchain Rails</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VWRP</w:t>
            </w:r>
          </w:p>
        </w:tc>
        <w:tc>
          <w:tcPr>
            <w:tcW w:type="dxa" w:w="1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Vanguard All-World</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£969</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11.2%</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~1.7%</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All-World Core</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URNP</w:t>
            </w:r>
          </w:p>
        </w:tc>
        <w:tc>
          <w:tcPr>
            <w:tcW w:type="dxa" w:w="1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Sprott Uranium Miners</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£437</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45.1%</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~0.5%</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Nuclear Renaissance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SMGB</w:t>
            </w:r>
          </w:p>
        </w:tc>
        <w:tc>
          <w:tcPr>
            <w:tcW w:type="dxa" w:w="1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L&amp;G Semiconductors</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£276</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28.1%</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Acc.</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Chip Power</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ISPY</w:t>
            </w:r>
          </w:p>
        </w:tc>
        <w:tc>
          <w:tcPr>
            <w:tcW w:type="dxa" w:w="1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L&amp;G Cyber Security</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£242</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13.9%</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Acc.</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Cyber Defence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ROBG</w:t>
            </w:r>
          </w:p>
        </w:tc>
        <w:tc>
          <w:tcPr>
            <w:tcW w:type="dxa" w:w="1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L&amp;G Robotics</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£238</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9.8%</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Acc.</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Robotics &amp; AI</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Others</w:t>
            </w:r>
          </w:p>
        </w:tc>
        <w:tc>
          <w:tcPr>
            <w:tcW w:type="dxa" w:w="1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ELGJG, GLGG, SEMG, GJGB, DOCG</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£2,852</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Varied</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Varied</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Japan, Water, ESG, Jr Gold, Health</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INCOME LAYER (6 TRUSTS)</w:t>
      </w:r>
    </w:p>
    <w:tbl>
      <w:tblPr>
        <w:tblW w:type="dxa" w:w="667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700"/>
        <w:gridCol w:w="600"/>
        <w:gridCol w:w="500"/>
        <w:gridCol w:w="700"/>
        <w:gridCol w:w="2078"/>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Holding</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Invested</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Return</w:t>
            </w:r>
          </w:p>
        </w:tc>
        <w:tc>
          <w:tcPr>
            <w:tcW w:type="dxa" w:w="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Yield</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Frequency</w:t>
            </w:r>
          </w:p>
        </w:tc>
        <w:tc>
          <w:tcPr>
            <w:tcW w:type="dxa" w:w="20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Role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TFIF.L</w:t>
            </w:r>
          </w:p>
        </w:tc>
        <w:tc>
          <w:tcPr>
            <w:tcW w:type="dxa" w:w="1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TwentyFour Income Fund</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£2,000</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8.5%</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~8.5%</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Monthly</w:t>
            </w:r>
          </w:p>
        </w:tc>
        <w:tc>
          <w:tcPr>
            <w:tcW w:type="dxa" w:w="20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Monthly Anchor</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IUKD.L</w:t>
            </w:r>
          </w:p>
        </w:tc>
        <w:tc>
          <w:tcPr>
            <w:tcW w:type="dxa" w:w="1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iShares UK Dividend</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£2,000</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6.0%</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Quarterly</w:t>
            </w:r>
          </w:p>
        </w:tc>
        <w:tc>
          <w:tcPr>
            <w:tcW w:type="dxa" w:w="20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Equity Income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UKW.L</w:t>
            </w:r>
          </w:p>
        </w:tc>
        <w:tc>
          <w:tcPr>
            <w:tcW w:type="dxa" w:w="1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Greencoat UK Wind</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£1,500</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7.1%</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~7.1%</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Quarterly</w:t>
            </w:r>
          </w:p>
        </w:tc>
        <w:tc>
          <w:tcPr>
            <w:tcW w:type="dxa" w:w="20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Green Electrons</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NESF.L</w:t>
            </w:r>
          </w:p>
        </w:tc>
        <w:tc>
          <w:tcPr>
            <w:tcW w:type="dxa" w:w="1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NextEnergy Solar</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£1,500</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10.2%</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~10.2%</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Quarterly</w:t>
            </w:r>
          </w:p>
        </w:tc>
        <w:tc>
          <w:tcPr>
            <w:tcW w:type="dxa" w:w="20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Solar Infra</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BRWM.L</w:t>
            </w:r>
          </w:p>
        </w:tc>
        <w:tc>
          <w:tcPr>
            <w:tcW w:type="dxa" w:w="1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BlackRock World Mining</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£1,500</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5.8%</w:t>
            </w:r>
          </w:p>
        </w:tc>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~5.8%</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Quarterly</w:t>
            </w:r>
          </w:p>
        </w:tc>
        <w:tc>
          <w:tcPr>
            <w:tcW w:type="dxa" w:w="20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Royalty King</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GCP.L</w:t>
            </w:r>
          </w:p>
        </w:tc>
        <w:tc>
          <w:tcPr>
            <w:tcW w:type="dxa" w:w="1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GCP Infrastructure</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£1,500</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8.9%</w:t>
            </w:r>
          </w:p>
        </w:tc>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~8.9%</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Quarterly</w:t>
            </w:r>
          </w:p>
        </w:tc>
        <w:tc>
          <w:tcPr>
            <w:tcW w:type="dxa" w:w="20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Smart City Debt</w:t>
            </w:r>
          </w:p>
        </w:tc>
      </w:tr>
    </w:tbl>
    <w:p>
      <w:r>
        <w:br w:type="page"/>
      </w:r>
    </w:p>
    <w:p>
      <w:pPr>
        <w:pStyle w:val="Heading1"/>
      </w:pPr>
      <w:r>
        <w:rPr>
          <w:rFonts w:ascii="Arial" w:cs="Arial" w:eastAsia="Arial" w:hAnsi="Arial"/>
        </w:rPr>
        <w:t xml:space="preserve">10. GIA Portfolio — “The Rocket Ship”</w:t>
      </w:r>
    </w:p>
    <w:p>
      <w:pPr>
        <w:spacing w:after="120"/>
        <w:jc w:val="left"/>
      </w:pPr>
      <w:r>
        <w:rPr>
          <w:rFonts w:ascii="Arial" w:cs="Arial" w:eastAsia="Arial" w:hAnsi="Arial"/>
          <w:b w:val="false"/>
          <w:bCs w:val="false"/>
          <w:i w:val="false"/>
          <w:iCs w:val="false"/>
          <w:color w:val="333333"/>
          <w:sz w:val="22"/>
          <w:szCs w:val="22"/>
        </w:rPr>
        <w:t xml:space="preserve">Budget: £10,000 | General Investment Account | Freetrade | 5–10 year horizon. High-beta US tech, defence, and speculative miners. Full CGT allowance utilisation and loss harvesting flexibility.</w:t>
      </w:r>
    </w:p>
    <w:p>
      <w:pPr>
        <w:spacing w:after="120"/>
        <w:jc w:val="left"/>
      </w:pPr>
      <w:r>
        <w:rPr>
          <w:rFonts w:ascii="Arial" w:cs="Arial" w:eastAsia="Arial" w:hAnsi="Arial"/>
          <w:b w:val="false"/>
          <w:bCs w:val="false"/>
          <w:i w:val="false"/>
          <w:iCs w:val="false"/>
          <w:color w:val="333333"/>
          <w:sz w:val="22"/>
          <w:szCs w:val="22"/>
        </w:rPr>
        <w:t xml:space="preserve"/>
      </w:r>
    </w:p>
    <w:tbl>
      <w:tblPr>
        <w:tblW w:type="dxa" w:w="7678"/>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00"/>
        <w:gridCol w:w="1000"/>
        <w:gridCol w:w="1000"/>
        <w:gridCol w:w="3178"/>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Holding</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Invested</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Return</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Role</w:t>
            </w:r>
          </w:p>
        </w:tc>
        <w:tc>
          <w:tcPr>
            <w:tcW w:type="dxa" w:w="31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Primary Driver</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$TSM</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TSMC ADR</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23.7% (5-Yr)</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AI Monopoly</w:t>
            </w:r>
          </w:p>
        </w:tc>
        <w:tc>
          <w:tcPr>
            <w:tcW w:type="dxa" w:w="31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67% global advanced chip fabrication</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$ASML</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ASML ADR</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20.2%</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Hardware Core</w:t>
            </w:r>
          </w:p>
        </w:tc>
        <w:tc>
          <w:tcPr>
            <w:tcW w:type="dxa" w:w="31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EUV lithography monopoly</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$CRWV</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CoreWeave</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~127% (IPO)</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AI Cloud</w:t>
            </w:r>
          </w:p>
        </w:tc>
        <w:tc>
          <w:tcPr>
            <w:tcW w:type="dxa" w:w="31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Pure-play GPU cloud compute</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$PLTR</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Palantir</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47.0% (5-Yr)</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AI Defense</w:t>
            </w:r>
          </w:p>
        </w:tc>
        <w:tc>
          <w:tcPr>
            <w:tcW w:type="dxa" w:w="31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US military + supply chain OS</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$NOC</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Northrop Grumman</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£800</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12.5%</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Defense Shield</w:t>
            </w:r>
          </w:p>
        </w:tc>
        <w:tc>
          <w:tcPr>
            <w:tcW w:type="dxa" w:w="31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B-21 Raider, space, hypersonics</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$SMR</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NuScale Power</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£800</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~95% (2-Yr)</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AI Power</w:t>
            </w:r>
          </w:p>
        </w:tc>
        <w:tc>
          <w:tcPr>
            <w:tcW w:type="dxa" w:w="31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First NRC-certified SMR</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$IREN</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IREN Limited</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£800</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~680% (peak)</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Compute Pivot</w:t>
            </w:r>
          </w:p>
        </w:tc>
        <w:tc>
          <w:tcPr>
            <w:tcW w:type="dxa" w:w="31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Bitcoin → AI infrastructure</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$COIN</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Coinbase</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£800</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~28% (IPO)</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Fiat Bridge</w:t>
            </w:r>
          </w:p>
        </w:tc>
        <w:tc>
          <w:tcPr>
            <w:tcW w:type="dxa" w:w="31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Regulated crypto exchange</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3LNV.L</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3x Long NVDA</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£800</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Leveraged</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Max Aggression</w:t>
            </w:r>
          </w:p>
        </w:tc>
        <w:tc>
          <w:tcPr>
            <w:tcW w:type="dxa" w:w="31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Triple-leveraged Nvidia</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KOD.L</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Kodal Minerals</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£700</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Speculative</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Lithium Scout</w:t>
            </w:r>
          </w:p>
        </w:tc>
        <w:tc>
          <w:tcPr>
            <w:tcW w:type="dxa" w:w="31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West African lithium explorer</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$CRML</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Critical Metals Corp</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£700</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Speculative</w:t>
            </w:r>
          </w:p>
        </w:tc>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Resource Truce</w:t>
            </w:r>
          </w:p>
        </w:tc>
        <w:tc>
          <w:tcPr>
            <w:tcW w:type="dxa" w:w="31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European rare earth elements</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$TMC</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TMC the Metals Company</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£600</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Speculative</w:t>
            </w:r>
          </w:p>
        </w:tc>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Deep-Sea Mining</w:t>
            </w:r>
          </w:p>
        </w:tc>
        <w:tc>
          <w:tcPr>
            <w:tcW w:type="dxa" w:w="31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Ocean floor battery metals</w:t>
            </w:r>
          </w:p>
        </w:tc>
      </w:tr>
    </w:tbl>
    <w:p>
      <w:r>
        <w:br w:type="page"/>
      </w:r>
    </w:p>
    <w:p>
      <w:pPr>
        <w:pStyle w:val="Heading1"/>
      </w:pPr>
      <w:r>
        <w:rPr>
          <w:rFonts w:ascii="Arial" w:cs="Arial" w:eastAsia="Arial" w:hAnsi="Arial"/>
        </w:rPr>
        <w:t xml:space="preserve">11. Crypto Portfolio — “The Digital Arsenal”</w:t>
      </w:r>
    </w:p>
    <w:p>
      <w:pPr>
        <w:spacing w:after="120"/>
        <w:jc w:val="left"/>
      </w:pPr>
      <w:r>
        <w:rPr>
          <w:rFonts w:ascii="Arial" w:cs="Arial" w:eastAsia="Arial" w:hAnsi="Arial"/>
          <w:b w:val="false"/>
          <w:bCs w:val="false"/>
          <w:i w:val="false"/>
          <w:iCs w:val="false"/>
          <w:color w:val="333333"/>
          <w:sz w:val="22"/>
          <w:szCs w:val="22"/>
        </w:rPr>
        <w:t xml:space="preserve">Budget: £10,500 | Coinbase/Kraken | 10-year horizon. Layer 1 conviction positions targeting real-world utility. Target allocations based on staking thresholds, node requirements, and supply scarcity logic.</w:t>
      </w:r>
    </w:p>
    <w:p>
      <w:pPr>
        <w:spacing w:after="120"/>
        <w:jc w:val="left"/>
      </w:pPr>
      <w:r>
        <w:rPr>
          <w:rFonts w:ascii="Arial" w:cs="Arial" w:eastAsia="Arial" w:hAnsi="Arial"/>
          <w:b w:val="false"/>
          <w:bCs w:val="false"/>
          <w:i w:val="false"/>
          <w:iCs w:val="false"/>
          <w:color w:val="333333"/>
          <w:sz w:val="22"/>
          <w:szCs w:val="22"/>
        </w:rPr>
        <w:t xml:space="preserve"/>
      </w:r>
    </w:p>
    <w:tbl>
      <w:tblPr>
        <w:tblW w:type="dxa" w:w="6978"/>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700"/>
        <w:gridCol w:w="800"/>
        <w:gridCol w:w="3478"/>
        <w:gridCol w:w="800"/>
      </w:tblGrid>
      <w:tr>
        <w:trPr>
          <w:tblHeader/>
        </w:trPr>
        <w:tc>
          <w:tcPr>
            <w:tcW w:type="dxa" w:w="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Name</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Invested</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Target Units</w:t>
            </w:r>
          </w:p>
        </w:tc>
        <w:tc>
          <w:tcPr>
            <w:tcW w:type="dxa" w:w="34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2035 Role</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10-Yr Proj.</w:t>
            </w:r>
          </w:p>
        </w:tc>
      </w:tr>
      <w:tr>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XRP</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Ripple</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£2,000</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1,500 XRP</w:t>
            </w:r>
          </w:p>
        </w:tc>
        <w:tc>
          <w:tcPr>
            <w:tcW w:type="dxa" w:w="34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Global Settlement Bridge (replaces SWIFT)</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£75,000</w:t>
            </w:r>
          </w:p>
        </w:tc>
      </w:tr>
      <w:tr>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SOL</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Solana</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£1,800</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 SOL</w:t>
            </w:r>
          </w:p>
        </w:tc>
        <w:tc>
          <w:tcPr>
            <w:tcW w:type="dxa" w:w="34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Global Stock Exchange (24/7 on-chain)</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£24,000</w:t>
            </w:r>
          </w:p>
        </w:tc>
      </w:tr>
      <w:tr>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LINK</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Chainlink</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£1,200</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150 LINK</w:t>
            </w:r>
          </w:p>
        </w:tc>
        <w:tc>
          <w:tcPr>
            <w:tcW w:type="dxa" w:w="34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Truth Machine (oracle nodes for $61.5T tokenisation)</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£45,000</w:t>
            </w:r>
          </w:p>
        </w:tc>
      </w:tr>
      <w:tr>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LTC</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Litecoin</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£1,100</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 LTC</w:t>
            </w:r>
          </w:p>
        </w:tc>
        <w:tc>
          <w:tcPr>
            <w:tcW w:type="dxa" w:w="34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Digital Cash (physical cash replacement)</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£18,000</w:t>
            </w:r>
          </w:p>
        </w:tc>
      </w:tr>
      <w:tr>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BCH</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Bitcoin Cash</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2.5 BCH</w:t>
            </w:r>
          </w:p>
        </w:tc>
        <w:tc>
          <w:tcPr>
            <w:tcW w:type="dxa" w:w="34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Merchant Payments (bypass 3% credit card fees)</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£12,500</w:t>
            </w:r>
          </w:p>
        </w:tc>
      </w:tr>
      <w:tr>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HBAR</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Hedera</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12,000 HBAR</w:t>
            </w:r>
          </w:p>
        </w:tc>
        <w:tc>
          <w:tcPr>
            <w:tcW w:type="dxa" w:w="34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Enterprise Ledger (Google/IBM/Boeing governance)</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£60,000</w:t>
            </w:r>
          </w:p>
        </w:tc>
      </w:tr>
      <w:tr>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DOGE</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Dogecoin</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£900</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12,000 DOGE</w:t>
            </w:r>
          </w:p>
        </w:tc>
        <w:tc>
          <w:tcPr>
            <w:tcW w:type="dxa" w:w="34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Internet Currency (social tipping, subscriptions)</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£21,000</w:t>
            </w:r>
          </w:p>
        </w:tc>
      </w:tr>
      <w:tr>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ZEC</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Zcash</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£500</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15 ZEC</w:t>
            </w:r>
          </w:p>
        </w:tc>
        <w:tc>
          <w:tcPr>
            <w:tcW w:type="dxa" w:w="34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Digital Swiss Bank (compliant privacy)</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£37,500</w:t>
            </w:r>
          </w:p>
        </w:tc>
      </w:tr>
      <w:tr>
        <w:tc>
          <w:tcPr>
            <w:tcW w:type="dxa" w:w="5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FIL</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Filecoin</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£500</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100 FIL</w:t>
            </w:r>
          </w:p>
        </w:tc>
        <w:tc>
          <w:tcPr>
            <w:tcW w:type="dxa" w:w="34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Cloud Replacement (decentralised storage)</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£17,500</w:t>
            </w:r>
          </w:p>
        </w:tc>
      </w:tr>
      <w:tr>
        <w:tc>
          <w:tcPr>
            <w:tcW w:type="dxa" w:w="5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XLM</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Stellar</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£500</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3,500 XLM</w:t>
            </w:r>
          </w:p>
        </w:tc>
        <w:tc>
          <w:tcPr>
            <w:tcW w:type="dxa" w:w="34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People’s Bank (fintech micropayments)</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£22,750</w:t>
            </w:r>
          </w:p>
        </w:tc>
      </w:tr>
    </w:tbl>
    <w:p>
      <w:pPr>
        <w:spacing w:after="120"/>
        <w:jc w:val="left"/>
      </w:pPr>
      <w:r>
        <w:rPr>
          <w:rFonts w:ascii="Arial" w:cs="Arial" w:eastAsia="Arial" w:hAnsi="Arial"/>
          <w:b/>
          <w:bCs/>
          <w:i w:val="false"/>
          <w:iCs w:val="false"/>
          <w:color w:val="0A1628"/>
          <w:sz w:val="22"/>
          <w:szCs w:val="22"/>
        </w:rPr>
        <w:t xml:space="preserve">Total 10-Year Hypothetical Projection: £333,250 from £10,500 deployed.</w:t>
      </w:r>
    </w:p>
    <w:p>
      <w:r>
        <w:br w:type="page"/>
      </w:r>
    </w:p>
    <w:p>
      <w:pPr>
        <w:pStyle w:val="Heading1"/>
      </w:pPr>
      <w:r>
        <w:rPr>
          <w:rFonts w:ascii="Arial" w:cs="Arial" w:eastAsia="Arial" w:hAnsi="Arial"/>
        </w:rPr>
        <w:t xml:space="preserve">12. Critical Minerals Matrix — “The War Chest”</w:t>
      </w:r>
    </w:p>
    <w:p>
      <w:pPr>
        <w:spacing w:after="120"/>
        <w:jc w:val="left"/>
      </w:pPr>
      <w:r>
        <w:rPr>
          <w:rFonts w:ascii="Arial" w:cs="Arial" w:eastAsia="Arial" w:hAnsi="Arial"/>
          <w:b w:val="false"/>
          <w:bCs w:val="false"/>
          <w:i w:val="false"/>
          <w:iCs w:val="false"/>
          <w:color w:val="333333"/>
          <w:sz w:val="22"/>
          <w:szCs w:val="22"/>
        </w:rPr>
        <w:t xml:space="preserve">Budget: £14,300 | Hybrid ISA/SIPP/GIA | 25-year horizon. 20 holdings across 6 tactical sections. Tax wrapper logic: ISA for high-yield + high-growth LSE; SIPP for accumulating ETFs; GIA for US-listed stocks.</w:t>
      </w:r>
    </w:p>
    <w:p>
      <w:pPr>
        <w:spacing w:after="120"/>
        <w:jc w:val="left"/>
      </w:pPr>
      <w:r>
        <w:rPr>
          <w:rFonts w:ascii="Arial" w:cs="Arial" w:eastAsia="Arial" w:hAnsi="Arial"/>
          <w:b w:val="false"/>
          <w:bCs w:val="false"/>
          <w:i w:val="false"/>
          <w:iCs w:val="false"/>
          <w:color w:val="333333"/>
          <w:sz w:val="22"/>
          <w:szCs w:val="22"/>
        </w:rPr>
        <w:t xml:space="preserve"/>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00"/>
        <w:gridCol w:w="700"/>
        <w:gridCol w:w="1200"/>
        <w:gridCol w:w="3578"/>
      </w:tblGrid>
      <w:tr>
        <w:trPr>
          <w:tblHeader/>
        </w:trPr>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Section</w:t>
            </w:r>
          </w:p>
        </w:tc>
        <w:tc>
          <w:tcPr>
            <w:tcW w:type="dxa" w:w="1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Tickers</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Budget</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Account</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Key Metals</w:t>
            </w:r>
          </w:p>
        </w:tc>
        <w:tc>
          <w:tcPr>
            <w:tcW w:type="dxa" w:w="35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Rationale</w:t>
            </w:r>
          </w:p>
        </w:tc>
      </w:tr>
      <w:tr>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Conductors</w:t>
            </w:r>
          </w:p>
        </w:tc>
        <w:tc>
          <w:tcPr>
            <w:tcW w:type="dxa" w:w="1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COPG.L, ANTO.L, SMGB</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£2,600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ISA/SIPP</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Copper, Silicon</w:t>
            </w:r>
          </w:p>
        </w:tc>
        <w:tc>
          <w:tcPr>
            <w:tcW w:type="dxa" w:w="35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Backbone of data centres. Copper up 27% in 2025. AI DCs 2–4x more Cu-intensive.</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Precious Metals</w:t>
            </w:r>
          </w:p>
        </w:tc>
        <w:tc>
          <w:tcPr>
            <w:tcW w:type="dxa" w:w="1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IGLG, PHAG.L, FRES.L, THS.L</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£2,900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ISA/SIPP</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Gold, Silver, Pt, Pd</w:t>
            </w:r>
          </w:p>
        </w:tc>
        <w:tc>
          <w:tcPr>
            <w:tcW w:type="dxa" w:w="35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Central bank gold buying record. Silver for solar (no substitute). PGMs for H2.</w:t>
            </w:r>
          </w:p>
        </w:tc>
      </w:tr>
      <w:tr>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Battery Storage</w:t>
            </w:r>
          </w:p>
        </w:tc>
        <w:tc>
          <w:tcPr>
            <w:tcW w:type="dxa" w:w="1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BATG, ALL.L, KOD.L</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£1,900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SIPP/GIA</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Li, Co, Ni, Graphite</w:t>
            </w:r>
          </w:p>
        </w:tc>
        <w:tc>
          <w:tcPr>
            <w:tcW w:type="dxa" w:w="35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Full value chain ETF + West African explorers bypassing Chinese supply.</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Nuclear</w:t>
            </w:r>
          </w:p>
        </w:tc>
        <w:tc>
          <w:tcPr>
            <w:tcW w:type="dxa" w:w="1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YCA.L, URNP</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£1,400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ISA/SIPP</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Uranium</w:t>
            </w:r>
          </w:p>
        </w:tc>
        <w:tc>
          <w:tcPr>
            <w:tcW w:type="dxa" w:w="35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Mine supply covers 75% of reactor demand. Structural deficit widening.</w:t>
            </w:r>
          </w:p>
        </w:tc>
      </w:tr>
      <w:tr>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Rare Earths</w:t>
            </w:r>
          </w:p>
        </w:tc>
        <w:tc>
          <w:tcPr>
            <w:tcW w:type="dxa" w:w="1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$REMX, $MP, $CRML</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£2,500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GIA</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REEs, Ga, Ge, Ta</w:t>
            </w:r>
          </w:p>
        </w:tc>
        <w:tc>
          <w:tcPr>
            <w:tcW w:type="dxa" w:w="35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China controls 90% processing. Active export bans. Only Western REE mine (MP).</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Diversified</w:t>
            </w:r>
          </w:p>
        </w:tc>
        <w:tc>
          <w:tcPr>
            <w:tcW w:type="dxa" w:w="1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RIO.L, GLEN.L, BRWM.L, $TMC</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£3,000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Hybrid</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Cu, Fe, Al, Co, Zn</w:t>
            </w:r>
          </w:p>
        </w:tc>
        <w:tc>
          <w:tcPr>
            <w:tcW w:type="dxa" w:w="35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World’s largest cobalt producer (Glencore). Deep-sea mining moonshot (TMC).</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DC2626"/>
          <w:sz w:val="22"/>
          <w:szCs w:val="22"/>
        </w:rPr>
        <w:t xml:space="preserve">Critical Risk — China Concentration: </w:t>
      </w:r>
      <w:r>
        <w:rPr>
          <w:rFonts w:ascii="Arial" w:cs="Arial" w:eastAsia="Arial" w:hAnsi="Arial"/>
          <w:b w:val="false"/>
          <w:bCs w:val="false"/>
          <w:i w:val="false"/>
          <w:iCs w:val="false"/>
          <w:color w:val="333333"/>
          <w:sz w:val="22"/>
          <w:szCs w:val="22"/>
        </w:rPr>
        <w:t xml:space="preserve">98% gallium refining, 90%+ REE processing, 60%+ germanium. Expansion of export bans = most powerful single catalyst across the entire matrix.</w:t>
      </w:r>
    </w:p>
    <w:p>
      <w:r>
        <w:br w:type="page"/>
      </w:r>
    </w:p>
    <w:p>
      <w:pPr>
        <w:pStyle w:val="Heading1"/>
      </w:pPr>
      <w:r>
        <w:rPr>
          <w:rFonts w:ascii="Arial" w:cs="Arial" w:eastAsia="Arial" w:hAnsi="Arial"/>
        </w:rPr>
        <w:t xml:space="preserve">13. Get Rich Quick Matrix — “The Chaos Portfolio”</w:t>
      </w:r>
    </w:p>
    <w:p>
      <w:pPr>
        <w:spacing w:after="120"/>
        <w:jc w:val="left"/>
      </w:pPr>
      <w:r>
        <w:rPr>
          <w:rFonts w:ascii="Arial" w:cs="Arial" w:eastAsia="Arial" w:hAnsi="Arial"/>
          <w:b w:val="false"/>
          <w:bCs w:val="false"/>
          <w:i w:val="false"/>
          <w:iCs w:val="false"/>
          <w:color w:val="333333"/>
          <w:sz w:val="22"/>
          <w:szCs w:val="22"/>
        </w:rPr>
        <w:t xml:space="preserve">Budget: £6,300 (£5,700 deployed + £600 dry powder) | All GIA | 29 bets across 15 catalysts.</w:t>
      </w:r>
    </w:p>
    <w:p>
      <w:pPr>
        <w:spacing w:after="120"/>
        <w:jc w:val="left"/>
      </w:pPr>
      <w:r>
        <w:rPr>
          <w:rFonts w:ascii="Arial" w:cs="Arial" w:eastAsia="Arial" w:hAnsi="Arial"/>
          <w:b w:val="false"/>
          <w:bCs w:val="false"/>
          <w:i w:val="false"/>
          <w:iCs w:val="false"/>
          <w:color w:val="333333"/>
          <w:sz w:val="22"/>
          <w:szCs w:val="22"/>
        </w:rPr>
        <w:t xml:space="preserve"/>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00"/>
        <w:gridCol w:w="700"/>
        <w:gridCol w:w="4878"/>
      </w:tblGrid>
      <w:tr>
        <w:trPr>
          <w:tblHeader/>
        </w:trPr>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Catalyst</w:t>
            </w:r>
          </w:p>
        </w:tc>
        <w:tc>
          <w:tcPr>
            <w:tcW w:type="dxa" w:w="13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Stocks</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Budget</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Avg. Upside</w:t>
            </w:r>
          </w:p>
        </w:tc>
        <w:tc>
          <w:tcPr>
            <w:tcW w:type="dxa" w:w="48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Trigger Event</w:t>
            </w:r>
          </w:p>
        </w:tc>
      </w:tr>
      <w:tr>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NATO Rearmament</w:t>
            </w:r>
          </w:p>
        </w:tc>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CHRT, CHG, CNC, AVON</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£1,050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3–5x</w:t>
            </w:r>
          </w:p>
        </w:tc>
        <w:tc>
          <w:tcPr>
            <w:tcW w:type="dxa" w:w="4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Defence budgets to 3.5% GDP. Record order books.</w:t>
            </w:r>
          </w:p>
        </w:tc>
      </w:tr>
      <w:tr>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Nuclear Renaissance</w:t>
            </w:r>
          </w:p>
        </w:tc>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SMR, NNE, OKLO</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£850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4–5x</w:t>
            </w:r>
          </w:p>
        </w:tc>
        <w:tc>
          <w:tcPr>
            <w:tcW w:type="dxa" w:w="4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AI data centres need 24/7 baseload. First NRC-certified SMR.</w:t>
            </w:r>
          </w:p>
        </w:tc>
      </w:tr>
      <w:tr>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China Decoupling</w:t>
            </w:r>
          </w:p>
        </w:tc>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MP, IREN, IKA</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£700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3–5x</w:t>
            </w:r>
          </w:p>
        </w:tc>
        <w:tc>
          <w:tcPr>
            <w:tcW w:type="dxa" w:w="4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REE bans, Taiwan Strait, solid-state battery IP.</w:t>
            </w:r>
          </w:p>
        </w:tc>
      </w:tr>
      <w:tr>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Quantum &amp; Cyber</w:t>
            </w:r>
          </w:p>
        </w:tc>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IONQ, RGTI, MTEC</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£600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4–5x</w:t>
            </w:r>
          </w:p>
        </w:tc>
        <w:tc>
          <w:tcPr>
            <w:tcW w:type="dxa" w:w="4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$15B Pentagon cyber budget. Harvest now, decrypt later.</w:t>
            </w:r>
          </w:p>
        </w:tc>
      </w:tr>
      <w:tr>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Ukraine Reconstruction</w:t>
            </w:r>
          </w:p>
        </w:tc>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SFR, SKL</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£300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3–4x</w:t>
            </w:r>
          </w:p>
        </w:tc>
        <w:tc>
          <w:tcPr>
            <w:tcW w:type="dxa" w:w="4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European rebuild + tariff walls + compliance surge.</w:t>
            </w:r>
          </w:p>
        </w:tc>
      </w:tr>
      <w:tr>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Commodity Super-Cycle</w:t>
            </w:r>
          </w:p>
        </w:tc>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TMC, KOD, ALL</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£450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5x</w:t>
            </w:r>
          </w:p>
        </w:tc>
        <w:tc>
          <w:tcPr>
            <w:tcW w:type="dxa" w:w="4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Deep-sea mining rights + lithium recovery.</w:t>
            </w:r>
          </w:p>
        </w:tc>
      </w:tr>
      <w:tr>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Space &amp; Autonomous</w:t>
            </w:r>
          </w:p>
        </w:tc>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RKLB, LUNR</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£450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4x</w:t>
            </w:r>
          </w:p>
        </w:tc>
        <w:tc>
          <w:tcPr>
            <w:tcW w:type="dxa" w:w="4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Space militarisation + first private Moon landing.</w:t>
            </w:r>
          </w:p>
        </w:tc>
      </w:tr>
      <w:tr>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Biodefence</w:t>
            </w:r>
          </w:p>
        </w:tc>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NVAX</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£150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5x</w:t>
            </w:r>
          </w:p>
        </w:tc>
        <w:tc>
          <w:tcPr>
            <w:tcW w:type="dxa" w:w="4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Crashed 97% from $331. Next pandemic = overnight reprice.</w:t>
            </w:r>
          </w:p>
        </w:tc>
      </w:tr>
      <w:tr>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Hydrogen Economy</w:t>
            </w:r>
          </w:p>
        </w:tc>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ITM, PLUG</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£250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4–5x</w:t>
            </w:r>
          </w:p>
        </w:tc>
        <w:tc>
          <w:tcPr>
            <w:tcW w:type="dxa" w:w="4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EU mandates. ITM £152M backlog. PLUG ATH $75 vs $1.87.</w:t>
            </w:r>
          </w:p>
        </w:tc>
      </w:tr>
      <w:tr>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Robotics</w:t>
            </w:r>
          </w:p>
        </w:tc>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SERV</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£150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5x</w:t>
            </w:r>
          </w:p>
        </w:tc>
        <w:tc>
          <w:tcPr>
            <w:tcW w:type="dxa" w:w="4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1,000+ autonomous bots. Uber/DoorDash. $450B TAM.</w:t>
            </w:r>
          </w:p>
        </w:tc>
      </w:tr>
      <w:tr>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Satellite Internet</w:t>
            </w:r>
          </w:p>
        </w:tc>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ASTS</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£200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3x</w:t>
            </w:r>
          </w:p>
        </w:tc>
        <w:tc>
          <w:tcPr>
            <w:tcW w:type="dxa" w:w="4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Direct-to-phone. BlueBird 6 deployed. $1B commitments.</w:t>
            </w:r>
          </w:p>
        </w:tc>
      </w:tr>
      <w:tr>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Psychedelic Medicine</w:t>
            </w:r>
          </w:p>
        </w:tc>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CMPS, ATAI</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£300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5x</w:t>
            </w:r>
          </w:p>
        </w:tc>
        <w:tc>
          <w:tcPr>
            <w:tcW w:type="dxa" w:w="4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Both Phase 3 trials hit. First FDA psychedelic pending.</w:t>
            </w:r>
          </w:p>
        </w:tc>
      </w:tr>
      <w:tr>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Post-Quantum Crypto</w:t>
            </w:r>
          </w:p>
        </w:tc>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LAES</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£150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4x</w:t>
            </w:r>
          </w:p>
        </w:tc>
        <w:tc>
          <w:tcPr>
            <w:tcW w:type="dxa" w:w="48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QS7001 chip. Governments MUST upgrade encryption.</w:t>
            </w:r>
          </w:p>
        </w:tc>
      </w:tr>
      <w:tr>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AgriTech</w:t>
            </w:r>
          </w:p>
        </w:tc>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ANIC</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5x</w:t>
            </w:r>
          </w:p>
        </w:tc>
        <w:tc>
          <w:tcPr>
            <w:tcW w:type="dxa" w:w="48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Lab-grown meat portfolio (Mosa Meat, BlueNalu).</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CHAOS MATH — ASYMMETRIC LOGIC</w:t>
      </w:r>
    </w:p>
    <w:p>
      <w:pPr>
        <w:spacing w:after="120"/>
        <w:jc w:val="left"/>
      </w:pPr>
      <w:r>
        <w:rPr>
          <w:rFonts w:ascii="Arial" w:cs="Arial" w:eastAsia="Arial" w:hAnsi="Arial"/>
          <w:b/>
          <w:bCs/>
          <w:i w:val="false"/>
          <w:iCs w:val="false"/>
          <w:color w:val="DC2626"/>
          <w:sz w:val="22"/>
          <w:szCs w:val="22"/>
        </w:rPr>
        <w:t xml:space="preserve">Worst Case (70%): </w:t>
      </w:r>
      <w:r>
        <w:rPr>
          <w:rFonts w:ascii="Arial" w:cs="Arial" w:eastAsia="Arial" w:hAnsi="Arial"/>
          <w:b w:val="false"/>
          <w:bCs w:val="false"/>
          <w:i w:val="false"/>
          <w:iCs w:val="false"/>
          <w:color w:val="333333"/>
          <w:sz w:val="22"/>
          <w:szCs w:val="22"/>
        </w:rPr>
        <w:t xml:space="preserve">20 of 29 fail. 10 survivors at 2x = £3,500 (−50%). CGT losses offset other portfolio gains.</w:t>
      </w:r>
    </w:p>
    <w:p>
      <w:pPr>
        <w:spacing w:after="120"/>
        <w:jc w:val="left"/>
      </w:pPr>
      <w:r>
        <w:rPr>
          <w:rFonts w:ascii="Arial" w:cs="Arial" w:eastAsia="Arial" w:hAnsi="Arial"/>
          <w:b/>
          <w:bCs/>
          <w:i w:val="false"/>
          <w:iCs w:val="false"/>
          <w:color w:val="D97706"/>
          <w:sz w:val="22"/>
          <w:szCs w:val="22"/>
        </w:rPr>
        <w:t xml:space="preserve">Base Case (25%): </w:t>
      </w:r>
      <w:r>
        <w:rPr>
          <w:rFonts w:ascii="Arial" w:cs="Arial" w:eastAsia="Arial" w:hAnsi="Arial"/>
          <w:b w:val="false"/>
          <w:bCs w:val="false"/>
          <w:i w:val="false"/>
          <w:iCs w:val="false"/>
          <w:color w:val="333333"/>
          <w:sz w:val="22"/>
          <w:szCs w:val="22"/>
        </w:rPr>
        <w:t xml:space="preserve">15 fail, 5 break even, 10 hit 3–5x = £12,000 (+74%).</w:t>
      </w:r>
    </w:p>
    <w:p>
      <w:pPr>
        <w:spacing w:after="120"/>
        <w:jc w:val="left"/>
      </w:pPr>
      <w:r>
        <w:rPr>
          <w:rFonts w:ascii="Arial" w:cs="Arial" w:eastAsia="Arial" w:hAnsi="Arial"/>
          <w:b/>
          <w:bCs/>
          <w:i w:val="false"/>
          <w:iCs w:val="false"/>
          <w:color w:val="16A34A"/>
          <w:sz w:val="22"/>
          <w:szCs w:val="22"/>
        </w:rPr>
        <w:t xml:space="preserve">Bull Case (5%): </w:t>
      </w:r>
      <w:r>
        <w:rPr>
          <w:rFonts w:ascii="Arial" w:cs="Arial" w:eastAsia="Arial" w:hAnsi="Arial"/>
          <w:b w:val="false"/>
          <w:bCs w:val="false"/>
          <w:i w:val="false"/>
          <w:iCs w:val="false"/>
          <w:color w:val="333333"/>
          <w:sz w:val="22"/>
          <w:szCs w:val="22"/>
        </w:rPr>
        <w:t xml:space="preserve">3–4 catalysts hit hard. 5 stocks 10x+. 10 do 3–5x = £25,000–£40,000 (4–6x).</w:t>
      </w:r>
    </w:p>
    <w:p>
      <w:pPr>
        <w:spacing w:after="120"/>
        <w:jc w:val="left"/>
      </w:pPr>
      <w:r>
        <w:rPr>
          <w:rFonts w:ascii="Arial" w:cs="Arial" w:eastAsia="Arial" w:hAnsi="Arial"/>
          <w:b/>
          <w:bCs/>
          <w:i w:val="false"/>
          <w:iCs w:val="false"/>
          <w:color w:val="0A1628"/>
          <w:sz w:val="22"/>
          <w:szCs w:val="22"/>
        </w:rPr>
        <w:t xml:space="preserve">Key Insight: </w:t>
      </w:r>
      <w:r>
        <w:rPr>
          <w:rFonts w:ascii="Arial" w:cs="Arial" w:eastAsia="Arial" w:hAnsi="Arial"/>
          <w:b w:val="false"/>
          <w:bCs w:val="false"/>
          <w:i w:val="false"/>
          <w:iCs w:val="false"/>
          <w:color w:val="333333"/>
          <w:sz w:val="22"/>
          <w:szCs w:val="22"/>
        </w:rPr>
        <w:t xml:space="preserve">Even if 80% goes to zero, three 10x winners on £200 bets = £6,000, recovering 87% of the entire portfolio. No single position exceeds £350.</w:t>
      </w:r>
    </w:p>
    <w:p>
      <w:r>
        <w:br w:type="page"/>
      </w:r>
    </w:p>
    <w:p>
      <w:pPr>
        <w:pStyle w:val="Heading1"/>
      </w:pPr>
      <w:r>
        <w:rPr>
          <w:rFonts w:ascii="Arial" w:cs="Arial" w:eastAsia="Arial" w:hAnsi="Arial"/>
        </w:rPr>
        <w:t xml:space="preserve">14. Moonshot Analysis — Full Catalyst Materialisation</w:t>
      </w:r>
    </w:p>
    <w:p>
      <w:pPr>
        <w:spacing w:after="120"/>
        <w:jc w:val="left"/>
      </w:pPr>
      <w:r>
        <w:rPr>
          <w:rFonts w:ascii="Arial" w:cs="Arial" w:eastAsia="Arial" w:hAnsi="Arial"/>
          <w:b w:val="false"/>
          <w:bCs w:val="false"/>
          <w:i w:val="false"/>
          <w:iCs w:val="false"/>
          <w:color w:val="333333"/>
          <w:sz w:val="22"/>
          <w:szCs w:val="22"/>
        </w:rPr>
        <w:t xml:space="preserve">Total deployed: £5,700. Conservative all-hit: £25,000 (4.4x). Full moonshot: £119,850 (21x).</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TOP 10 MOONSHOTS BY ABSOLUTE RETURN</w:t>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600"/>
        <w:gridCol w:w="800"/>
        <w:gridCol w:w="700"/>
        <w:gridCol w:w="5578"/>
      </w:tblGrid>
      <w:tr>
        <w:trPr>
          <w:tblHeader/>
        </w:trPr>
        <w:tc>
          <w:tcPr>
            <w:tcW w:type="dxa" w:w="4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Rank</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Invested</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Moonshot ×</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Value</w:t>
            </w:r>
          </w:p>
        </w:tc>
        <w:tc>
          <w:tcPr>
            <w:tcW w:type="dxa" w:w="55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Rationale</w:t>
            </w:r>
          </w:p>
        </w:tc>
      </w:tr>
      <w:tr>
        <w:tc>
          <w:tcPr>
            <w:tcW w:type="dxa" w:w="4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KOD.L</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£100</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100x</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£10,000</w:t>
            </w:r>
          </w:p>
        </w:tc>
        <w:tc>
          <w:tcPr>
            <w:tcW w:type="dxa" w:w="5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Sub-penny to 50p. Lithium returns to 2022 prices + Bougouni production.</w:t>
            </w:r>
          </w:p>
        </w:tc>
      </w:tr>
      <w:tr>
        <w:tc>
          <w:tcPr>
            <w:tcW w:type="dxa" w:w="4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$TMC</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£200</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50x</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£10,000</w:t>
            </w:r>
          </w:p>
        </w:tc>
        <w:tc>
          <w:tcPr>
            <w:tcW w:type="dxa" w:w="5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ISA grants deep-sea mining rights. $30B+ in ocean floor metals.</w:t>
            </w:r>
          </w:p>
        </w:tc>
      </w:tr>
      <w:tr>
        <w:tc>
          <w:tcPr>
            <w:tcW w:type="dxa" w:w="4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$SMR</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£350</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30x</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£10,500</w:t>
            </w:r>
          </w:p>
        </w:tc>
        <w:tc>
          <w:tcPr>
            <w:tcW w:type="dxa" w:w="5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6GW TVA binding. Reprices as utility-scale nuclear co. ATH $57 vs $13.50.</w:t>
            </w:r>
          </w:p>
        </w:tc>
      </w:tr>
      <w:tr>
        <w:tc>
          <w:tcPr>
            <w:tcW w:type="dxa" w:w="4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$NVAX</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£150</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30x</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£4,500</w:t>
            </w:r>
          </w:p>
        </w:tc>
        <w:tc>
          <w:tcPr>
            <w:tcW w:type="dxa" w:w="5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Next pandemic. ATH $331 vs $8.76. Sanofi partnership + Matrix-M platform.</w:t>
            </w:r>
          </w:p>
        </w:tc>
      </w:tr>
      <w:tr>
        <w:tc>
          <w:tcPr>
            <w:tcW w:type="dxa" w:w="4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5</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$PLUG</w:t>
            </w:r>
          </w:p>
        </w:tc>
        <w:tc>
          <w:tcPr>
            <w:tcW w:type="dxa" w:w="6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£100</w:t>
            </w:r>
          </w:p>
        </w:tc>
        <w:tc>
          <w:tcPr>
            <w:tcW w:type="dxa" w:w="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30x</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£3,000</w:t>
            </w:r>
          </w:p>
        </w:tc>
        <w:tc>
          <w:tcPr>
            <w:tcW w:type="dxa" w:w="5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ATH $75 vs $1.87. Rotterdam pipeline live. Hydrogen infrastructure scales.</w:t>
            </w:r>
          </w:p>
        </w:tc>
      </w:tr>
      <w:tr>
        <w:tc>
          <w:tcPr>
            <w:tcW w:type="dxa" w:w="4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IKA.L</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£200</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30x</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£6,000</w:t>
            </w:r>
          </w:p>
        </w:tc>
        <w:tc>
          <w:tcPr>
            <w:tcW w:type="dxa" w:w="55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Solid-state replaces Li-ion. QuantumScape hit $50B on hype. Ilika at fraction.</w:t>
            </w:r>
          </w:p>
        </w:tc>
      </w:tr>
      <w:tr>
        <w:tc>
          <w:tcPr>
            <w:tcW w:type="dxa" w:w="4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$NNE</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£250</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25x</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£6,250</w:t>
            </w:r>
          </w:p>
        </w:tc>
        <w:tc>
          <w:tcPr>
            <w:tcW w:type="dxa" w:w="55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US Army Janus Program + off-grid nuclear data centres.</w:t>
            </w:r>
          </w:p>
        </w:tc>
      </w:tr>
      <w:tr>
        <w:tc>
          <w:tcPr>
            <w:tcW w:type="dxa" w:w="4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8</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ANIC.L</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£100</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25x</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£2,500</w:t>
            </w:r>
          </w:p>
        </w:tc>
        <w:tc>
          <w:tcPr>
            <w:tcW w:type="dxa" w:w="55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Lab-grown meat cracks. Mosa Meat/BlueNalu portfolio reprices.</w:t>
            </w:r>
          </w:p>
        </w:tc>
      </w:tr>
      <w:tr>
        <w:tc>
          <w:tcPr>
            <w:tcW w:type="dxa" w:w="4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9</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$RGTI</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£200</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25x</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£5,000</w:t>
            </w:r>
          </w:p>
        </w:tc>
        <w:tc>
          <w:tcPr>
            <w:tcW w:type="dxa" w:w="55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ATH $53 vs $12. Quantum achieves commercial advantage.</w:t>
            </w:r>
          </w:p>
        </w:tc>
      </w:tr>
      <w:tr>
        <w:tc>
          <w:tcPr>
            <w:tcW w:type="dxa" w:w="4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$CMPS</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£150</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20x</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£3,000</w:t>
            </w:r>
          </w:p>
        </w:tc>
        <w:tc>
          <w:tcPr>
            <w:tcW w:type="dxa" w:w="55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Both Phase 3 hit. First FDA-approved psychedelic medicine.</w:t>
            </w:r>
          </w:p>
        </w:tc>
      </w:tr>
    </w:tbl>
    <w:p>
      <w:r>
        <w:br w:type="page"/>
      </w:r>
    </w:p>
    <w:p>
      <w:pPr>
        <w:pStyle w:val="Heading1"/>
      </w:pPr>
      <w:r>
        <w:rPr>
          <w:rFonts w:ascii="Arial" w:cs="Arial" w:eastAsia="Arial" w:hAnsi="Arial"/>
        </w:rPr>
        <w:t xml:space="preserve">15. Commodity Due Diligence — 14 Commodities</w:t>
      </w:r>
    </w:p>
    <w:p>
      <w:pPr>
        <w:spacing w:after="120"/>
        <w:jc w:val="left"/>
      </w:pPr>
      <w:r>
        <w:rPr>
          <w:rFonts w:ascii="Arial" w:cs="Arial" w:eastAsia="Arial" w:hAnsi="Arial"/>
          <w:b w:val="false"/>
          <w:bCs w:val="false"/>
          <w:i w:val="false"/>
          <w:iCs w:val="false"/>
          <w:color w:val="333333"/>
          <w:sz w:val="22"/>
          <w:szCs w:val="22"/>
        </w:rPr>
        <w:t xml:space="preserve">Post-oil-exit capital redeployment framework. Four tiers by conviction, entry timing, and structural case.</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TIER 1 — BUY NOW (ON OIL EXIT, Q2–Q3 2026)</w:t>
      </w:r>
    </w:p>
    <w:tbl>
      <w:tblPr>
        <w:tblW w:type="dxa" w:w="7678"/>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00"/>
        <w:gridCol w:w="1100"/>
        <w:gridCol w:w="1200"/>
        <w:gridCol w:w="2578"/>
      </w:tblGrid>
      <w:tr>
        <w:trPr>
          <w:tblHeader/>
        </w:trPr>
        <w:tc>
          <w:tcPr>
            <w:tcW w:type="dxa" w:w="11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Commodity</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Price (Mar 26)</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Conviction</w:t>
            </w:r>
          </w:p>
        </w:tc>
        <w:tc>
          <w:tcPr>
            <w:tcW w:type="dxa" w:w="11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Target Return</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Entry Signal</w:t>
            </w:r>
          </w:p>
        </w:tc>
        <w:tc>
          <w:tcPr>
            <w:tcW w:type="dxa" w:w="25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Key Vehicle</w:t>
            </w:r>
          </w:p>
        </w:tc>
      </w:tr>
      <w:tr>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Gold</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$3,023/oz</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9/10</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+40–80% (24mo)</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Dip to $2,800–2,900</w:t>
            </w:r>
          </w:p>
        </w:tc>
        <w:tc>
          <w:tcPr>
            <w:tcW w:type="dxa" w:w="2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GLD, Newmont, Barrick + AIM juniors</w:t>
            </w:r>
          </w:p>
        </w:tc>
      </w:tr>
      <w:tr>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Uranium</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$68/lb</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9/10</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+80–150% (36mo)</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Dip to $60–65/lb</w:t>
            </w:r>
          </w:p>
        </w:tc>
        <w:tc>
          <w:tcPr>
            <w:tcW w:type="dxa" w:w="2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Yellow Cake (YCA), URNM, Cameco</w:t>
            </w:r>
          </w:p>
        </w:tc>
      </w:tr>
      <w:tr>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Rare Earths</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Nd $65/kg</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9/10</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+100–300% (48mo)</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NOW (geopolitical urgency)</w:t>
            </w:r>
          </w:p>
        </w:tc>
        <w:tc>
          <w:tcPr>
            <w:tcW w:type="dxa" w:w="2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REMX, Rainbow RE, Lynas, MP Materials</w:t>
            </w:r>
          </w:p>
        </w:tc>
      </w:tr>
      <w:tr>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Silver</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$34/oz</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8/10</w:t>
            </w:r>
          </w:p>
        </w:tc>
        <w:tc>
          <w:tcPr>
            <w:tcW w:type="dxa" w:w="11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+60–120% (24mo)</w:t>
            </w:r>
          </w:p>
        </w:tc>
        <w:tc>
          <w:tcPr>
            <w:tcW w:type="dxa" w:w="1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Gold/silver ratio &gt;85</w:t>
            </w:r>
          </w:p>
        </w:tc>
        <w:tc>
          <w:tcPr>
            <w:tcW w:type="dxa" w:w="2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SLV, Fresnillo, Wheaton PM</w:t>
            </w:r>
          </w:p>
        </w:tc>
      </w:tr>
      <w:tr>
        <w:tc>
          <w:tcPr>
            <w:tcW w:type="dxa" w:w="11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Gallium/Germanium</w:t>
            </w:r>
          </w:p>
        </w:tc>
        <w:tc>
          <w:tcPr>
            <w:tcW w:type="dxa" w:w="1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$220/$1,450/kg</w:t>
            </w:r>
          </w:p>
        </w:tc>
        <w:tc>
          <w:tcPr>
            <w:tcW w:type="dxa" w:w="7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7/10</w:t>
            </w:r>
          </w:p>
        </w:tc>
        <w:tc>
          <w:tcPr>
            <w:tcW w:type="dxa" w:w="11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Binary</w:t>
            </w:r>
          </w:p>
        </w:tc>
        <w:tc>
          <w:tcPr>
            <w:tcW w:type="dxa" w:w="1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NOW (China ban active)</w:t>
            </w:r>
          </w:p>
        </w:tc>
        <w:tc>
          <w:tcPr>
            <w:tcW w:type="dxa" w:w="25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Navitas Semi, REMX (indirect)</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TIER 2 — BUY Q3/Q4 2026</w:t>
      </w:r>
    </w:p>
    <w:tbl>
      <w:tblPr>
        <w:tblW w:type="dxa" w:w="7678"/>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700"/>
        <w:gridCol w:w="1100"/>
        <w:gridCol w:w="1200"/>
        <w:gridCol w:w="2778"/>
      </w:tblGrid>
      <w:tr>
        <w:trPr>
          <w:tblHeader/>
        </w:trPr>
        <w:tc>
          <w:tcPr>
            <w:tcW w:type="dxa" w:w="11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Commodity</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Price</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Conviction</w:t>
            </w:r>
          </w:p>
        </w:tc>
        <w:tc>
          <w:tcPr>
            <w:tcW w:type="dxa" w:w="11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Target</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Entry Signal</w:t>
            </w:r>
          </w:p>
        </w:tc>
        <w:tc>
          <w:tcPr>
            <w:tcW w:type="dxa" w:w="27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Key Vehicle</w:t>
            </w:r>
          </w:p>
        </w:tc>
      </w:tr>
      <w:tr>
        <w:tc>
          <w:tcPr>
            <w:tcW w:type="dxa" w:w="11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Copper</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$9,200/t</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9/10</w:t>
            </w:r>
          </w:p>
        </w:tc>
        <w:tc>
          <w:tcPr>
            <w:tcW w:type="dxa" w:w="11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+60–100% (36mo)</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$8,500–9,000/t</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Antofagasta, FCX, BHP, CPER ETF</w:t>
            </w:r>
          </w:p>
        </w:tc>
      </w:tr>
      <w:tr>
        <w:tc>
          <w:tcPr>
            <w:tcW w:type="dxa" w:w="11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Platinum</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$982/oz</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7/10</w:t>
            </w:r>
          </w:p>
        </w:tc>
        <w:tc>
          <w:tcPr>
            <w:tcW w:type="dxa" w:w="11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+80–150% (36mo)</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Below $1,000/oz</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Sylvania Pt, PPLT, Amplats</w:t>
            </w:r>
          </w:p>
        </w:tc>
      </w:tr>
      <w:tr>
        <w:tc>
          <w:tcPr>
            <w:tcW w:type="dxa" w:w="11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Manganese</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$4.50/dmtu</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7/10</w:t>
            </w:r>
          </w:p>
        </w:tc>
        <w:tc>
          <w:tcPr>
            <w:tcW w:type="dxa" w:w="11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+150–300% (48mo)</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After LMFP launches</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Euro Manganese, South32</w:t>
            </w:r>
          </w:p>
        </w:tc>
      </w:tr>
      <w:tr>
        <w:tc>
          <w:tcPr>
            <w:tcW w:type="dxa" w:w="11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Vanadium</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$6.50/lb</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6/10</w:t>
            </w:r>
          </w:p>
        </w:tc>
        <w:tc>
          <w:tcPr>
            <w:tcW w:type="dxa" w:w="11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+200–500% (60mo)</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Contrarian — patient</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Bushveld, Invinity</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TIER 3 &amp; 4 — LONG-TERM (2027+) / WATCH ONLY</w:t>
      </w:r>
    </w:p>
    <w:p>
      <w:pPr>
        <w:spacing w:after="120"/>
        <w:jc w:val="left"/>
      </w:pPr>
      <w:r>
        <w:rPr>
          <w:rFonts w:ascii="Arial" w:cs="Arial" w:eastAsia="Arial" w:hAnsi="Arial"/>
          <w:b w:val="false"/>
          <w:bCs w:val="false"/>
          <w:i w:val="false"/>
          <w:iCs w:val="false"/>
          <w:color w:val="333333"/>
          <w:sz w:val="22"/>
          <w:szCs w:val="22"/>
        </w:rPr>
        <w:t xml:space="preserve">Lithium (6/10, Q4 2026, +150–400%), Cobalt (6/10, Q4 2026, +100–200%), Nickel (6/10, Q4 2026, +80–150%), Palladium (4/10, 2027–2028, +50–100%), Scandium/Titanium (5/10, 2027+, +100–300%). These represent powerful structural stories where timing is critical — early entry in oversupplied markets destroys capital.</w:t>
      </w:r>
    </w:p>
    <w:p>
      <w:r>
        <w:br w:type="page"/>
      </w:r>
    </w:p>
    <w:p>
      <w:pPr>
        <w:pStyle w:val="Heading1"/>
      </w:pPr>
      <w:r>
        <w:rPr>
          <w:rFonts w:ascii="Arial" w:cs="Arial" w:eastAsia="Arial" w:hAnsi="Arial"/>
        </w:rPr>
        <w:t xml:space="preserve">16. Cross-Portfolio Concentration Analysis</w:t>
      </w:r>
    </w:p>
    <w:p>
      <w:pPr>
        <w:spacing w:after="120"/>
        <w:jc w:val="left"/>
      </w:pPr>
      <w:r>
        <w:rPr>
          <w:rFonts w:ascii="Arial" w:cs="Arial" w:eastAsia="Arial" w:hAnsi="Arial"/>
          <w:b w:val="false"/>
          <w:bCs w:val="false"/>
          <w:i w:val="false"/>
          <w:iCs w:val="false"/>
          <w:color w:val="333333"/>
          <w:sz w:val="22"/>
          <w:szCs w:val="22"/>
        </w:rPr>
        <w:t xml:space="preserve">Several tickers appear across multiple matrices. This is intentional concentration in highest-conviction ideas, but must be explicitly tracked to understand true total exposure per position.</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OVERLAPPING POSITIONS</w:t>
      </w:r>
    </w:p>
    <w:tbl>
      <w:tblPr>
        <w:tblW w:type="dxa" w:w="9678"/>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700"/>
        <w:gridCol w:w="600"/>
        <w:gridCol w:w="3778"/>
      </w:tblGrid>
      <w:tr>
        <w:trPr>
          <w:tblHeader/>
        </w:trPr>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Ticker</w:t>
            </w:r>
          </w:p>
        </w:tc>
        <w:tc>
          <w:tcPr>
            <w:tcW w:type="dxa" w:w="1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Name</w:t>
            </w:r>
          </w:p>
        </w:tc>
        <w:tc>
          <w:tcPr>
            <w:tcW w:type="dxa" w:w="2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Appears In</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Total Exposure</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Intentional?</w:t>
            </w:r>
          </w:p>
        </w:tc>
        <w:tc>
          <w:tcPr>
            <w:tcW w:type="dxa" w:w="37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Risk Note</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KOD.L</w:t>
            </w:r>
          </w:p>
        </w:tc>
        <w:tc>
          <w:tcPr>
            <w:tcW w:type="dxa" w:w="1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Kodal Minerals</w:t>
            </w:r>
          </w:p>
        </w:tc>
        <w:tc>
          <w:tcPr>
            <w:tcW w:type="dxa" w:w="2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GIA (£700) + Critical Minerals (£400) + Get Rich Quick (£100)</w:t>
            </w:r>
          </w:p>
        </w:tc>
        <w:tc>
          <w:tcPr>
            <w:tcW w:type="dxa" w:w="7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~£1,200</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Triple exposure to Mali lithium. Acceptable at penny stock — total loss = £1,200.</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ALL.L</w:t>
            </w:r>
          </w:p>
        </w:tc>
        <w:tc>
          <w:tcPr>
            <w:tcW w:type="dxa" w:w="1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Atlantic Lithium</w:t>
            </w:r>
          </w:p>
        </w:tc>
        <w:tc>
          <w:tcPr>
            <w:tcW w:type="dxa" w:w="2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ISA (£500) + Critical Minerals (£500*) + GRQ (£150)</w:t>
            </w:r>
          </w:p>
        </w:tc>
        <w:tc>
          <w:tcPr>
            <w:tcW w:type="dxa" w:w="7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~£1,150</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Ghana lithium across wrappers. ISA for tax-free gains, GIA for flexibility.</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$TMC</w:t>
            </w:r>
          </w:p>
        </w:tc>
        <w:tc>
          <w:tcPr>
            <w:tcW w:type="dxa" w:w="1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TMC the Metals Company</w:t>
            </w:r>
          </w:p>
        </w:tc>
        <w:tc>
          <w:tcPr>
            <w:tcW w:type="dxa" w:w="2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GIA (£600) + Critical Minerals (£500) + GRQ (£200)</w:t>
            </w:r>
          </w:p>
        </w:tc>
        <w:tc>
          <w:tcPr>
            <w:tcW w:type="dxa" w:w="7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~£1,300</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Deep-sea mining conviction. Spread across wrappers. Binary outcome.</w:t>
            </w:r>
          </w:p>
        </w:tc>
      </w:tr>
      <w:tr>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$SMR</w:t>
            </w:r>
          </w:p>
        </w:tc>
        <w:tc>
          <w:tcPr>
            <w:tcW w:type="dxa" w:w="1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NuScale Power</w:t>
            </w:r>
          </w:p>
        </w:tc>
        <w:tc>
          <w:tcPr>
            <w:tcW w:type="dxa" w:w="2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GIA (£800) + GRQ (£350)</w:t>
            </w:r>
          </w:p>
        </w:tc>
        <w:tc>
          <w:tcPr>
            <w:tcW w:type="dxa" w:w="7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~£1,150</w:t>
            </w:r>
          </w:p>
        </w:tc>
        <w:tc>
          <w:tcPr>
            <w:tcW w:type="dxa" w:w="6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Nuclear SMR conviction across growth + speculative portfolios.</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$MP</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MP Materials</w:t>
            </w:r>
          </w:p>
        </w:tc>
        <w:tc>
          <w:tcPr>
            <w:tcW w:type="dxa" w:w="2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Critical Minerals (£800) + GRQ (£300)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~£1,100</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Only Western REE mine. Geopolitical urgency justifies concentration.</w:t>
            </w:r>
          </w:p>
        </w:tc>
      </w:tr>
      <w:tr>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$CRML</w:t>
            </w:r>
          </w:p>
        </w:tc>
        <w:tc>
          <w:tcPr>
            <w:tcW w:type="dxa" w:w="12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Critical Metals Corp</w:t>
            </w:r>
          </w:p>
        </w:tc>
        <w:tc>
          <w:tcPr>
            <w:tcW w:type="dxa" w:w="2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GIA (£700) + Critical Minerals (£500)</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~£1,200</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European REE independence. Speculative but strategically important.</w:t>
            </w:r>
          </w:p>
        </w:tc>
      </w:tr>
      <w:tr>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$IREN</w:t>
            </w:r>
          </w:p>
        </w:tc>
        <w:tc>
          <w:tcPr>
            <w:tcW w:type="dxa" w:w="12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IREN Limited</w:t>
            </w:r>
          </w:p>
        </w:tc>
        <w:tc>
          <w:tcPr>
            <w:tcW w:type="dxa" w:w="2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GIA (£800) + GRQ (£200)</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~£1,000</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Bitcoin-to-AI pivot. Dual thesis across growth + speculative.</w:t>
            </w:r>
          </w:p>
        </w:tc>
      </w:tr>
      <w:tr>
        <w:tc>
          <w:tcPr>
            <w:tcW w:type="dxa" w:w="6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YCA.L</w:t>
            </w:r>
          </w:p>
        </w:tc>
        <w:tc>
          <w:tcPr>
            <w:tcW w:type="dxa" w:w="12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Yellow Cake</w:t>
            </w:r>
          </w:p>
        </w:tc>
        <w:tc>
          <w:tcPr>
            <w:tcW w:type="dxa" w:w="28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ISA (£1,000) + Critical Minerals (£800)</w:t>
            </w:r>
          </w:p>
        </w:tc>
        <w:tc>
          <w:tcPr>
            <w:tcW w:type="dxa" w:w="7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~£1,800</w:t>
            </w:r>
          </w:p>
        </w:tc>
        <w:tc>
          <w:tcPr>
            <w:tcW w:type="dxa" w:w="6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Physical uranium. Largest single overlap. Both ISA (high growth) + SIPP (long-term).</w:t>
            </w:r>
          </w:p>
        </w:tc>
      </w:tr>
      <w:tr>
        <w:tc>
          <w:tcPr>
            <w:tcW w:type="dxa" w:w="6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GLEN.L</w:t>
            </w:r>
          </w:p>
        </w:tc>
        <w:tc>
          <w:tcPr>
            <w:tcW w:type="dxa" w:w="12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Glencore</w:t>
            </w:r>
          </w:p>
        </w:tc>
        <w:tc>
          <w:tcPr>
            <w:tcW w:type="dxa" w:w="28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ISA (£1,500) + Critical Minerals (£800)</w:t>
            </w:r>
          </w:p>
        </w:tc>
        <w:tc>
          <w:tcPr>
            <w:tcW w:type="dxa" w:w="7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~£2,300</w:t>
            </w:r>
          </w:p>
        </w:tc>
        <w:tc>
          <w:tcPr>
            <w:tcW w:type="dxa" w:w="6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World’s largest cobalt producer + commodity trader. Dual thesis.</w:t>
            </w:r>
          </w:p>
        </w:tc>
      </w:tr>
      <w:tr>
        <w:tc>
          <w:tcPr>
            <w:tcW w:type="dxa" w:w="6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RIO.L</w:t>
            </w:r>
          </w:p>
        </w:tc>
        <w:tc>
          <w:tcPr>
            <w:tcW w:type="dxa" w:w="12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Rio Tinto</w:t>
            </w:r>
          </w:p>
        </w:tc>
        <w:tc>
          <w:tcPr>
            <w:tcW w:type="dxa" w:w="28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ISA (£1,500) + Critical Minerals (£1,000)</w:t>
            </w:r>
          </w:p>
        </w:tc>
        <w:tc>
          <w:tcPr>
            <w:tcW w:type="dxa" w:w="7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~£2,500</w:t>
            </w:r>
          </w:p>
        </w:tc>
        <w:tc>
          <w:tcPr>
            <w:tcW w:type="dxa" w:w="6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YES</w:t>
            </w:r>
          </w:p>
        </w:tc>
        <w:tc>
          <w:tcPr>
            <w:tcW w:type="dxa" w:w="37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FTSE 100 core + critical minerals diversifier. Largest single holding.</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0A1628"/>
          <w:sz w:val="22"/>
          <w:szCs w:val="22"/>
        </w:rPr>
        <w:t xml:space="preserve">Maximum Single-Ticker Exposure: </w:t>
      </w:r>
      <w:r>
        <w:rPr>
          <w:rFonts w:ascii="Arial" w:cs="Arial" w:eastAsia="Arial" w:hAnsi="Arial"/>
          <w:b w:val="false"/>
          <w:bCs w:val="false"/>
          <w:i w:val="false"/>
          <w:iCs w:val="false"/>
          <w:color w:val="333333"/>
          <w:sz w:val="22"/>
          <w:szCs w:val="22"/>
        </w:rPr>
        <w:t xml:space="preserve">RIO.L at ~£2,500 (FTSE 100, SIPP+ISA). This is appropriate for a blue-chip dividend payer in tax-advantaged wrappers.</w:t>
      </w:r>
    </w:p>
    <w:p>
      <w:pPr>
        <w:spacing w:after="120"/>
        <w:jc w:val="left"/>
      </w:pPr>
      <w:r>
        <w:rPr>
          <w:rFonts w:ascii="Arial" w:cs="Arial" w:eastAsia="Arial" w:hAnsi="Arial"/>
          <w:b/>
          <w:bCs/>
          <w:i w:val="false"/>
          <w:iCs w:val="false"/>
          <w:color w:val="D97706"/>
          <w:sz w:val="22"/>
          <w:szCs w:val="22"/>
        </w:rPr>
        <w:t xml:space="preserve">Maximum Speculative Overlap: </w:t>
      </w:r>
      <w:r>
        <w:rPr>
          <w:rFonts w:ascii="Arial" w:cs="Arial" w:eastAsia="Arial" w:hAnsi="Arial"/>
          <w:b w:val="false"/>
          <w:bCs w:val="false"/>
          <w:i w:val="false"/>
          <w:iCs w:val="false"/>
          <w:color w:val="333333"/>
          <w:sz w:val="22"/>
          <w:szCs w:val="22"/>
        </w:rPr>
        <w:t xml:space="preserve">$TMC at ~£1,300 across 3 portfolios. Deep-sea mining is binary — total loss on this ticker = £1,300. Within tolerance but should not be increased further.</w:t>
      </w:r>
    </w:p>
    <w:p>
      <w:r>
        <w:br w:type="page"/>
      </w:r>
    </w:p>
    <w:p>
      <w:pPr>
        <w:pStyle w:val="Heading1"/>
      </w:pPr>
      <w:r>
        <w:rPr>
          <w:rFonts w:ascii="Arial" w:cs="Arial" w:eastAsia="Arial" w:hAnsi="Arial"/>
        </w:rPr>
        <w:t xml:space="preserve">17. Tax Wrapper Optimisation Strategy</w:t>
      </w:r>
    </w:p>
    <w:p>
      <w:pPr>
        <w:spacing w:after="120"/>
        <w:jc w:val="left"/>
      </w:pPr>
      <w:r>
        <w:rPr>
          <w:rFonts w:ascii="Arial" w:cs="Arial" w:eastAsia="Arial" w:hAnsi="Arial"/>
          <w:b w:val="false"/>
          <w:bCs w:val="false"/>
          <w:i w:val="false"/>
          <w:iCs w:val="false"/>
          <w:color w:val="333333"/>
          <w:sz w:val="22"/>
          <w:szCs w:val="22"/>
        </w:rPr>
        <w:t xml:space="preserve">Every position is assigned to the optimal UK tax wrapper:</w:t>
      </w:r>
    </w:p>
    <w:p>
      <w:pPr>
        <w:spacing w:after="120"/>
        <w:jc w:val="left"/>
      </w:pPr>
      <w:r>
        <w:rPr>
          <w:rFonts w:ascii="Arial" w:cs="Arial" w:eastAsia="Arial" w:hAnsi="Arial"/>
          <w:b w:val="false"/>
          <w:bCs w:val="false"/>
          <w:i w:val="false"/>
          <w:iCs w:val="false"/>
          <w:color w:val="333333"/>
          <w:sz w:val="22"/>
          <w:szCs w:val="22"/>
        </w:rPr>
        <w:t xml:space="preserve"/>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00"/>
        <w:gridCol w:w="800"/>
        <w:gridCol w:w="2300"/>
        <w:gridCol w:w="2178"/>
      </w:tblGrid>
      <w:tr>
        <w:trPr>
          <w:tblHeader/>
        </w:trPr>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Wrapper</w:t>
            </w:r>
          </w:p>
        </w:tc>
        <w:tc>
          <w:tcPr>
            <w:tcW w:type="dxa" w:w="1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Logic</w:t>
            </w:r>
          </w:p>
        </w:tc>
        <w:tc>
          <w:tcPr>
            <w:tcW w:type="dxa" w:w="6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Holdings</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Capital</w:t>
            </w:r>
          </w:p>
        </w:tc>
        <w:tc>
          <w:tcPr>
            <w:tcW w:type="dxa" w:w="23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Tax Benefit</w:t>
            </w:r>
          </w:p>
        </w:tc>
        <w:tc>
          <w:tcPr>
            <w:tcW w:type="dxa" w:w="21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Best For</w:t>
            </w:r>
          </w:p>
        </w:tc>
      </w:tr>
      <w:tr>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ISA</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0% CGT + 0% dividend tax</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~18</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~£18,200</w:t>
            </w:r>
          </w:p>
        </w:tc>
        <w:tc>
          <w:tcPr>
            <w:tcW w:type="dxa" w:w="2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Tax-free capital gains AND dividends</w:t>
            </w:r>
          </w:p>
        </w:tc>
        <w:tc>
          <w:tcPr>
            <w:tcW w:type="dxa" w:w="21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High-yield LSE stocks + high-growth UK-listed</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SIPP</w:t>
            </w:r>
          </w:p>
        </w:tc>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20–40% relief + 0% gains</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~22</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~£20,372</w:t>
            </w:r>
          </w:p>
        </w:tc>
        <w:tc>
          <w:tcPr>
            <w:tcW w:type="dxa" w:w="2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Tax relief on entry + untaxed compounding</w:t>
            </w:r>
          </w:p>
        </w:tc>
        <w:tc>
          <w:tcPr>
            <w:tcW w:type="dxa" w:w="21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Accumulating ETFs + income trusts</w:t>
            </w:r>
          </w:p>
        </w:tc>
      </w:tr>
      <w:tr>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GIA</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CGT allowance + loss offset</w:t>
            </w:r>
          </w:p>
        </w:tc>
        <w:tc>
          <w:tcPr>
            <w:tcW w:type="dxa" w:w="6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~50+</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~£27,000</w:t>
            </w:r>
          </w:p>
        </w:tc>
        <w:tc>
          <w:tcPr>
            <w:tcW w:type="dxa" w:w="2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£3,000 CGT allowance + loss harvesting</w:t>
            </w:r>
          </w:p>
        </w:tc>
        <w:tc>
          <w:tcPr>
            <w:tcW w:type="dxa" w:w="21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US-listed stocks + speculative positions</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Crypto Exchange</w:t>
            </w:r>
          </w:p>
        </w:tc>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CGT on disposal only</w:t>
            </w:r>
          </w:p>
        </w:tc>
        <w:tc>
          <w:tcPr>
            <w:tcW w:type="dxa" w:w="6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£10,500</w:t>
            </w:r>
          </w:p>
        </w:tc>
        <w:tc>
          <w:tcPr>
            <w:tcW w:type="dxa" w:w="2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No tax until sold</w:t>
            </w:r>
          </w:p>
        </w:tc>
        <w:tc>
          <w:tcPr>
            <w:tcW w:type="dxa" w:w="21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Crypto holdings (Coinbase/Kraken)</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0A1628"/>
          <w:sz w:val="22"/>
          <w:szCs w:val="22"/>
        </w:rPr>
        <w:t xml:space="preserve">Key Constraint: </w:t>
      </w:r>
      <w:r>
        <w:rPr>
          <w:rFonts w:ascii="Arial" w:cs="Arial" w:eastAsia="Arial" w:hAnsi="Arial"/>
          <w:b w:val="false"/>
          <w:bCs w:val="false"/>
          <w:i w:val="false"/>
          <w:iCs w:val="false"/>
          <w:color w:val="333333"/>
          <w:sz w:val="22"/>
          <w:szCs w:val="22"/>
        </w:rPr>
        <w:t xml:space="preserve">Freetrade cannot hold US-listed stocks in ISA or SIPP. All US equities ($TSM, $ASML, $PLTR, $CRWV, $SMR, $MP, $TMC, etc.) must be held in GIA. This is a platform limitation, not a tax preference.</w:t>
      </w:r>
    </w:p>
    <w:p>
      <w:r>
        <w:br w:type="page"/>
      </w:r>
    </w:p>
    <w:p>
      <w:pPr>
        <w:pStyle w:val="Heading1"/>
      </w:pPr>
      <w:r>
        <w:rPr>
          <w:rFonts w:ascii="Arial" w:cs="Arial" w:eastAsia="Arial" w:hAnsi="Arial"/>
        </w:rPr>
        <w:t xml:space="preserve">18. Geopolitical Catalyst Master Timeline</w:t>
      </w:r>
    </w:p>
    <w:p>
      <w:pPr>
        <w:spacing w:after="120"/>
        <w:jc w:val="left"/>
      </w:pPr>
      <w:r>
        <w:rPr>
          <w:rFonts w:ascii="Arial" w:cs="Arial" w:eastAsia="Arial" w:hAnsi="Arial"/>
          <w:b w:val="false"/>
          <w:bCs w:val="false"/>
          <w:i w:val="false"/>
          <w:iCs w:val="false"/>
          <w:color w:val="333333"/>
          <w:sz w:val="22"/>
          <w:szCs w:val="22"/>
        </w:rPr>
        <w:t xml:space="preserve">Ten macro events mapped with timing, impact, affected stocks, and probability.</w:t>
      </w:r>
    </w:p>
    <w:p>
      <w:pPr>
        <w:spacing w:after="120"/>
        <w:jc w:val="left"/>
      </w:pPr>
      <w:r>
        <w:rPr>
          <w:rFonts w:ascii="Arial" w:cs="Arial" w:eastAsia="Arial" w:hAnsi="Arial"/>
          <w:b w:val="false"/>
          <w:bCs w:val="false"/>
          <w:i w:val="false"/>
          <w:iCs w:val="false"/>
          <w:color w:val="333333"/>
          <w:sz w:val="22"/>
          <w:szCs w:val="22"/>
        </w:rPr>
        <w:t xml:space="preserve"/>
      </w:r>
    </w:p>
    <w:tbl>
      <w:tblPr>
        <w:tblW w:type="dxa" w:w="7678"/>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700"/>
        <w:gridCol w:w="1800"/>
        <w:gridCol w:w="400"/>
        <w:gridCol w:w="2778"/>
      </w:tblGrid>
      <w:tr>
        <w:trPr>
          <w:tblHeader/>
        </w:trPr>
        <w:tc>
          <w:tcPr>
            <w:tcW w:type="dxa" w:w="13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Catalyst</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Timing</w:t>
            </w:r>
          </w:p>
        </w:tc>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Impact</w:t>
            </w:r>
          </w:p>
        </w:tc>
        <w:tc>
          <w:tcPr>
            <w:tcW w:type="dxa" w:w="1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Most Impacted</w:t>
            </w:r>
          </w:p>
        </w:tc>
        <w:tc>
          <w:tcPr>
            <w:tcW w:type="dxa" w:w="4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Prob.</w:t>
            </w:r>
          </w:p>
        </w:tc>
        <w:tc>
          <w:tcPr>
            <w:tcW w:type="dxa" w:w="27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Watch Signal</w:t>
            </w:r>
          </w:p>
        </w:tc>
      </w:tr>
      <w:tr>
        <w:tc>
          <w:tcPr>
            <w:tcW w:type="dxa" w:w="13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Hormuz Full Closure</w:t>
            </w:r>
          </w:p>
        </w:tc>
        <w:tc>
          <w:tcPr>
            <w:tcW w:type="dxa" w:w="7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NOW</w:t>
            </w:r>
          </w:p>
        </w:tc>
        <w:tc>
          <w:tcPr>
            <w:tcW w:type="dxa" w:w="7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EXTREME</w:t>
            </w:r>
          </w:p>
        </w:tc>
        <w:tc>
          <w:tcPr>
            <w:tcW w:type="dxa" w:w="18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ALL 13 oil stocks</w:t>
            </w:r>
          </w:p>
        </w:tc>
        <w:tc>
          <w:tcPr>
            <w:tcW w:type="dxa" w:w="4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60%</w:t>
            </w:r>
          </w:p>
        </w:tc>
        <w:tc>
          <w:tcPr>
            <w:tcW w:type="dxa" w:w="27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Tanker insurance, carrier deployments</w:t>
            </w:r>
          </w:p>
        </w:tc>
      </w:tr>
      <w:tr>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OPEC+ Emergency Cut</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Q2–Q3 2026</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HIGH</w:t>
            </w:r>
          </w:p>
        </w:tc>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AET, KOS, GKP, SEPL, PTAL, PBR</w:t>
            </w:r>
          </w:p>
        </w:tc>
        <w:tc>
          <w:tcPr>
            <w:tcW w:type="dxa" w:w="4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55%</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OPEC+ meeting dates, Saudi ASP</w:t>
            </w:r>
          </w:p>
        </w:tc>
      </w:tr>
      <w:tr>
        <w:tc>
          <w:tcPr>
            <w:tcW w:type="dxa" w:w="13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Kurdistan Peace Deal</w:t>
            </w:r>
          </w:p>
        </w:tc>
        <w:tc>
          <w:tcPr>
            <w:tcW w:type="dxa" w:w="7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H1–H2 2026</w:t>
            </w:r>
          </w:p>
        </w:tc>
        <w:tc>
          <w:tcPr>
            <w:tcW w:type="dxa" w:w="7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HIGH (GKP)</w:t>
            </w:r>
          </w:p>
        </w:tc>
        <w:tc>
          <w:tcPr>
            <w:tcW w:type="dxa" w:w="18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GKP, AET</w:t>
            </w:r>
          </w:p>
        </w:tc>
        <w:tc>
          <w:tcPr>
            <w:tcW w:type="dxa" w:w="4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40%</w:t>
            </w:r>
          </w:p>
        </w:tc>
        <w:tc>
          <w:tcPr>
            <w:tcW w:type="dxa" w:w="27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KRG-Baghdad meetings, Ceyhan data</w:t>
            </w:r>
          </w:p>
        </w:tc>
      </w:tr>
      <w:tr>
        <w:tc>
          <w:tcPr>
            <w:tcW w:type="dxa" w:w="13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Nigeria IOC Exits</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2026–2027</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HIGH (SEPL)</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SEPL</w:t>
            </w:r>
          </w:p>
        </w:tc>
        <w:tc>
          <w:tcPr>
            <w:tcW w:type="dxa" w:w="4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70%</w:t>
            </w:r>
          </w:p>
        </w:tc>
        <w:tc>
          <w:tcPr>
            <w:tcW w:type="dxa" w:w="27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Shell Nigeria RNS</w:t>
            </w:r>
          </w:p>
        </w:tc>
      </w:tr>
      <w:tr>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Namibia Basin Discovery</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2026</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HIGH (ECO)</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ECO, RKH</w:t>
            </w:r>
          </w:p>
        </w:tc>
        <w:tc>
          <w:tcPr>
            <w:tcW w:type="dxa" w:w="4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45%</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TotalEnergies Venus-2 well results</w:t>
            </w:r>
          </w:p>
        </w:tc>
      </w:tr>
      <w:tr>
        <w:tc>
          <w:tcPr>
            <w:tcW w:type="dxa" w:w="13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EU Russian Gas Ban</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2026</w:t>
            </w:r>
          </w:p>
        </w:tc>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HIGH</w:t>
            </w:r>
          </w:p>
        </w:tc>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PXEN, BOR, AEX</w:t>
            </w:r>
          </w:p>
        </w:tc>
        <w:tc>
          <w:tcPr>
            <w:tcW w:type="dxa" w:w="4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35%</w:t>
            </w:r>
          </w:p>
        </w:tc>
        <w:tc>
          <w:tcPr>
            <w:tcW w:type="dxa" w:w="27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EU energy council, TTF forwards</w:t>
            </w:r>
          </w:p>
        </w:tc>
      </w:tr>
      <w:tr>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UK Energy Emergency</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2026 Budget</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MEDIUM</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STAR, RKH</w:t>
            </w:r>
          </w:p>
        </w:tc>
        <w:tc>
          <w:tcPr>
            <w:tcW w:type="dxa" w:w="4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40%</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Chancellor statements, NSTA rounds</w:t>
            </w:r>
          </w:p>
        </w:tc>
      </w:tr>
      <w:tr>
        <w:tc>
          <w:tcPr>
            <w:tcW w:type="dxa" w:w="13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Angola Production Surge</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Ongoing</w:t>
            </w:r>
          </w:p>
        </w:tc>
        <w:tc>
          <w:tcPr>
            <w:tcW w:type="dxa" w:w="7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MEDIUM</w:t>
            </w:r>
          </w:p>
        </w:tc>
        <w:tc>
          <w:tcPr>
            <w:tcW w:type="dxa" w:w="18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AET</w:t>
            </w:r>
          </w:p>
        </w:tc>
        <w:tc>
          <w:tcPr>
            <w:tcW w:type="dxa" w:w="4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65%</w:t>
            </w:r>
          </w:p>
        </w:tc>
        <w:tc>
          <w:tcPr>
            <w:tcW w:type="dxa" w:w="27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Sonangol data, ANPG licensing</w:t>
            </w:r>
          </w:p>
        </w:tc>
      </w:tr>
      <w:tr>
        <w:tc>
          <w:tcPr>
            <w:tcW w:type="dxa" w:w="13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Brazil Election</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Oct 2026</w:t>
            </w:r>
          </w:p>
        </w:tc>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MEDIUM</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PBR</w:t>
            </w:r>
          </w:p>
        </w:tc>
        <w:tc>
          <w:tcPr>
            <w:tcW w:type="dxa" w:w="4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45%</w:t>
            </w:r>
          </w:p>
        </w:tc>
        <w:tc>
          <w:tcPr>
            <w:tcW w:type="dxa" w:w="27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Polling data, Petrobras board</w:t>
            </w:r>
          </w:p>
        </w:tc>
      </w:tr>
      <w:tr>
        <w:tc>
          <w:tcPr>
            <w:tcW w:type="dxa" w:w="13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Full Regional War</w:t>
            </w:r>
          </w:p>
        </w:tc>
        <w:tc>
          <w:tcPr>
            <w:tcW w:type="dxa" w:w="7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2026 risk</w:t>
            </w:r>
          </w:p>
        </w:tc>
        <w:tc>
          <w:tcPr>
            <w:tcW w:type="dxa" w:w="7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EXTREME</w:t>
            </w:r>
          </w:p>
        </w:tc>
        <w:tc>
          <w:tcPr>
            <w:tcW w:type="dxa" w:w="18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ALL (KOS, AET, SEPL)</w:t>
            </w:r>
          </w:p>
        </w:tc>
        <w:tc>
          <w:tcPr>
            <w:tcW w:type="dxa" w:w="4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25%</w:t>
            </w:r>
          </w:p>
        </w:tc>
        <w:tc>
          <w:tcPr>
            <w:tcW w:type="dxa" w:w="27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IRGC movements, UN Security Council</w:t>
            </w:r>
          </w:p>
        </w:tc>
      </w:tr>
    </w:tbl>
    <w:p>
      <w:r>
        <w:br w:type="page"/>
      </w:r>
    </w:p>
    <w:p>
      <w:pPr>
        <w:pStyle w:val="Heading1"/>
      </w:pPr>
      <w:r>
        <w:rPr>
          <w:rFonts w:ascii="Arial" w:cs="Arial" w:eastAsia="Arial" w:hAnsi="Arial"/>
        </w:rPr>
        <w:t xml:space="preserve">19. Risk Management, Stop-Losses &amp; Exit Strategy</w:t>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OIL PORTFOLIO — HARD RULES</w:t>
      </w:r>
    </w:p>
    <w:p>
      <w:pPr>
        <w:spacing w:after="120"/>
        <w:jc w:val="left"/>
      </w:pPr>
      <w:r>
        <w:rPr>
          <w:rFonts w:ascii="Arial" w:cs="Arial" w:eastAsia="Arial" w:hAnsi="Arial"/>
          <w:b/>
          <w:bCs/>
          <w:i w:val="false"/>
          <w:iCs w:val="false"/>
          <w:color w:val="DC2626"/>
          <w:sz w:val="22"/>
          <w:szCs w:val="22"/>
        </w:rPr>
        <w:t xml:space="preserve">Rule 1: </w:t>
      </w:r>
      <w:r>
        <w:rPr>
          <w:rFonts w:ascii="Arial" w:cs="Arial" w:eastAsia="Arial" w:hAnsi="Arial"/>
          <w:b w:val="false"/>
          <w:bCs w:val="false"/>
          <w:i w:val="false"/>
          <w:iCs w:val="false"/>
          <w:color w:val="333333"/>
          <w:sz w:val="22"/>
          <w:szCs w:val="22"/>
        </w:rPr>
        <w:t xml:space="preserve">Begin systematic profit-taking by late June 2026. Oil futures for 2027–2028 are in the high $60s.</w:t>
      </w:r>
    </w:p>
    <w:p>
      <w:pPr>
        <w:spacing w:after="120"/>
        <w:jc w:val="left"/>
      </w:pPr>
      <w:r>
        <w:rPr>
          <w:rFonts w:ascii="Arial" w:cs="Arial" w:eastAsia="Arial" w:hAnsi="Arial"/>
          <w:b/>
          <w:bCs/>
          <w:i w:val="false"/>
          <w:iCs w:val="false"/>
          <w:color w:val="DC2626"/>
          <w:sz w:val="22"/>
          <w:szCs w:val="22"/>
        </w:rPr>
        <w:t xml:space="preserve">Rule 2: </w:t>
      </w:r>
      <w:r>
        <w:rPr>
          <w:rFonts w:ascii="Arial" w:cs="Arial" w:eastAsia="Arial" w:hAnsi="Arial"/>
          <w:b w:val="false"/>
          <w:bCs w:val="false"/>
          <w:i w:val="false"/>
          <w:iCs w:val="false"/>
          <w:color w:val="333333"/>
          <w:sz w:val="22"/>
          <w:szCs w:val="22"/>
        </w:rPr>
        <w:t xml:space="preserve">If Brent forward curve drops below $80/bbl, initiate emergency exit on ALL positions.</w:t>
      </w:r>
    </w:p>
    <w:p>
      <w:pPr>
        <w:spacing w:after="120"/>
        <w:jc w:val="left"/>
      </w:pPr>
      <w:r>
        <w:rPr>
          <w:rFonts w:ascii="Arial" w:cs="Arial" w:eastAsia="Arial" w:hAnsi="Arial"/>
          <w:b/>
          <w:bCs/>
          <w:i w:val="false"/>
          <w:iCs w:val="false"/>
          <w:color w:val="16A34A"/>
          <w:sz w:val="22"/>
          <w:szCs w:val="22"/>
        </w:rPr>
        <w:t xml:space="preserve">Rule 3: </w:t>
      </w:r>
      <w:r>
        <w:rPr>
          <w:rFonts w:ascii="Arial" w:cs="Arial" w:eastAsia="Arial" w:hAnsi="Arial"/>
          <w:b w:val="false"/>
          <w:bCs w:val="false"/>
          <w:i w:val="false"/>
          <w:iCs w:val="false"/>
          <w:color w:val="333333"/>
          <w:sz w:val="22"/>
          <w:szCs w:val="22"/>
        </w:rPr>
        <w:t xml:space="preserve">AET exception: If firm bid is announced, hold through offer process regardless of oil price.</w:t>
      </w:r>
    </w:p>
    <w:p>
      <w:pPr>
        <w:spacing w:after="120"/>
        <w:jc w:val="left"/>
      </w:pPr>
      <w:r>
        <w:rPr>
          <w:rFonts w:ascii="Arial" w:cs="Arial" w:eastAsia="Arial" w:hAnsi="Arial"/>
          <w:b/>
          <w:bCs/>
          <w:i w:val="false"/>
          <w:iCs w:val="false"/>
          <w:color w:val="DC2626"/>
          <w:sz w:val="22"/>
          <w:szCs w:val="22"/>
        </w:rPr>
        <w:t xml:space="preserve">Rule 4: </w:t>
      </w:r>
      <w:r>
        <w:rPr>
          <w:rFonts w:ascii="Arial" w:cs="Arial" w:eastAsia="Arial" w:hAnsi="Arial"/>
          <w:b w:val="false"/>
          <w:bCs w:val="false"/>
          <w:i w:val="false"/>
          <w:iCs w:val="false"/>
          <w:color w:val="333333"/>
          <w:sz w:val="22"/>
          <w:szCs w:val="22"/>
        </w:rPr>
        <w:t xml:space="preserve">If AET strategic review terminated with no offer, sell immediately into any bounce.</w:t>
      </w:r>
    </w:p>
    <w:p>
      <w:pPr>
        <w:spacing w:after="120"/>
        <w:jc w:val="left"/>
      </w:pPr>
      <w:r>
        <w:rPr>
          <w:rFonts w:ascii="Arial" w:cs="Arial" w:eastAsia="Arial" w:hAnsi="Arial"/>
          <w:b/>
          <w:bCs/>
          <w:i w:val="false"/>
          <w:iCs w:val="false"/>
          <w:color w:val="D97706"/>
          <w:sz w:val="22"/>
          <w:szCs w:val="22"/>
        </w:rPr>
        <w:t xml:space="preserve">Rule 5: </w:t>
      </w:r>
      <w:r>
        <w:rPr>
          <w:rFonts w:ascii="Arial" w:cs="Arial" w:eastAsia="Arial" w:hAnsi="Arial"/>
          <w:b w:val="false"/>
          <w:bCs w:val="false"/>
          <w:i w:val="false"/>
          <w:iCs w:val="false"/>
          <w:color w:val="333333"/>
          <w:sz w:val="22"/>
          <w:szCs w:val="22"/>
        </w:rPr>
        <w:t xml:space="preserve">If oil hits $130+/bbl, take 25% profit on GKP + JSE, hold AET and SEPL.</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STOP-LOSS LEVELS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800"/>
        <w:gridCol w:w="900"/>
        <w:gridCol w:w="1800"/>
        <w:gridCol w:w="900"/>
      </w:tblGrid>
      <w:tr>
        <w:trPr>
          <w:tblHeader/>
        </w:trPr>
        <w:tc>
          <w:tcPr>
            <w:tcW w:type="dxa" w:w="7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Stock</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Entry</w:t>
            </w:r>
          </w:p>
        </w:tc>
        <w:tc>
          <w:tcPr>
            <w:tcW w:type="dxa" w:w="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Stop-Loss</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Max Loss</w:t>
            </w:r>
          </w:p>
        </w:tc>
        <w:tc>
          <w:tcPr>
            <w:tcW w:type="dxa" w:w="18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Trigger</w:t>
            </w:r>
          </w:p>
        </w:tc>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Loss as % of £10k</w:t>
            </w:r>
          </w:p>
        </w:tc>
      </w:tr>
      <w:tr>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AET</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82–87p</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58p</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~£1,459</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No bid + oil &lt;$70</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14.6%</w:t>
            </w:r>
          </w:p>
        </w:tc>
      </w:tr>
      <w:tr>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GKP</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218–228p</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165p</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~£693</w:t>
            </w:r>
          </w:p>
        </w:tc>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Restart delayed &gt;Q3</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6.9%</w:t>
            </w:r>
          </w:p>
        </w:tc>
      </w:tr>
      <w:tr>
        <w:tc>
          <w:tcPr>
            <w:tcW w:type="dxa" w:w="7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JSE</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27–30p</w:t>
            </w:r>
          </w:p>
        </w:tc>
        <w:tc>
          <w:tcPr>
            <w:tcW w:type="dxa" w:w="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20p</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~£667</w:t>
            </w:r>
          </w:p>
        </w:tc>
        <w:tc>
          <w:tcPr>
            <w:tcW w:type="dxa" w:w="18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Vietnam FDP rejected</w:t>
            </w:r>
          </w:p>
        </w:tc>
        <w:tc>
          <w:tcPr>
            <w:tcW w:type="dxa" w:w="9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6.7%</w:t>
            </w:r>
          </w:p>
        </w:tc>
      </w:tr>
      <w:tr>
        <w:tc>
          <w:tcPr>
            <w:tcW w:type="dxa" w:w="7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SEPL</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1,380–1,430p</w:t>
            </w:r>
          </w:p>
        </w:tc>
        <w:tc>
          <w:tcPr>
            <w:tcW w:type="dxa" w:w="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1,050p</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~£133</w:t>
            </w:r>
          </w:p>
        </w:tc>
        <w:tc>
          <w:tcPr>
            <w:tcW w:type="dxa" w:w="18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Nigeria security crisis</w:t>
            </w:r>
          </w:p>
        </w:tc>
        <w:tc>
          <w:tcPr>
            <w:tcW w:type="dxa" w:w="9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1.3%</w:t>
            </w:r>
          </w:p>
        </w:tc>
      </w:tr>
      <w:tr>
        <w:tc>
          <w:tcPr>
            <w:tcW w:type="dxa" w:w="7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TOTAL</w:t>
            </w:r>
          </w:p>
        </w:tc>
        <w:tc>
          <w:tcPr>
            <w:tcW w:type="dxa" w:w="9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w:t>
            </w:r>
          </w:p>
        </w:tc>
        <w:tc>
          <w:tcPr>
            <w:tcW w:type="dxa" w:w="8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w:t>
            </w:r>
          </w:p>
        </w:tc>
        <w:tc>
          <w:tcPr>
            <w:tcW w:type="dxa" w:w="9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~£1,900*</w:t>
            </w:r>
          </w:p>
        </w:tc>
        <w:tc>
          <w:tcPr>
            <w:tcW w:type="dxa" w:w="18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All stop-losses triggered</w:t>
            </w:r>
          </w:p>
        </w:tc>
        <w:tc>
          <w:tcPr>
            <w:tcW w:type="dxa" w:w="9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19%</w:t>
            </w:r>
          </w:p>
        </w:tc>
      </w:tr>
    </w:tbl>
    <w:p>
      <w:pPr>
        <w:spacing w:after="120"/>
        <w:jc w:val="left"/>
      </w:pPr>
      <w:r>
        <w:rPr>
          <w:rFonts w:ascii="Arial" w:cs="Arial" w:eastAsia="Arial" w:hAnsi="Arial"/>
          <w:b/>
          <w:bCs/>
          <w:i w:val="false"/>
          <w:iCs w:val="false"/>
          <w:color w:val="0A1628"/>
          <w:sz w:val="22"/>
          <w:szCs w:val="22"/>
        </w:rPr>
        <w:t xml:space="preserve">*Within the £2,000 stated maximum loss tolerance.</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SPECULATIVE PORTFOLIO RISK FRAMEWORK</w:t>
      </w:r>
    </w:p>
    <w:p>
      <w:pPr>
        <w:spacing w:after="120"/>
        <w:jc w:val="left"/>
      </w:pPr>
      <w:r>
        <w:rPr>
          <w:rFonts w:ascii="Arial" w:cs="Arial" w:eastAsia="Arial" w:hAnsi="Arial"/>
          <w:b w:val="false"/>
          <w:bCs w:val="false"/>
          <w:i w:val="false"/>
          <w:iCs w:val="false"/>
          <w:color w:val="333333"/>
          <w:sz w:val="22"/>
          <w:szCs w:val="22"/>
        </w:rPr>
        <w:t xml:space="preserve">No single Get Rich Quick position exceeds £350. All 29 positions in GIA for CGT loss harvesting. If a speculative position hits 3x, sell 50% to recover cost basis and let remainder run as a “free bet.”</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PORTFOLIO-WIDE RISK LIMITS</w:t>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678"/>
      </w:tblGrid>
      <w:tr>
        <w:trPr>
          <w:tblHeader/>
        </w:trPr>
        <w:tc>
          <w:tcPr>
            <w:tcW w:type="dxa" w:w="3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Risk Parameter</w:t>
            </w:r>
          </w:p>
        </w:tc>
        <w:tc>
          <w:tcPr>
            <w:tcW w:type="dxa" w:w="2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Limit</w:t>
            </w:r>
          </w:p>
        </w:tc>
        <w:tc>
          <w:tcPr>
            <w:tcW w:type="dxa" w:w="36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Current Status</w:t>
            </w:r>
          </w:p>
        </w:tc>
      </w:tr>
      <w:tr>
        <w:tc>
          <w:tcPr>
            <w:tcW w:type="dxa" w:w="3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Max single-ticker exposure</w:t>
            </w:r>
          </w:p>
        </w:tc>
        <w:tc>
          <w:tcPr>
            <w:tcW w:type="dxa" w:w="2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£2,500</w:t>
            </w:r>
          </w:p>
        </w:tc>
        <w:tc>
          <w:tcPr>
            <w:tcW w:type="dxa" w:w="3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RIO.L at £2,500 — AT LIMIT</w:t>
            </w:r>
          </w:p>
        </w:tc>
      </w:tr>
      <w:tr>
        <w:tc>
          <w:tcPr>
            <w:tcW w:type="dxa" w:w="3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Max speculative single-ticker</w:t>
            </w:r>
          </w:p>
        </w:tc>
        <w:tc>
          <w:tcPr>
            <w:tcW w:type="dxa" w:w="20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£1,300</w:t>
            </w:r>
          </w:p>
        </w:tc>
        <w:tc>
          <w:tcPr>
            <w:tcW w:type="dxa" w:w="36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$TMC at £1,300 — AT LIMIT</w:t>
            </w:r>
          </w:p>
        </w:tc>
      </w:tr>
      <w:tr>
        <w:tc>
          <w:tcPr>
            <w:tcW w:type="dxa" w:w="3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Max loss tolerance per deployment</w:t>
            </w:r>
          </w:p>
        </w:tc>
        <w:tc>
          <w:tcPr>
            <w:tcW w:type="dxa" w:w="2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£2,000</w:t>
            </w:r>
          </w:p>
        </w:tc>
        <w:tc>
          <w:tcPr>
            <w:tcW w:type="dxa" w:w="3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Oil spread worst case: £1,900 — WITHIN</w:t>
            </w:r>
          </w:p>
        </w:tc>
      </w:tr>
      <w:tr>
        <w:tc>
          <w:tcPr>
            <w:tcW w:type="dxa" w:w="3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Speculative as % of total portfolio</w:t>
            </w:r>
          </w:p>
        </w:tc>
        <w:tc>
          <w:tcPr>
            <w:tcW w:type="dxa" w:w="2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&lt;15%</w:t>
            </w:r>
          </w:p>
        </w:tc>
        <w:tc>
          <w:tcPr>
            <w:tcW w:type="dxa" w:w="3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GRQ £6,300 / £76,872 = 8.2% — WITHIN</w:t>
            </w:r>
          </w:p>
        </w:tc>
      </w:tr>
      <w:tr>
        <w:tc>
          <w:tcPr>
            <w:tcW w:type="dxa" w:w="3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Cash reserve (minimum)</w:t>
            </w:r>
          </w:p>
        </w:tc>
        <w:tc>
          <w:tcPr>
            <w:tcW w:type="dxa" w:w="2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£1,100</w:t>
            </w:r>
          </w:p>
        </w:tc>
        <w:tc>
          <w:tcPr>
            <w:tcW w:type="dxa" w:w="36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Oil £500 + GRQ £600 = £1,100 — MET</w:t>
            </w:r>
          </w:p>
        </w:tc>
      </w:tr>
    </w:tbl>
    <w:p>
      <w:r>
        <w:br w:type="page"/>
      </w:r>
    </w:p>
    <w:p>
      <w:pPr>
        <w:pStyle w:val="Heading1"/>
      </w:pPr>
      <w:r>
        <w:rPr>
          <w:rFonts w:ascii="Arial" w:cs="Arial" w:eastAsia="Arial" w:hAnsi="Arial"/>
        </w:rPr>
        <w:t xml:space="preserve">20. Implementation Checklist &amp; Post-June Rotation</w:t>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SUNDAY NIGHT (MARCH 23) — BEFORE MONDAY OPEN</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Set up LSE RNS email alerts for AET, GKP, JSE, SEPL at rns.lseg.com</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Create Investegate account and follow Afentra at investegate.co.uk</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Bookmark UK Takeover Panel offer period page: thetakeoverpanel.org.uk/offer-period-disclosures</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Create Google Alert: "Afentra" OR "AET oil" — set to "As it happens"</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Download LSE app. Set price alerts: AET at 90p, 95p, 100p, 110p, 120p</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Bookmark Malcy’s Blog (malcysblog.com) and ADVFN AET share chat</w:t>
      </w:r>
    </w:p>
    <w:p>
      <w:pPr>
        <w:spacing w:after="120"/>
        <w:jc w:val="left"/>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Add calendar dates: Apr 9 (GKP ex-div), Apr 27 (GKP div), May–Jun (AET bid window), Jun 28 (exit)</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MONDAY MORNING (MARCH 24) — EXECUTION</w:t>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278"/>
      </w:tblGrid>
      <w:tr>
        <w:trPr>
          <w:tblHeader/>
        </w:trPr>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Time</w:t>
            </w:r>
          </w:p>
        </w:tc>
        <w:tc>
          <w:tcPr>
            <w:tcW w:type="dxa" w:w="14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Action</w:t>
            </w:r>
          </w:p>
        </w:tc>
        <w:tc>
          <w:tcPr>
            <w:tcW w:type="dxa" w:w="62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Detail</w:t>
            </w:r>
          </w:p>
        </w:tc>
      </w:tr>
      <w:tr>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7:30 AM</w:t>
            </w:r>
          </w:p>
        </w:tc>
        <w:tc>
          <w:tcPr>
            <w:tcW w:type="dxa" w:w="14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Check RNS feed</w:t>
            </w:r>
          </w:p>
        </w:tc>
        <w:tc>
          <w:tcPr>
            <w:tcW w:type="dxa" w:w="62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Any overnight news on AET or oil markets? Check Brent spot price.</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7:50 AM</w:t>
            </w:r>
          </w:p>
        </w:tc>
        <w:tc>
          <w:tcPr>
            <w:tcW w:type="dxa" w:w="14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Check Brent crude</w:t>
            </w:r>
          </w:p>
        </w:tc>
        <w:tc>
          <w:tcPr>
            <w:tcW w:type="dxa" w:w="62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If above $115 → expect AET gap open above 85p. Adjust limits accordingly.</w:t>
            </w:r>
          </w:p>
        </w:tc>
      </w:tr>
      <w:tr>
        <w:tc>
          <w:tcPr>
            <w:tcW w:type="dxa" w:w="10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8:00 AM</w:t>
            </w:r>
          </w:p>
        </w:tc>
        <w:tc>
          <w:tcPr>
            <w:tcW w:type="dxa" w:w="1400"/>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Market opens</w:t>
            </w:r>
          </w:p>
        </w:tc>
        <w:tc>
          <w:tcPr>
            <w:tcW w:type="dxa" w:w="6278"/>
            <w:tcBorders>
              <w:top w:val="single" w:color="E2E8F0" w:sz="1"/>
              <w:left w:val="single" w:color="E2E8F0" w:sz="1"/>
              <w:bottom w:val="single" w:color="E2E8F0" w:sz="1"/>
              <w:right w:val="single" w:color="E2E8F0" w:sz="1"/>
            </w:tcBorders>
            <w:shd w:fill="FFFFFF" w:val="clear"/>
            <w:tcMar>
              <w:top w:type="dxa" w:w="55"/>
              <w:left w:type="dxa" w:w="90"/>
              <w:bottom w:type="dxa" w:w="55"/>
              <w:right w:type="dxa" w:w="90"/>
            </w:tcMar>
          </w:tcPr>
          <w:p>
            <w:r>
              <w:rPr>
                <w:rFonts w:ascii="Arial" w:cs="Arial" w:eastAsia="Arial" w:hAnsi="Arial"/>
                <w:color w:val="333333"/>
                <w:sz w:val="16"/>
                <w:szCs w:val="16"/>
              </w:rPr>
              <w:t xml:space="preserve">DO NOT TRADE YET. Opening 15–20 min on AIM are most volatile.</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8:15–8:25 AM</w:t>
            </w:r>
          </w:p>
        </w:tc>
        <w:tc>
          <w:tcPr>
            <w:tcW w:type="dxa" w:w="14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Watch price settlement</w:t>
            </w:r>
          </w:p>
        </w:tc>
        <w:tc>
          <w:tcPr>
            <w:tcW w:type="dxa" w:w="62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Observe where AET, GKP, JSE settle after opening spread narrows.</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8:25 AM</w:t>
            </w:r>
          </w:p>
        </w:tc>
        <w:tc>
          <w:tcPr>
            <w:tcW w:type="dxa" w:w="14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Place 4 limit orders</w:t>
            </w:r>
          </w:p>
        </w:tc>
        <w:tc>
          <w:tcPr>
            <w:tcW w:type="dxa" w:w="62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AET 82–87p (£4,500), GKP 218–228p (£2,500), JSE 27–30p (£2,000), SEPL 1,380–1,430p (£500).</w:t>
            </w:r>
          </w:p>
        </w:tc>
      </w:tr>
      <w:tr>
        <w:tc>
          <w:tcPr>
            <w:tcW w:type="dxa" w:w="10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During day</w:t>
            </w:r>
          </w:p>
        </w:tc>
        <w:tc>
          <w:tcPr>
            <w:tcW w:type="dxa" w:w="1400"/>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Set additional alerts</w:t>
            </w:r>
          </w:p>
        </w:tc>
        <w:tc>
          <w:tcPr>
            <w:tcW w:type="dxa" w:w="6278"/>
            <w:tcBorders>
              <w:top w:val="single" w:color="E2E8F0" w:sz="1"/>
              <w:left w:val="single" w:color="E2E8F0" w:sz="1"/>
              <w:bottom w:val="single" w:color="E2E8F0" w:sz="1"/>
              <w:right w:val="single" w:color="E2E8F0" w:sz="1"/>
            </w:tcBorders>
            <w:shd w:fill="F0F4F8" w:val="clear"/>
            <w:tcMar>
              <w:top w:type="dxa" w:w="55"/>
              <w:left w:type="dxa" w:w="90"/>
              <w:bottom w:type="dxa" w:w="55"/>
              <w:right w:type="dxa" w:w="90"/>
            </w:tcMar>
          </w:tcPr>
          <w:p>
            <w:r>
              <w:rPr>
                <w:rFonts w:ascii="Arial" w:cs="Arial" w:eastAsia="Arial" w:hAnsi="Arial"/>
                <w:color w:val="333333"/>
                <w:sz w:val="16"/>
                <w:szCs w:val="16"/>
              </w:rPr>
              <w:t xml:space="preserve">Use LSE app for price alerts at key levels. Never use market orders on AIM.</w:t>
            </w:r>
          </w:p>
        </w:tc>
      </w:tr>
      <w:tr>
        <w:tc>
          <w:tcPr>
            <w:tcW w:type="dxa" w:w="10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This week</w:t>
            </w:r>
          </w:p>
        </w:tc>
        <w:tc>
          <w:tcPr>
            <w:tcW w:type="dxa" w:w="14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Sell underperformers</w:t>
            </w:r>
          </w:p>
        </w:tc>
        <w:tc>
          <w:tcPr>
            <w:tcW w:type="dxa" w:w="62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Exit SNDA, AEX, IMPP, KOD (wrong sector), BP, APC. Trim KOS 50%.</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KEY CALENDAR DATES</w:t>
      </w:r>
    </w:p>
    <w:tbl>
      <w:tblPr>
        <w:tblW w:type="dxa" w:w="8678"/>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578"/>
      </w:tblGrid>
      <w:tr>
        <w:trPr>
          <w:tblHeader/>
        </w:trPr>
        <w:tc>
          <w:tcPr>
            <w:tcW w:type="dxa" w:w="9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Date</w:t>
            </w:r>
          </w:p>
        </w:tc>
        <w:tc>
          <w:tcPr>
            <w:tcW w:type="dxa" w:w="22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Event</w:t>
            </w:r>
          </w:p>
        </w:tc>
        <w:tc>
          <w:tcPr>
            <w:tcW w:type="dxa" w:w="55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Action Required</w:t>
            </w:r>
          </w:p>
        </w:tc>
      </w:tr>
      <w:tr>
        <w:tc>
          <w:tcPr>
            <w:tcW w:type="dxa" w:w="9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Mar 27–28</w:t>
            </w:r>
          </w:p>
        </w:tc>
        <w:tc>
          <w:tcPr>
            <w:tcW w:type="dxa" w:w="2200"/>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28-day PUSU deadline approaches</w:t>
            </w:r>
          </w:p>
        </w:tc>
        <w:tc>
          <w:tcPr>
            <w:tcW w:type="dxa" w:w="5578"/>
            <w:tcBorders>
              <w:top w:val="single" w:color="E2E8F0" w:sz="1"/>
              <w:left w:val="single" w:color="E2E8F0" w:sz="1"/>
              <w:bottom w:val="single" w:color="E2E8F0" w:sz="1"/>
              <w:right w:val="single" w:color="E2E8F0" w:sz="1"/>
            </w:tcBorders>
            <w:shd w:fill="FEF3C7" w:val="clear"/>
            <w:tcMar>
              <w:top w:type="dxa" w:w="55"/>
              <w:left w:type="dxa" w:w="90"/>
              <w:bottom w:type="dxa" w:w="55"/>
              <w:right w:type="dxa" w:w="90"/>
            </w:tcMar>
          </w:tcPr>
          <w:p>
            <w:r>
              <w:rPr>
                <w:rFonts w:ascii="Arial" w:cs="Arial" w:eastAsia="Arial" w:hAnsi="Arial"/>
                <w:color w:val="333333"/>
                <w:sz w:val="16"/>
                <w:szCs w:val="16"/>
              </w:rPr>
              <w:t xml:space="preserve">Check RNS daily. Bidder may be named or period extended.</w:t>
            </w:r>
          </w:p>
        </w:tc>
      </w:tr>
      <w:tr>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Apr 9</w:t>
            </w:r>
          </w:p>
        </w:tc>
        <w:tc>
          <w:tcPr>
            <w:tcW w:type="dxa" w:w="2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GKP dividend ex-dividend date</w:t>
            </w:r>
          </w:p>
        </w:tc>
        <w:tc>
          <w:tcPr>
            <w:tcW w:type="dxa" w:w="5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MUST hold GKP before this date to receive April dividend.</w:t>
            </w:r>
          </w:p>
        </w:tc>
      </w:tr>
      <w:tr>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Apr 27</w:t>
            </w:r>
          </w:p>
        </w:tc>
        <w:tc>
          <w:tcPr>
            <w:tcW w:type="dxa" w:w="2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GKP $12.5M interim dividend paid</w:t>
            </w:r>
          </w:p>
        </w:tc>
        <w:tc>
          <w:tcPr>
            <w:tcW w:type="dxa" w:w="5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Monitor for production restart news around same date.</w:t>
            </w:r>
          </w:p>
        </w:tc>
      </w:tr>
      <w:tr>
        <w:tc>
          <w:tcPr>
            <w:tcW w:type="dxa" w:w="9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May 2026</w:t>
            </w:r>
          </w:p>
        </w:tc>
        <w:tc>
          <w:tcPr>
            <w:tcW w:type="dxa" w:w="22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AET firm offer announcement window</w:t>
            </w:r>
          </w:p>
        </w:tc>
        <w:tc>
          <w:tcPr>
            <w:tcW w:type="dxa" w:w="55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Maximum alert readiness. Rule 2.7 announcement expected.</w:t>
            </w:r>
          </w:p>
        </w:tc>
      </w:tr>
      <w:tr>
        <w:tc>
          <w:tcPr>
            <w:tcW w:type="dxa" w:w="9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Jun 2026</w:t>
            </w:r>
          </w:p>
        </w:tc>
        <w:tc>
          <w:tcPr>
            <w:tcW w:type="dxa" w:w="22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Q2 oil price peak expected</w:t>
            </w:r>
          </w:p>
        </w:tc>
        <w:tc>
          <w:tcPr>
            <w:tcW w:type="dxa" w:w="55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Begin systematic profit-taking. Review ALL oil positions.</w:t>
            </w:r>
          </w:p>
        </w:tc>
      </w:tr>
      <w:tr>
        <w:tc>
          <w:tcPr>
            <w:tcW w:type="dxa" w:w="9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Jun 28</w:t>
            </w:r>
          </w:p>
        </w:tc>
        <w:tc>
          <w:tcPr>
            <w:tcW w:type="dxa" w:w="2200"/>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End of 3-month oil spike window</w:t>
            </w:r>
          </w:p>
        </w:tc>
        <w:tc>
          <w:tcPr>
            <w:tcW w:type="dxa" w:w="5578"/>
            <w:tcBorders>
              <w:top w:val="single" w:color="E2E8F0" w:sz="1"/>
              <w:left w:val="single" w:color="E2E8F0" w:sz="1"/>
              <w:bottom w:val="single" w:color="E2E8F0" w:sz="1"/>
              <w:right w:val="single" w:color="E2E8F0" w:sz="1"/>
            </w:tcBorders>
            <w:shd w:fill="FEE2E2" w:val="clear"/>
            <w:tcMar>
              <w:top w:type="dxa" w:w="55"/>
              <w:left w:type="dxa" w:w="90"/>
              <w:bottom w:type="dxa" w:w="55"/>
              <w:right w:type="dxa" w:w="90"/>
            </w:tcMar>
          </w:tcPr>
          <w:p>
            <w:r>
              <w:rPr>
                <w:rFonts w:ascii="Arial" w:cs="Arial" w:eastAsia="Arial" w:hAnsi="Arial"/>
                <w:color w:val="333333"/>
                <w:sz w:val="16"/>
                <w:szCs w:val="16"/>
              </w:rPr>
              <w:t xml:space="preserve">Complete exit of tactical oil positions if targets met.</w:t>
            </w:r>
          </w:p>
        </w:tc>
      </w:tr>
      <w:tr>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Q3 2026</w:t>
            </w:r>
          </w:p>
        </w:tc>
        <w:tc>
          <w:tcPr>
            <w:tcW w:type="dxa" w:w="22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Post-oil commodity rotation begins</w:t>
            </w:r>
          </w:p>
        </w:tc>
        <w:tc>
          <w:tcPr>
            <w:tcW w:type="dxa" w:w="55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Deploy profits into Tier 1: Gold, Uranium, Silver, REEs.</w:t>
            </w:r>
          </w:p>
        </w:tc>
      </w:tr>
      <w:tr>
        <w:tc>
          <w:tcPr>
            <w:tcW w:type="dxa" w:w="9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Q4 2026</w:t>
            </w:r>
          </w:p>
        </w:tc>
        <w:tc>
          <w:tcPr>
            <w:tcW w:type="dxa" w:w="22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Tier 2 commodity entry</w:t>
            </w:r>
          </w:p>
        </w:tc>
        <w:tc>
          <w:tcPr>
            <w:tcW w:type="dxa" w:w="55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Copper, Platinum, Manganese, Vanadium entry if signals met.</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3" w:space="4"/>
        </w:pBdr>
        <w:spacing w:before="280" w:after="0"/>
      </w:pPr>
    </w:p>
    <w:p>
      <w:pPr>
        <w:spacing w:before="160" w:after="160"/>
      </w:pPr>
      <w:r>
        <w:rPr>
          <w:rFonts w:ascii="Arial" w:cs="Arial" w:eastAsia="Arial" w:hAnsi="Arial"/>
          <w:b/>
          <w:bCs/>
          <w:color w:val="0A1628"/>
          <w:sz w:val="26"/>
          <w:szCs w:val="26"/>
        </w:rPr>
        <w:t xml:space="preserve">POST-JUNE CAPITAL ROTATION PLAN</w:t>
      </w:r>
    </w:p>
    <w:p>
      <w:pPr>
        <w:spacing w:after="120"/>
        <w:jc w:val="left"/>
      </w:pPr>
      <w:r>
        <w:rPr>
          <w:rFonts w:ascii="Arial" w:cs="Arial" w:eastAsia="Arial" w:hAnsi="Arial"/>
          <w:b w:val="false"/>
          <w:bCs w:val="false"/>
          <w:i w:val="false"/>
          <w:iCs w:val="false"/>
          <w:color w:val="333333"/>
          <w:sz w:val="22"/>
          <w:szCs w:val="22"/>
        </w:rPr>
        <w:t xml:space="preserve">Upon exiting oil positions at profit, redeploy into the Tier 1 commodities from the Commodity Due Diligence Matrix. Recommended allocation for rotation capital:</w:t>
      </w:r>
    </w:p>
    <w:p>
      <w:pPr>
        <w:spacing w:after="120"/>
        <w:jc w:val="left"/>
      </w:pPr>
      <w:r>
        <w:rPr>
          <w:rFonts w:ascii="Arial" w:cs="Arial" w:eastAsia="Arial" w:hAnsi="Arial"/>
          <w:b w:val="false"/>
          <w:bCs w:val="false"/>
          <w:i w:val="false"/>
          <w:iCs w:val="false"/>
          <w:color w:val="333333"/>
          <w:sz w:val="22"/>
          <w:szCs w:val="22"/>
        </w:rPr>
        <w:t xml:space="preserve"/>
      </w:r>
    </w:p>
    <w:tbl>
      <w:tblPr>
        <w:tblW w:type="dxa" w:w="6678"/>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500"/>
        <w:gridCol w:w="2178"/>
      </w:tblGrid>
      <w:tr>
        <w:trPr>
          <w:tblHeader/>
        </w:trPr>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Commodity</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Allocation %</w:t>
            </w:r>
          </w:p>
        </w:tc>
        <w:tc>
          <w:tcPr>
            <w:tcW w:type="dxa" w:w="10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If £6,775 Profit</w:t>
            </w:r>
          </w:p>
        </w:tc>
        <w:tc>
          <w:tcPr>
            <w:tcW w:type="dxa" w:w="1500"/>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Entry Timing</w:t>
            </w:r>
          </w:p>
        </w:tc>
        <w:tc>
          <w:tcPr>
            <w:tcW w:type="dxa" w:w="2178"/>
            <w:tcBorders>
              <w:top w:val="single" w:color="E2E8F0" w:sz="1"/>
              <w:left w:val="single" w:color="E2E8F0" w:sz="1"/>
              <w:bottom w:val="single" w:color="E2E8F0" w:sz="1"/>
              <w:right w:val="single" w:color="E2E8F0" w:sz="1"/>
            </w:tcBorders>
            <w:shd w:fill="0A1628" w:val="clear"/>
            <w:tcMar>
              <w:top w:type="dxa" w:w="55"/>
              <w:left w:type="dxa" w:w="90"/>
              <w:bottom w:type="dxa" w:w="55"/>
              <w:right w:type="dxa" w:w="90"/>
            </w:tcMar>
            <w:vAlign w:val="center"/>
          </w:tcPr>
          <w:p>
            <w:r>
              <w:rPr>
                <w:rFonts w:ascii="Arial" w:cs="Arial" w:eastAsia="Arial" w:hAnsi="Arial"/>
                <w:b/>
                <w:bCs/>
                <w:color w:val="FFFFFF"/>
                <w:sz w:val="17"/>
                <w:szCs w:val="17"/>
              </w:rPr>
              <w:t xml:space="preserve">Key Vehicle</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Gold</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25–30%</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£1,700–2,000</w:t>
            </w:r>
          </w:p>
        </w:tc>
        <w:tc>
          <w:tcPr>
            <w:tcW w:type="dxa" w:w="1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Immediately on exit</w:t>
            </w:r>
          </w:p>
        </w:tc>
        <w:tc>
          <w:tcPr>
            <w:tcW w:type="dxa" w:w="21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GLD + Newmont + AIM junior</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Uranium</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20–25%</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£1,350–1,700</w:t>
            </w:r>
          </w:p>
        </w:tc>
        <w:tc>
          <w:tcPr>
            <w:tcW w:type="dxa" w:w="1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Immediately on exit</w:t>
            </w:r>
          </w:p>
        </w:tc>
        <w:tc>
          <w:tcPr>
            <w:tcW w:type="dxa" w:w="21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Yellow Cake + URNM + Cameco</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Silver</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15–20%</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£1,000–1,350</w:t>
            </w:r>
          </w:p>
        </w:tc>
        <w:tc>
          <w:tcPr>
            <w:tcW w:type="dxa" w:w="1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Gold/silver ratio &gt;85</w:t>
            </w:r>
          </w:p>
        </w:tc>
        <w:tc>
          <w:tcPr>
            <w:tcW w:type="dxa" w:w="21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SLV + Fresnillo + Wheaton</w:t>
            </w:r>
          </w:p>
        </w:tc>
      </w:tr>
      <w:tr>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Rare Earths</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10–15%</w:t>
            </w:r>
          </w:p>
        </w:tc>
        <w:tc>
          <w:tcPr>
            <w:tcW w:type="dxa" w:w="10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£680–1,000</w:t>
            </w:r>
          </w:p>
        </w:tc>
        <w:tc>
          <w:tcPr>
            <w:tcW w:type="dxa" w:w="1500"/>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NOW (geopolitical urgency)</w:t>
            </w:r>
          </w:p>
        </w:tc>
        <w:tc>
          <w:tcPr>
            <w:tcW w:type="dxa" w:w="2178"/>
            <w:tcBorders>
              <w:top w:val="single" w:color="E2E8F0" w:sz="1"/>
              <w:left w:val="single" w:color="E2E8F0" w:sz="1"/>
              <w:bottom w:val="single" w:color="E2E8F0" w:sz="1"/>
              <w:right w:val="single" w:color="E2E8F0" w:sz="1"/>
            </w:tcBorders>
            <w:shd w:fill="DCFCE7" w:val="clear"/>
            <w:tcMar>
              <w:top w:type="dxa" w:w="55"/>
              <w:left w:type="dxa" w:w="90"/>
              <w:bottom w:type="dxa" w:w="55"/>
              <w:right w:type="dxa" w:w="90"/>
            </w:tcMar>
          </w:tcPr>
          <w:p>
            <w:r>
              <w:rPr>
                <w:rFonts w:ascii="Arial" w:cs="Arial" w:eastAsia="Arial" w:hAnsi="Arial"/>
                <w:color w:val="333333"/>
                <w:sz w:val="16"/>
                <w:szCs w:val="16"/>
              </w:rPr>
              <w:t xml:space="preserve">REMX + Rainbow RE + Lynas</w:t>
            </w:r>
          </w:p>
        </w:tc>
      </w:tr>
      <w:tr>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Cash Reserve</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10–15%</w:t>
            </w:r>
          </w:p>
        </w:tc>
        <w:tc>
          <w:tcPr>
            <w:tcW w:type="dxa" w:w="10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£680–1,000</w:t>
            </w:r>
          </w:p>
        </w:tc>
        <w:tc>
          <w:tcPr>
            <w:tcW w:type="dxa" w:w="1500"/>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Hold for Tier 2 entries</w:t>
            </w:r>
          </w:p>
        </w:tc>
        <w:tc>
          <w:tcPr>
            <w:tcW w:type="dxa" w:w="2178"/>
            <w:tcBorders>
              <w:top w:val="single" w:color="E2E8F0" w:sz="1"/>
              <w:left w:val="single" w:color="E2E8F0" w:sz="1"/>
              <w:bottom w:val="single" w:color="E2E8F0" w:sz="1"/>
              <w:right w:val="single" w:color="E2E8F0" w:sz="1"/>
            </w:tcBorders>
            <w:shd w:fill="E0F2FE" w:val="clear"/>
            <w:tcMar>
              <w:top w:type="dxa" w:w="55"/>
              <w:left w:type="dxa" w:w="90"/>
              <w:bottom w:type="dxa" w:w="55"/>
              <w:right w:type="dxa" w:w="90"/>
            </w:tcMar>
          </w:tcPr>
          <w:p>
            <w:r>
              <w:rPr>
                <w:rFonts w:ascii="Arial" w:cs="Arial" w:eastAsia="Arial" w:hAnsi="Arial"/>
                <w:color w:val="333333"/>
                <w:sz w:val="16"/>
                <w:szCs w:val="16"/>
              </w:rPr>
              <w:t xml:space="preserve">Deploy Q3/Q4 on Copper + Platinum</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iCs/>
          <w:color w:val="64748B"/>
          <w:sz w:val="22"/>
          <w:szCs w:val="22"/>
        </w:rPr>
        <w:t xml:space="preserve">The structural forces behind these commodities are measured in decades, not weeks. The oil trade is tactical; the commodity rotation is strategic. The framework built across this playbook — understanding what you own, why it moves, who the buyers are, and how to size positions within risk tolerance — is a reusable investment methodology.</w:t>
      </w:r>
    </w:p>
    <w:p>
      <w:pPr>
        <w:spacing w:after="120"/>
        <w:jc w:val="left"/>
      </w:pPr>
      <w:r>
        <w:rPr>
          <w:rFonts w:ascii="Arial" w:cs="Arial" w:eastAsia="Arial" w:hAnsi="Arial"/>
          <w:b w:val="false"/>
          <w:bCs w:val="false"/>
          <w:i w:val="false"/>
          <w:iCs w:val="false"/>
          <w:color w:val="333333"/>
          <w:sz w:val="22"/>
          <w:szCs w:val="22"/>
        </w:rPr>
        <w:t xml:space="preserve"/>
      </w:r>
    </w:p>
    <w:p>
      <w:pPr>
        <w:pBdr>
          <w:bottom w:val="single" w:color="0EA5E9" w:sz="6" w:space="8"/>
        </w:pBdr>
        <w:spacing w:before="400"/>
      </w:pP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bCs/>
          <w:i w:val="false"/>
          <w:iCs w:val="false"/>
          <w:color w:val="DC2626"/>
          <w:sz w:val="22"/>
          <w:szCs w:val="22"/>
        </w:rPr>
        <w:t xml:space="preserve">DISCLAIMER: </w:t>
      </w:r>
      <w:r>
        <w:rPr>
          <w:rFonts w:ascii="Arial" w:cs="Arial" w:eastAsia="Arial" w:hAnsi="Arial"/>
          <w:b w:val="false"/>
          <w:bCs w:val="false"/>
          <w:i w:val="false"/>
          <w:iCs w:val="false"/>
          <w:color w:val="333333"/>
          <w:sz w:val="22"/>
          <w:szCs w:val="22"/>
        </w:rPr>
        <w:t xml:space="preserve">This document is for analytical and educational purposes only. It does not constitute financial advice. All investments carry risk of total loss. Past performance is not indicative of future results. Always consult a qualified, FCA-regulated financial adviser before making investment decisions. Hypothetical projections are illustrative and should not be relied upon as forecasts.</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iCs/>
          <w:color w:val="64748B"/>
          <w:sz w:val="22"/>
          <w:szCs w:val="22"/>
        </w:rPr>
        <w:t xml:space="preserve">Document prepared: March 2026  |  DNA Entertainment  |  Enhanced Edition v2.0  |  Confidential</w:t>
      </w:r>
    </w:p>
    <w:sectPr>
      <w:headerReference w:type="default" r:id="rId6"/>
      <w:footerReference w:type="default" r:id="rId7"/>
      <w:pgSz w:w="11906" w:h="16838"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64748B"/>
        <w:sz w:val="15"/>
        <w:szCs w:val="15"/>
      </w:rPr>
      <w:t xml:space="preserve">Not Financial Advice  —  All Investments Carry Risk of Total Loss  —  Page </w:t>
    </w:r>
    <w:r>
      <w:rPr>
        <w:rFonts w:ascii="Arial" w:cs="Arial" w:eastAsia="Arial" w:hAnsi="Arial"/>
        <w:color w:val="64748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2" w:space="4"/>
      </w:pBdr>
    </w:pPr>
    <w:r>
      <w:rPr>
        <w:rFonts w:ascii="Arial" w:cs="Arial" w:eastAsia="Arial" w:hAnsi="Arial"/>
        <w:color w:val="64748B"/>
        <w:sz w:val="15"/>
        <w:szCs w:val="15"/>
      </w:rPr>
      <w:t xml:space="preserve">DNA ENTERTAINMENT  —  Investment Due Diligence Playbook v2.0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0A1628"/>
      <w:sz w:val="34"/>
      <w:szCs w:val="34"/>
    </w:rPr>
  </w:style>
  <w:style w:type="paragraph" w:styleId="Heading2">
    <w:name w:val="Heading 2"/>
    <w:basedOn w:val="Normal"/>
    <w:next w:val="Normal"/>
    <w:qFormat/>
    <w:pPr>
      <w:spacing w:before="220" w:after="140"/>
      <w:outlineLvl w:val="1"/>
    </w:pPr>
    <w:rPr>
      <w:rFonts w:ascii="Arial" w:cs="Arial" w:eastAsia="Arial" w:hAnsi="Arial"/>
      <w:b/>
      <w:bCs/>
      <w:color w:val="0284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2026-03-23T08:56:22.849Z</dcterms:created>
  <dcterms:modified xsi:type="dcterms:W3CDTF">2026-03-23T08:56:22.850Z</dcterms:modified>
</cp:coreProperties>
</file>

<file path=docProps/custom.xml><?xml version="1.0" encoding="utf-8"?>
<Properties xmlns="http://schemas.openxmlformats.org/officeDocument/2006/custom-properties" xmlns:vt="http://schemas.openxmlformats.org/officeDocument/2006/docPropsVTypes"/>
</file>