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CF1" w:rsidRDefault="00594CF1" w:rsidP="00594CF1">
      <w:pPr>
        <w:pStyle w:val="Heading1"/>
      </w:pPr>
      <w:r>
        <w:t>Genome POV on auto vertical data modeling and analysis</w:t>
      </w:r>
    </w:p>
    <w:p w:rsidR="00EB6569" w:rsidRPr="00EB6569" w:rsidRDefault="00914EC7" w:rsidP="00EB6569">
      <w:r>
        <w:t>Genome auto data</w:t>
      </w:r>
      <w:r w:rsidR="00EB6569">
        <w:t xml:space="preserve"> POV is based on our extensive experience with auto advertisers. </w:t>
      </w:r>
      <w:r>
        <w:t>E</w:t>
      </w:r>
      <w:r w:rsidR="00EB6569">
        <w:t>xamples below</w:t>
      </w:r>
      <w:r>
        <w:t xml:space="preserve"> represent analysis performed for </w:t>
      </w:r>
      <w:r w:rsidR="00EB6569">
        <w:t>six dif</w:t>
      </w:r>
      <w:r>
        <w:t>ferent auto advertisers</w:t>
      </w:r>
      <w:r w:rsidR="00EB6569">
        <w:t xml:space="preserve"> </w:t>
      </w:r>
      <w:r>
        <w:t xml:space="preserve">partially </w:t>
      </w:r>
      <w:r w:rsidR="00EB6569">
        <w:t xml:space="preserve">adjusted to ensure clients’ confidentiality.  </w:t>
      </w:r>
    </w:p>
    <w:p w:rsidR="00BE45EE" w:rsidRDefault="00594CF1" w:rsidP="00594CF1">
      <w:pPr>
        <w:pStyle w:val="Heading2"/>
      </w:pPr>
      <w:r>
        <w:t>D</w:t>
      </w:r>
      <w:r w:rsidR="00BE45EE">
        <w:t>ata</w:t>
      </w:r>
      <w:r w:rsidR="00550A9D">
        <w:t xml:space="preserve"> modeling for auto campaigns</w:t>
      </w:r>
    </w:p>
    <w:p w:rsidR="00BE45EE" w:rsidRDefault="00BE45EE">
      <w:r>
        <w:t>Auto advertisers usually have a good understanding of third-party dat</w:t>
      </w:r>
      <w:r w:rsidR="00550A9D">
        <w:t xml:space="preserve">a, and clearly </w:t>
      </w:r>
      <w:r w:rsidR="004A1C56">
        <w:t xml:space="preserve">specify in their RFPs </w:t>
      </w:r>
      <w:r>
        <w:t xml:space="preserve">segments they want to be used for retention and </w:t>
      </w:r>
      <w:proofErr w:type="spellStart"/>
      <w:r>
        <w:t>conquesting</w:t>
      </w:r>
      <w:proofErr w:type="spellEnd"/>
      <w:r>
        <w:t xml:space="preserve"> campaigns. There is </w:t>
      </w:r>
      <w:r w:rsidR="004A1C56">
        <w:t xml:space="preserve">an </w:t>
      </w:r>
      <w:r>
        <w:t xml:space="preserve">abundance of third-party auto data on the market. Genome counts in its data management system </w:t>
      </w:r>
      <w:r w:rsidR="00550A9D">
        <w:t>(</w:t>
      </w:r>
      <w:r>
        <w:t>OSM</w:t>
      </w:r>
      <w:r w:rsidR="00550A9D">
        <w:t>)</w:t>
      </w:r>
      <w:r>
        <w:t xml:space="preserve"> over 3,000 third-party endemic </w:t>
      </w:r>
      <w:r w:rsidR="00550A9D">
        <w:t xml:space="preserve">auto </w:t>
      </w:r>
      <w:r>
        <w:t xml:space="preserve">data facts that belong to … different data providers. Many of these data segments are very efficient, and provide significant increase in </w:t>
      </w:r>
      <w:r w:rsidR="00550A9D">
        <w:t xml:space="preserve">campaign </w:t>
      </w:r>
      <w:r>
        <w:t>performance.</w:t>
      </w:r>
    </w:p>
    <w:p w:rsidR="00BE45EE" w:rsidRDefault="00BE45EE">
      <w:r>
        <w:t>Howev</w:t>
      </w:r>
      <w:r w:rsidR="00550A9D">
        <w:t xml:space="preserve">er, while applying direct data strategy to auto campaigns, </w:t>
      </w:r>
      <w:r w:rsidR="00D75610">
        <w:t xml:space="preserve">advertisers </w:t>
      </w:r>
      <w:r>
        <w:t>encounter some difficulties. First, best performing data segme</w:t>
      </w:r>
      <w:r w:rsidR="00550A9D">
        <w:t>nts are usually limited in size</w:t>
      </w:r>
      <w:r>
        <w:t xml:space="preserve"> and it becomes tricky to scale the campaign. Second, as many auto advertisers and ad network</w:t>
      </w:r>
      <w:r w:rsidR="00550A9D">
        <w:t xml:space="preserve">s chase </w:t>
      </w:r>
      <w:r>
        <w:t>the same set of users, the competition for t</w:t>
      </w:r>
      <w:r w:rsidR="004A1C56">
        <w:t>his audience increases, which leads to the unnecessarily increase in CPA.</w:t>
      </w:r>
    </w:p>
    <w:p w:rsidR="004A1C56" w:rsidRDefault="004A1C56">
      <w:r>
        <w:t>We suggest that auto adve</w:t>
      </w:r>
      <w:r w:rsidR="00550A9D">
        <w:t xml:space="preserve">rtisers should take into account </w:t>
      </w:r>
      <w:r>
        <w:t>both endemic and discovery data segments in planning their audience strategies. Although as individual segments endemic</w:t>
      </w:r>
      <w:r w:rsidR="001A6290">
        <w:t xml:space="preserve"> auto</w:t>
      </w:r>
      <w:r>
        <w:t xml:space="preserve"> data usually significantly outperforms any discovery segment, applying discovery segments atop endemic ones helps identify most efficient users and increase performance. </w:t>
      </w:r>
    </w:p>
    <w:p w:rsidR="00387496" w:rsidRDefault="004A1C56">
      <w:r>
        <w:t>Genome has found that user-level modeling (Kindred Modeling) works very well with auto advertisers. I</w:t>
      </w:r>
      <w:r w:rsidR="00884E9C">
        <w:t>t holistically analyzes</w:t>
      </w:r>
      <w:r>
        <w:t xml:space="preserve"> the success audience behavior</w:t>
      </w:r>
      <w:r w:rsidR="00D75610">
        <w:t xml:space="preserve"> including all data segments</w:t>
      </w:r>
      <w:r>
        <w:t xml:space="preserve"> and founds other users whose profile is most similar </w:t>
      </w:r>
      <w:r w:rsidR="00884E9C">
        <w:t>to those of</w:t>
      </w:r>
      <w:r>
        <w:t xml:space="preserve"> converters’</w:t>
      </w:r>
      <w:r w:rsidR="00884E9C">
        <w:t>. The</w:t>
      </w:r>
      <w:r>
        <w:t xml:space="preserve">se users do not necessary belong to the endemic auto data segments, and would be missed without data modeling approach. </w:t>
      </w:r>
      <w:r w:rsidR="00C41E25">
        <w:t>As we found ou</w:t>
      </w:r>
      <w:r w:rsidR="00914EC7">
        <w:t>t, converters’ behavior is</w:t>
      </w:r>
      <w:r w:rsidR="00C41E25">
        <w:t xml:space="preserve"> unique for indivi</w:t>
      </w:r>
      <w:r w:rsidR="00914EC7">
        <w:t>dual brands and models, and in many cased best performing users for one model will not perform that well for another one.</w:t>
      </w:r>
    </w:p>
    <w:p w:rsidR="004A1C56" w:rsidRDefault="00387496">
      <w:r>
        <w:t>I</w:t>
      </w:r>
      <w:r w:rsidR="00D75610">
        <w:t>n the case study below we analyz</w:t>
      </w:r>
      <w:r>
        <w:t>e</w:t>
      </w:r>
      <w:r w:rsidR="00D75610">
        <w:t>d the perf</w:t>
      </w:r>
      <w:r>
        <w:t>ormance of different strategies for an auto adver</w:t>
      </w:r>
      <w:r w:rsidR="00D75610">
        <w:t>tiser (including RTG, Kindred Modeling, and Direct Data). We found that RTG strategy provides the highest performance although at a very different scale, and user-level models (Kindred) performed the second best providing advantage over targeting direct data. We also found that the overlap between exposed audiences within Kindred and Direct Data LIs was limited that means that Kindred has reached out the unique set of users.</w:t>
      </w:r>
      <w:r w:rsidR="00914EC7">
        <w:t xml:space="preserve"> </w:t>
      </w:r>
    </w:p>
    <w:p w:rsidR="00884E9C" w:rsidRDefault="00884E9C" w:rsidP="00594CF1">
      <w:pPr>
        <w:pStyle w:val="Heading2"/>
      </w:pPr>
      <w:proofErr w:type="spellStart"/>
      <w:r>
        <w:t>Multipixel</w:t>
      </w:r>
      <w:proofErr w:type="spellEnd"/>
      <w:r>
        <w:t xml:space="preserve"> analysis</w:t>
      </w:r>
      <w:r w:rsidR="001B5461">
        <w:t xml:space="preserve"> and audience insights</w:t>
      </w:r>
    </w:p>
    <w:p w:rsidR="00884E9C" w:rsidRDefault="00884E9C">
      <w:r>
        <w:t xml:space="preserve">Majority of auto advertisers track a </w:t>
      </w:r>
      <w:r w:rsidR="00D75610">
        <w:t>large</w:t>
      </w:r>
      <w:r>
        <w:t xml:space="preserve"> variety </w:t>
      </w:r>
      <w:r w:rsidR="00D75610">
        <w:t xml:space="preserve">of </w:t>
      </w:r>
      <w:r>
        <w:t>on-line KBAs from assembling a model to locating a dealer to providing a contact. It is valuable for the advertisers to understand relationship</w:t>
      </w:r>
      <w:r w:rsidR="00D75610">
        <w:t>s</w:t>
      </w:r>
      <w:r>
        <w:t xml:space="preserve"> </w:t>
      </w:r>
      <w:r w:rsidR="00D75610">
        <w:t>between different</w:t>
      </w:r>
      <w:r>
        <w:t xml:space="preserve"> KBA</w:t>
      </w:r>
      <w:r w:rsidR="00D75610">
        <w:t xml:space="preserve">s to make informed decisions, </w:t>
      </w:r>
      <w:r>
        <w:t xml:space="preserve">which of them should be used for campaign optimization and performance tracking. </w:t>
      </w:r>
    </w:p>
    <w:p w:rsidR="00884E9C" w:rsidRDefault="00884E9C">
      <w:r>
        <w:lastRenderedPageBreak/>
        <w:t xml:space="preserve">Genome offers custom </w:t>
      </w:r>
      <w:proofErr w:type="spellStart"/>
      <w:r>
        <w:t>multipixe</w:t>
      </w:r>
      <w:r w:rsidR="00D75610">
        <w:t>l</w:t>
      </w:r>
      <w:proofErr w:type="spellEnd"/>
      <w:r w:rsidR="00D75610">
        <w:t xml:space="preserve"> analysis based on Genome pixels that capture</w:t>
      </w:r>
      <w:r>
        <w:t xml:space="preserve"> a variety of behaviors across the advertiser we</w:t>
      </w:r>
      <w:r w:rsidR="00D75610">
        <w:t>bsite. Our analysis can be very granular and provide insights on the</w:t>
      </w:r>
      <w:r>
        <w:t xml:space="preserve"> level of individual </w:t>
      </w:r>
      <w:r w:rsidR="001B5461">
        <w:t>KBAs, models, and regions. Please see below the examples of multi-pixel analysis</w:t>
      </w:r>
      <w:r w:rsidR="00D75610">
        <w:t xml:space="preserve"> and audience insights performed for two auto </w:t>
      </w:r>
      <w:proofErr w:type="spellStart"/>
      <w:r w:rsidR="00D75610">
        <w:t>advertisres</w:t>
      </w:r>
      <w:proofErr w:type="spellEnd"/>
      <w:r w:rsidR="00D75610">
        <w:t>.</w:t>
      </w:r>
    </w:p>
    <w:p w:rsidR="001B5461" w:rsidRDefault="001B5461" w:rsidP="001B5461">
      <w:pPr>
        <w:pStyle w:val="ListParagraph"/>
        <w:numPr>
          <w:ilvl w:val="0"/>
          <w:numId w:val="1"/>
        </w:numPr>
      </w:pPr>
      <w:r>
        <w:t xml:space="preserve">Similarity indexes between different KBAs. As we can see from the similarity matrix below, </w:t>
      </w:r>
    </w:p>
    <w:p w:rsidR="001B5461" w:rsidRDefault="00770515" w:rsidP="001B5461">
      <w:pPr>
        <w:pStyle w:val="ListParagraph"/>
        <w:numPr>
          <w:ilvl w:val="0"/>
          <w:numId w:val="1"/>
        </w:numPr>
      </w:pPr>
      <w:r>
        <w:t>Audience insights for two</w:t>
      </w:r>
      <w:r w:rsidR="001B5461">
        <w:t xml:space="preserve"> models</w:t>
      </w:r>
      <w:r>
        <w:t xml:space="preserve"> that belong to one brand</w:t>
      </w:r>
      <w:r w:rsidR="001B5461">
        <w:t>. The t</w:t>
      </w:r>
      <w:r>
        <w:t>able below shows both similarities</w:t>
      </w:r>
      <w:r w:rsidR="001B5461">
        <w:t xml:space="preserve"> and differences in user behavior across different models</w:t>
      </w:r>
    </w:p>
    <w:p w:rsidR="001B5461" w:rsidRDefault="001B5461" w:rsidP="00594CF1">
      <w:pPr>
        <w:pStyle w:val="Heading2"/>
      </w:pPr>
      <w:r>
        <w:t xml:space="preserve">Purchase funnel analysis </w:t>
      </w:r>
    </w:p>
    <w:p w:rsidR="00C41E25" w:rsidRDefault="001B5461" w:rsidP="001B5461">
      <w:r>
        <w:t>Auto advertisers traditionally split KBAs to more upper-funnel and more low</w:t>
      </w:r>
      <w:r w:rsidR="00770515">
        <w:t>er-funnel metrics (s</w:t>
      </w:r>
      <w:r>
        <w:t>ee the chart below</w:t>
      </w:r>
      <w:r w:rsidR="00770515">
        <w:t>)</w:t>
      </w:r>
      <w:r>
        <w:t>. The purchase process takes an average several months with u</w:t>
      </w:r>
      <w:r w:rsidR="00770515">
        <w:t xml:space="preserve">ser behavior changing while he-she moves </w:t>
      </w:r>
      <w:r>
        <w:t>down the funnel. The additional complexity is added by the fact that dif</w:t>
      </w:r>
      <w:r w:rsidR="00770515">
        <w:t>ferent users take different path</w:t>
      </w:r>
      <w:r>
        <w:t xml:space="preserve">s. Some users </w:t>
      </w:r>
      <w:r w:rsidR="00594CF1">
        <w:t>perform limited activities online – they go directly to the low funnel actions such as locating a dealer, and then continue shopping offline. Other users undertake extensive online research including building models and researching pricing options. We run custom purchase funnel analysis based on either conversion information (pixels) or third-party</w:t>
      </w:r>
      <w:r w:rsidR="00770515">
        <w:t xml:space="preserve"> model-specific</w:t>
      </w:r>
      <w:r w:rsidR="00594CF1">
        <w:t xml:space="preserve"> data to provide insig</w:t>
      </w:r>
      <w:r w:rsidR="00770515">
        <w:t>hts on how user behavior changes</w:t>
      </w:r>
      <w:r w:rsidR="00594CF1">
        <w:t xml:space="preserve"> while moving down the purchase funnel.</w:t>
      </w:r>
    </w:p>
    <w:p w:rsidR="00594CF1" w:rsidRDefault="00594CF1" w:rsidP="001B5461">
      <w:r>
        <w:t>In the table below see the example of purchase funnel analysis based on the third-party data.</w:t>
      </w:r>
    </w:p>
    <w:p w:rsidR="00C41E25" w:rsidRDefault="00C41E25" w:rsidP="001B5461">
      <w:r>
        <w:t>Some auto advertisers</w:t>
      </w:r>
      <w:r w:rsidR="00770515">
        <w:t xml:space="preserve"> opt to</w:t>
      </w:r>
      <w:r>
        <w:t xml:space="preserve"> use different KBAs to track upper-funnel and lower-funnel activities separately. For these situations we recommend setting up separate campaigns and build individual data models (Kindred Models) based of upper- an</w:t>
      </w:r>
      <w:r w:rsidR="00770515">
        <w:t>d lower-funnel conversions</w:t>
      </w:r>
      <w:r>
        <w:t>.</w:t>
      </w:r>
      <w:r w:rsidR="00770515">
        <w:t xml:space="preserve"> This strategy provides</w:t>
      </w:r>
      <w:r>
        <w:t xml:space="preserve"> an advertiser and Genome the most transparency and flexibility in researching, modeling, and tracking performance of users on different purchase stages.   </w:t>
      </w:r>
    </w:p>
    <w:p w:rsidR="00594CF1" w:rsidRDefault="00594CF1" w:rsidP="00914EC7">
      <w:pPr>
        <w:pStyle w:val="Heading2"/>
      </w:pPr>
      <w:r>
        <w:t>Tier analysis</w:t>
      </w:r>
    </w:p>
    <w:p w:rsidR="00594CF1" w:rsidRDefault="00594CF1" w:rsidP="001B5461">
      <w:r>
        <w:t>As auto advertisers ru</w:t>
      </w:r>
      <w:r w:rsidR="00770515">
        <w:t xml:space="preserve">n multi-tier campaigns (usually </w:t>
      </w:r>
      <w:r>
        <w:t xml:space="preserve">two or three tiers), the question is arising </w:t>
      </w:r>
      <w:r w:rsidR="00EB6569">
        <w:t xml:space="preserve">about mutual influence between those campaigns. For example, an auto advertiser wanted to know how exposure to the tier 1 campaign influenced the performance of its tier 2 </w:t>
      </w:r>
      <w:proofErr w:type="gramStart"/>
      <w:r w:rsidR="00EB6569">
        <w:t>campaign</w:t>
      </w:r>
      <w:proofErr w:type="gramEnd"/>
      <w:r w:rsidR="00EB6569">
        <w:t>. To answer this questions we performed custom analysis comparing the performance of users who were exposed to both campaigns to the performance of users with similar characteristics but who were exposed to tier 2 camp</w:t>
      </w:r>
      <w:r w:rsidR="00770515">
        <w:t>aign only. W</w:t>
      </w:r>
      <w:r w:rsidR="00EB6569">
        <w:t xml:space="preserve">e found the statistically significant positive uplift. </w:t>
      </w:r>
    </w:p>
    <w:p w:rsidR="00EB6569" w:rsidRDefault="00EB6569" w:rsidP="00914EC7">
      <w:pPr>
        <w:pStyle w:val="Heading2"/>
      </w:pPr>
      <w:r>
        <w:t>Interconnection between online and offline performance</w:t>
      </w:r>
    </w:p>
    <w:p w:rsidR="00EB6569" w:rsidRDefault="00C41E25" w:rsidP="001B5461">
      <w:r>
        <w:t xml:space="preserve">At the end of day offline performance remains the most important </w:t>
      </w:r>
      <w:r w:rsidR="00914EC7">
        <w:t>metric for auto advertisers since consumers still make their purchases offline. One of the most important questions</w:t>
      </w:r>
      <w:r>
        <w:t xml:space="preserve"> </w:t>
      </w:r>
      <w:r w:rsidR="00914EC7">
        <w:t>is which online KPAs are truly drive offline performance. To answer this question we need to connect the two worlds using the Closed Loop solution. Genome currently offers to auto advertisers’ two different technological solutions that allow us to bring offline data online without compromising the user personal data, and directly track influence of onli</w:t>
      </w:r>
      <w:bookmarkStart w:id="0" w:name="_GoBack"/>
      <w:bookmarkEnd w:id="0"/>
      <w:r w:rsidR="00914EC7">
        <w:t xml:space="preserve">ne campaigns on the offline purchasing behavior. </w:t>
      </w:r>
    </w:p>
    <w:sectPr w:rsidR="00EB6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DE3CEA"/>
    <w:multiLevelType w:val="hybridMultilevel"/>
    <w:tmpl w:val="71C64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DBF"/>
    <w:rsid w:val="001A6290"/>
    <w:rsid w:val="001B5461"/>
    <w:rsid w:val="00387496"/>
    <w:rsid w:val="004A1C56"/>
    <w:rsid w:val="00550A9D"/>
    <w:rsid w:val="00594CF1"/>
    <w:rsid w:val="00770515"/>
    <w:rsid w:val="00884E9C"/>
    <w:rsid w:val="00914EC7"/>
    <w:rsid w:val="009D2DBF"/>
    <w:rsid w:val="00BE45EE"/>
    <w:rsid w:val="00C41E25"/>
    <w:rsid w:val="00D75610"/>
    <w:rsid w:val="00E177E5"/>
    <w:rsid w:val="00EB6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4C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4C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5461"/>
    <w:pPr>
      <w:ind w:left="720"/>
      <w:contextualSpacing/>
    </w:pPr>
  </w:style>
  <w:style w:type="character" w:customStyle="1" w:styleId="Heading1Char">
    <w:name w:val="Heading 1 Char"/>
    <w:basedOn w:val="DefaultParagraphFont"/>
    <w:link w:val="Heading1"/>
    <w:uiPriority w:val="9"/>
    <w:rsid w:val="00594C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94CF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4C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4C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5461"/>
    <w:pPr>
      <w:ind w:left="720"/>
      <w:contextualSpacing/>
    </w:pPr>
  </w:style>
  <w:style w:type="character" w:customStyle="1" w:styleId="Heading1Char">
    <w:name w:val="Heading 1 Char"/>
    <w:basedOn w:val="DefaultParagraphFont"/>
    <w:link w:val="Heading1"/>
    <w:uiPriority w:val="9"/>
    <w:rsid w:val="00594C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94CF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2</Pages>
  <Words>921</Words>
  <Characters>5254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dnaidionov</dc:creator>
  <cp:lastModifiedBy>dnaidionov</cp:lastModifiedBy>
  <cp:revision>8</cp:revision>
  <dcterms:created xsi:type="dcterms:W3CDTF">2012-12-23T14:19:00Z</dcterms:created>
  <dcterms:modified xsi:type="dcterms:W3CDTF">2012-12-23T19:03:00Z</dcterms:modified>
</cp:coreProperties>
</file>