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7B5EA7"/>
          <w:sz w:val="36"/>
          <w:szCs w:val="36"/>
        </w:rPr>
        <w:t xml:space="preserve">HUMAN COMPLEX</w:t>
      </w:r>
    </w:p>
    <w:p>
      <w:pPr>
        <w:spacing w:after="200" w:before="0"/>
      </w:pPr>
      <w:r>
        <w:rPr>
          <w:rFonts w:ascii="Arial" w:cs="Arial" w:eastAsia="Arial" w:hAnsi="Arial"/>
          <w:b/>
          <w:bCs/>
          <w:sz w:val="48"/>
          <w:szCs w:val="48"/>
        </w:rPr>
        <w:t xml:space="preserve">ENTREGABLE 3</w:t>
      </w:r>
    </w:p>
    <w:p>
      <w:pPr>
        <w:spacing w:after="80" w:before="0"/>
      </w:pPr>
      <w:r>
        <w:rPr>
          <w:rFonts w:ascii="Arial" w:cs="Arial" w:eastAsia="Arial" w:hAnsi="Arial"/>
          <w:b/>
          <w:bCs/>
          <w:sz w:val="40"/>
          <w:szCs w:val="40"/>
        </w:rPr>
        <w:t xml:space="preserve">Arquitectura Funcional del MVP</w:t>
      </w:r>
    </w:p>
    <w:p>
      <w:pPr>
        <w:spacing w:after="400" w:before="0"/>
      </w:pPr>
      <w:r>
        <w:rPr>
          <w:rFonts w:ascii="Arial" w:cs="Arial" w:eastAsia="Arial" w:hAnsi="Arial"/>
          <w:color w:val="9E9E9E"/>
          <w:sz w:val="24"/>
          <w:szCs w:val="24"/>
        </w:rPr>
        <w:t xml:space="preserve">Versión 4.0 — Marzo 2026</w:t>
      </w:r>
    </w:p>
    <w:p>
      <w:pPr>
        <w:spacing w:after="80" w:before="80"/>
      </w:pPr>
      <w:r>
        <w:rPr>
          <w:rFonts w:ascii="Arial" w:cs="Arial" w:eastAsia="Arial" w:hAnsi="Arial"/>
          <w:b/>
          <w:bCs/>
          <w:sz w:val="20"/>
          <w:szCs w:val="20"/>
        </w:rPr>
        <w:t xml:space="preserve">Proyecto: </w:t>
      </w:r>
      <w:r>
        <w:rPr>
          <w:rFonts w:ascii="Arial" w:cs="Arial" w:eastAsia="Arial" w:hAnsi="Arial"/>
          <w:sz w:val="20"/>
          <w:szCs w:val="20"/>
        </w:rPr>
        <w:t xml:space="preserve">Human Complex</w:t>
      </w:r>
    </w:p>
    <w:p>
      <w:pPr>
        <w:spacing w:after="80" w:before="80"/>
      </w:pPr>
      <w:r>
        <w:rPr>
          <w:rFonts w:ascii="Arial" w:cs="Arial" w:eastAsia="Arial" w:hAnsi="Arial"/>
          <w:b/>
          <w:bCs/>
          <w:sz w:val="20"/>
          <w:szCs w:val="20"/>
        </w:rPr>
        <w:t xml:space="preserve">Elaborado por: </w:t>
      </w:r>
      <w:r>
        <w:rPr>
          <w:rFonts w:ascii="Arial" w:cs="Arial" w:eastAsia="Arial" w:hAnsi="Arial"/>
          <w:sz w:val="20"/>
          <w:szCs w:val="20"/>
        </w:rPr>
        <w:t xml:space="preserve">Luis Fernando López — Product Owner</w:t>
      </w:r>
    </w:p>
    <w:p>
      <w:pPr>
        <w:spacing w:after="80" w:before="80"/>
      </w:pPr>
      <w:r>
        <w:rPr>
          <w:rFonts w:ascii="Arial" w:cs="Arial" w:eastAsia="Arial" w:hAnsi="Arial"/>
          <w:b/>
          <w:bCs/>
          <w:sz w:val="20"/>
          <w:szCs w:val="20"/>
        </w:rPr>
        <w:t xml:space="preserve">Versión: </w:t>
      </w:r>
      <w:r>
        <w:rPr>
          <w:rFonts w:ascii="Arial" w:cs="Arial" w:eastAsia="Arial" w:hAnsi="Arial"/>
          <w:sz w:val="20"/>
          <w:szCs w:val="20"/>
        </w:rPr>
        <w:t xml:space="preserve">4.0 — Alineada con mockup funcional final</w:t>
      </w:r>
    </w:p>
    <w:p>
      <w:pPr>
        <w:spacing w:after="80" w:before="80"/>
      </w:pPr>
      <w:r>
        <w:rPr>
          <w:rFonts w:ascii="Arial" w:cs="Arial" w:eastAsia="Arial" w:hAnsi="Arial"/>
          <w:b/>
          <w:bCs/>
          <w:sz w:val="20"/>
          <w:szCs w:val="20"/>
        </w:rPr>
        <w:t xml:space="preserve">Dependencia: </w:t>
      </w:r>
      <w:r>
        <w:rPr>
          <w:rFonts w:ascii="Arial" w:cs="Arial" w:eastAsia="Arial" w:hAnsi="Arial"/>
          <w:sz w:val="20"/>
          <w:szCs w:val="20"/>
        </w:rPr>
        <w:t xml:space="preserve">Entregables #1 y #2</w:t>
      </w:r>
    </w:p>
    <w:p>
      <w:pPr>
        <w:spacing w:after="80" w:before="80"/>
      </w:pPr>
      <w:r>
        <w:rPr>
          <w:rFonts w:ascii="Arial" w:cs="Arial" w:eastAsia="Arial" w:hAnsi="Arial"/>
          <w:b/>
          <w:bCs/>
          <w:sz w:val="20"/>
          <w:szCs w:val="20"/>
        </w:rPr>
        <w:t xml:space="preserve">Nota de versión: </w:t>
      </w:r>
      <w:r>
        <w:rPr>
          <w:rFonts w:ascii="Arial" w:cs="Arial" w:eastAsia="Arial" w:hAnsi="Arial"/>
          <w:sz w:val="20"/>
          <w:szCs w:val="20"/>
        </w:rPr>
        <w:t xml:space="preserve">Esta versión unifica el modelo de pilares y esferas, incorpora el selector de modalidad del cuestionario, formaliza la temporalidad del ciclo de 90 días y alinea la nomenclatura con el mockup funcional aprobado.</w:t>
      </w:r>
    </w:p>
    <w:p>
      <w:r>
        <w:br w:type="page"/>
      </w:r>
    </w:p>
    <w:p>
      <w:pPr>
        <w:pStyle w:val="Heading1"/>
        <w:spacing w:after="160" w:before="400"/>
      </w:pPr>
      <w:r>
        <w:rPr>
          <w:rFonts w:ascii="Arial" w:cs="Arial" w:eastAsia="Arial" w:hAnsi="Arial"/>
          <w:b/>
          <w:bCs/>
          <w:color w:val="1A1A1A"/>
          <w:sz w:val="36"/>
          <w:szCs w:val="36"/>
        </w:rPr>
        <w:t xml:space="preserve">1. Resumen Ejecutivo</w:t>
      </w:r>
    </w:p>
    <w:p>
      <w:pPr>
        <w:spacing w:after="120" w:before="120"/>
      </w:pPr>
      <w:r>
        <w:rPr>
          <w:rFonts w:ascii="Arial" w:cs="Arial" w:eastAsia="Arial" w:hAnsi="Arial"/>
          <w:b w:val="false"/>
          <w:bCs w:val="false"/>
          <w:color w:val="1A1A1A"/>
          <w:sz w:val="20"/>
          <w:szCs w:val="20"/>
        </w:rPr>
        <w:t xml:space="preserve">Este documento define la arquitectura funcional del MVP de Human Complex. El producto opera bajo el principio de provocación: generar consciencia real a través de preguntas que confrontan al usuario con su comportamiento actual, no con lo que aspira ser.</w:t>
      </w:r>
    </w:p>
    <w:p>
      <w:pPr>
        <w:spacing w:after="120" w:before="120"/>
      </w:pPr>
      <w:r>
        <w:rPr>
          <w:rFonts w:ascii="Arial" w:cs="Arial" w:eastAsia="Arial" w:hAnsi="Arial"/>
          <w:b w:val="false"/>
          <w:bCs w:val="false"/>
          <w:color w:val="1A1A1A"/>
          <w:sz w:val="20"/>
          <w:szCs w:val="20"/>
        </w:rPr>
        <w:t xml:space="preserve">El modelo integra 4 Pilares y 11 Esferas, con un total de 63 preguntas cerradas que permiten un diagnóstico de aproximadamente 15–20 minutos. La arquitectura está diseñada para entregar valor inmediato al usuario individual mientras genera datos agregados útiles para la organización contratante.</w:t>
      </w:r>
    </w:p>
    <w:p>
      <w:pPr>
        <w:spacing w:after="120" w:before="120"/>
      </w:pPr>
      <w:r>
        <w:rPr>
          <w:rFonts w:ascii="Arial" w:cs="Arial" w:eastAsia="Arial" w:hAnsi="Arial"/>
          <w:b/>
          <w:bCs/>
          <w:color w:val="1A1A1A"/>
          <w:sz w:val="20"/>
          <w:szCs w:val="20"/>
        </w:rPr>
        <w:t xml:space="preserve">Dos restricciones absolutas rigen todas las decisiones de diseño:</w:t>
      </w:r>
    </w:p>
    <w:p>
      <w:pPr>
        <w:pStyle w:val="ListParagraph"/>
        <w:numPr>
          <w:ilvl w:val="0"/>
          <w:numId w:val="2"/>
        </w:numPr>
        <w:spacing w:after="60" w:before="60"/>
      </w:pPr>
      <w:r>
        <w:rPr>
          <w:rFonts w:ascii="Arial" w:cs="Arial" w:eastAsia="Arial" w:hAnsi="Arial"/>
          <w:b w:val="false"/>
          <w:bCs w:val="false"/>
          <w:color w:val="1A1A1A"/>
          <w:sz w:val="20"/>
          <w:szCs w:val="20"/>
        </w:rPr>
        <w:t xml:space="preserve">Privacidad por diseño: es técnicamente imposible que la organización acceda a datos individuales del empleado.</w:t>
      </w:r>
    </w:p>
    <w:p>
      <w:pPr>
        <w:pStyle w:val="ListParagraph"/>
        <w:numPr>
          <w:ilvl w:val="0"/>
          <w:numId w:val="2"/>
        </w:numPr>
        <w:spacing w:after="60" w:before="60"/>
      </w:pPr>
      <w:r>
        <w:rPr>
          <w:rFonts w:ascii="Arial" w:cs="Arial" w:eastAsia="Arial" w:hAnsi="Arial"/>
          <w:b w:val="false"/>
          <w:bCs w:val="false"/>
          <w:color w:val="1A1A1A"/>
          <w:sz w:val="20"/>
          <w:szCs w:val="20"/>
        </w:rPr>
        <w:t xml:space="preserve">Humanismo en cada interacción: no evaluamos, acompañamos. Ninguna pantalla, mensaje o resultado usa lenguaje evaluativo.</w:t>
      </w:r>
    </w:p>
    <w:p>
      <w:pPr>
        <w:pBdr>
          <w:bottom w:val="single" w:color="E0E0E0" w:sz="4"/>
        </w:pBdr>
        <w:spacing w:after="160" w:before="160"/>
      </w:pPr>
    </w:p>
    <w:p>
      <w:pPr>
        <w:pStyle w:val="Heading1"/>
        <w:spacing w:after="160" w:before="400"/>
      </w:pPr>
      <w:r>
        <w:rPr>
          <w:rFonts w:ascii="Arial" w:cs="Arial" w:eastAsia="Arial" w:hAnsi="Arial"/>
          <w:b/>
          <w:bCs/>
          <w:color w:val="1A1A1A"/>
          <w:sz w:val="36"/>
          <w:szCs w:val="36"/>
        </w:rPr>
        <w:t xml:space="preserve">2. Modelo Conceptual</w:t>
      </w:r>
    </w:p>
    <w:p>
      <w:pPr>
        <w:pStyle w:val="Heading2"/>
        <w:spacing w:after="160" w:before="280"/>
      </w:pPr>
      <w:r>
        <w:rPr>
          <w:rFonts w:ascii="Arial" w:cs="Arial" w:eastAsia="Arial" w:hAnsi="Arial"/>
          <w:b/>
          <w:bCs/>
          <w:color w:val="1A1A1A"/>
          <w:sz w:val="28"/>
          <w:szCs w:val="28"/>
        </w:rPr>
        <w:t xml:space="preserve">2.1 Filosofía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00"/>
              <w:bottom w:type="dxa" w:w="140"/>
              <w:right w:type="dxa" w:w="200"/>
            </w:tcMar>
          </w:tcPr>
          <w:p>
            <w:r>
              <w:rPr>
                <w:rFonts w:ascii="Arial" w:cs="Arial" w:eastAsia="Arial" w:hAnsi="Arial"/>
                <w:i/>
                <w:iCs/>
                <w:color w:val="1A1A1A"/>
                <w:sz w:val="20"/>
                <w:szCs w:val="20"/>
              </w:rPr>
              <w:t xml:space="preserve">"No evaluamos, acompañamos. El diagnóstico está diseñado para provocar autoobservación, no para asignar puntajes que el usuario pueda usar como etiquetas."</w:t>
            </w:r>
          </w:p>
        </w:tc>
      </w:tr>
    </w:tbl>
    <w:p>
      <w:pPr>
        <w:spacing w:after="120" w:before="120"/>
      </w:pPr>
      <w:r>
        <w:rPr>
          <w:rFonts w:ascii="Arial" w:cs="Arial" w:eastAsia="Arial" w:hAnsi="Arial"/>
          <w:b w:val="false"/>
          <w:bCs w:val="false"/>
          <w:color w:val="1A1A1A"/>
          <w:sz w:val="20"/>
          <w:szCs w:val="20"/>
        </w:rPr>
        <w:t xml:space="preserve">El objetivo es que el usuario diga "ya me di cuenta" — no que sepa su puntaje. Las preguntas confrontan la brecha entre lo que el usuario dice valorar y lo que realmente hace.</w:t>
      </w:r>
    </w:p>
    <w:p>
      <w:pPr>
        <w:pStyle w:val="Heading2"/>
        <w:spacing w:after="160" w:before="280"/>
      </w:pPr>
      <w:r>
        <w:rPr>
          <w:rFonts w:ascii="Arial" w:cs="Arial" w:eastAsia="Arial" w:hAnsi="Arial"/>
          <w:b/>
          <w:bCs/>
          <w:color w:val="1A1A1A"/>
          <w:sz w:val="28"/>
          <w:szCs w:val="28"/>
        </w:rPr>
        <w:t xml:space="preserve">2.2 Estructura: 4 Pilares × 11 Esferas</w:t>
      </w:r>
    </w:p>
    <w:p>
      <w:pPr>
        <w:spacing w:after="120" w:before="120"/>
      </w:pPr>
      <w:r>
        <w:rPr>
          <w:rFonts w:ascii="Arial" w:cs="Arial" w:eastAsia="Arial" w:hAnsi="Arial"/>
          <w:b w:val="false"/>
          <w:bCs w:val="false"/>
          <w:color w:val="1A1A1A"/>
          <w:sz w:val="20"/>
          <w:szCs w:val="20"/>
        </w:rPr>
        <w:t xml:space="preserve">El modelo organiza el desarrollo personal en cuatro pilares que representan dimensiones complementarias del funcionamiento humano. Cada pilar contiene esferas que permiten diagnóstico granular.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Pilar</w:t>
            </w:r>
          </w:p>
        </w:tc>
        <w:tc>
          <w:tcPr>
            <w:tcW w:type="dxa" w:w="30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Esferas</w:t>
            </w:r>
          </w:p>
        </w:tc>
        <w:tc>
          <w:tcPr>
            <w:tcW w:type="dxa" w:w="416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Enfoque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 Base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Autoconocimiento · Regulación Emocional · Bienestar Físico</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Cimiento físico, mental y emocional. Desde dónde opera el usuario.</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 Propósito</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Sentido de Vida · Autonomía · Trascendencia</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Dirección clara de vida. Hacia dónde dirige sus decisiones.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 Conexión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Intrapersonal · Extrapersonal</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Relación consigo mismo y con otros. Coherencia interna y vínculos sanos.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 Impacto</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Contribución · Liderazgo Personal · Visión Estratégica</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Generación de resultados. Cómo traduce capacidades en valor real.</w:t>
            </w:r>
          </w:p>
        </w:tc>
      </w:tr>
    </w:tbl>
    <w:p>
      <w:pPr>
        <w:spacing w:after="120" w:before="120"/>
      </w:pPr>
      <w:r>
        <w:rPr>
          <w:rFonts w:ascii="Arial" w:cs="Arial" w:eastAsia="Arial" w:hAnsi="Arial"/>
          <w:b w:val="false"/>
          <w:bCs w:val="false"/>
          <w:color w:val="1A1A1A"/>
          <w:sz w:val="20"/>
          <w:szCs w:val="20"/>
        </w:rPr>
        <w:t xml:space="preserve"/>
      </w:r>
    </w:p>
    <w:p>
      <w:pPr>
        <w:pBdr>
          <w:bottom w:val="single" w:color="E0E0E0" w:sz="4"/>
        </w:pBdr>
        <w:spacing w:after="160" w:before="160"/>
      </w:pPr>
    </w:p>
    <w:p>
      <w:pPr>
        <w:pStyle w:val="Heading1"/>
        <w:spacing w:after="160" w:before="400"/>
      </w:pPr>
      <w:r>
        <w:rPr>
          <w:rFonts w:ascii="Arial" w:cs="Arial" w:eastAsia="Arial" w:hAnsi="Arial"/>
          <w:b/>
          <w:bCs/>
          <w:color w:val="1A1A1A"/>
          <w:sz w:val="36"/>
          <w:szCs w:val="36"/>
        </w:rPr>
        <w:t xml:space="preserve">3. Cuestionario Diagnóstico</w:t>
      </w:r>
    </w:p>
    <w:p>
      <w:pPr>
        <w:pStyle w:val="Heading2"/>
        <w:spacing w:after="160" w:before="280"/>
      </w:pPr>
      <w:r>
        <w:rPr>
          <w:rFonts w:ascii="Arial" w:cs="Arial" w:eastAsia="Arial" w:hAnsi="Arial"/>
          <w:b/>
          <w:bCs/>
          <w:color w:val="1A1A1A"/>
          <w:sz w:val="28"/>
          <w:szCs w:val="28"/>
        </w:rPr>
        <w:t xml:space="preserve">3.1 Especificaciones del Instrumento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Componente</w:t>
            </w:r>
          </w:p>
        </w:tc>
        <w:tc>
          <w:tcPr>
            <w:tcW w:type="dxa" w:w="586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Especificación</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de preguntas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63</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Preguntas directas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Preguntas inversas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 (calculadas como: Score = 6 − Respuesta)</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Escala</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Likert 1–5 (Nunca → Siempre)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Tiempo estimado</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15–20 minutos (diagnóstico completo)</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Modalidades disponibles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Diagnóstico completo (63 preguntas) o por esfera individual (5–7 preguntas)</w:t>
            </w:r>
          </w:p>
        </w:tc>
      </w:tr>
    </w:tbl>
    <w:p>
      <w:pPr>
        <w:spacing w:after="120" w:before="120"/>
      </w:pPr>
      <w:r>
        <w:rPr>
          <w:rFonts w:ascii="Arial" w:cs="Arial" w:eastAsia="Arial" w:hAnsi="Arial"/>
          <w:b w:val="false"/>
          <w:bCs w:val="false"/>
          <w:color w:val="1A1A1A"/>
          <w:sz w:val="20"/>
          <w:szCs w:val="20"/>
        </w:rPr>
        <w:t xml:space="preserve"/>
      </w:r>
    </w:p>
    <w:p>
      <w:pPr>
        <w:pStyle w:val="Heading2"/>
        <w:spacing w:after="160" w:before="280"/>
      </w:pPr>
      <w:r>
        <w:rPr>
          <w:rFonts w:ascii="Arial" w:cs="Arial" w:eastAsia="Arial" w:hAnsi="Arial"/>
          <w:b/>
          <w:bCs/>
          <w:color w:val="1A1A1A"/>
          <w:sz w:val="28"/>
          <w:szCs w:val="28"/>
        </w:rPr>
        <w:t xml:space="preserve">3.2 Distribución por Pilar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Pilar</w:t>
            </w:r>
          </w:p>
        </w:tc>
        <w:tc>
          <w:tcPr>
            <w:tcW w:type="dxa" w:w="222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Directas</w:t>
            </w:r>
          </w:p>
        </w:tc>
        <w:tc>
          <w:tcPr>
            <w:tcW w:type="dxa" w:w="222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Inversas</w:t>
            </w:r>
          </w:p>
        </w:tc>
        <w:tc>
          <w:tcPr>
            <w:tcW w:type="dxa" w:w="222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Total</w:t>
            </w:r>
          </w:p>
        </w:tc>
      </w:tr>
      <w:t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 Base</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18</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22</w:t>
            </w:r>
          </w:p>
        </w:tc>
      </w:tr>
      <w:t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 Propósito</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14</w:t>
            </w:r>
          </w:p>
        </w:tc>
      </w:tr>
      <w:t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 Conexión</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11</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13</w:t>
            </w:r>
          </w:p>
        </w:tc>
      </w:tr>
      <w:t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 Impacto</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11</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14</w:t>
            </w:r>
          </w:p>
        </w:tc>
      </w:tr>
      <w:t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50</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13</w:t>
            </w:r>
          </w:p>
        </w:tc>
        <w:tc>
          <w:tcPr>
            <w:tcW w:type="dxa" w:w="22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63</w:t>
            </w:r>
          </w:p>
        </w:tc>
      </w:tr>
    </w:tbl>
    <w:p>
      <w:pPr>
        <w:spacing w:after="120" w:before="120"/>
      </w:pPr>
      <w:r>
        <w:rPr>
          <w:rFonts w:ascii="Arial" w:cs="Arial" w:eastAsia="Arial" w:hAnsi="Arial"/>
          <w:b w:val="false"/>
          <w:bCs w:val="false"/>
          <w:color w:val="1A1A1A"/>
          <w:sz w:val="20"/>
          <w:szCs w:val="20"/>
        </w:rPr>
        <w:t xml:space="preserve"/>
      </w:r>
    </w:p>
    <w:p>
      <w:pPr>
        <w:pStyle w:val="Heading2"/>
        <w:spacing w:after="160" w:before="280"/>
      </w:pPr>
      <w:r>
        <w:rPr>
          <w:rFonts w:ascii="Arial" w:cs="Arial" w:eastAsia="Arial" w:hAnsi="Arial"/>
          <w:b/>
          <w:bCs/>
          <w:color w:val="1A1A1A"/>
          <w:sz w:val="28"/>
          <w:szCs w:val="28"/>
        </w:rPr>
        <w:t xml:space="preserve">3.3 Selector de Modalidad del Cuestionario</w:t>
      </w:r>
    </w:p>
    <w:p>
      <w:pPr>
        <w:spacing w:after="120" w:before="120"/>
      </w:pPr>
      <w:r>
        <w:rPr>
          <w:rFonts w:ascii="Arial" w:cs="Arial" w:eastAsia="Arial" w:hAnsi="Arial"/>
          <w:b w:val="false"/>
          <w:bCs w:val="false"/>
          <w:color w:val="1A1A1A"/>
          <w:sz w:val="20"/>
          <w:szCs w:val="20"/>
        </w:rPr>
        <w:t xml:space="preserve">El usuario elige cómo completar el diagnóstico antes de comenzar. Existen dos modalidades: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
            </w:r>
          </w:p>
        </w:tc>
        <w:tc>
          <w:tcPr>
            <w:tcW w:type="dxa" w:w="348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Diagnóstico Completo</w:t>
            </w:r>
          </w:p>
        </w:tc>
        <w:tc>
          <w:tcPr>
            <w:tcW w:type="dxa" w:w="348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Por Esfera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Preguntas</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63 (todos los pilares)</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5–7 por esfera seleccionada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Tiempo</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15–20 minutos</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 minutos por esfera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Resultado</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Mapa completo (4 pilares, 11 esferas)</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Resultado parcial; se completa con más esferas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Flujo post-esfera</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 terminar cada esfera, el sistema invita a continuar con la siguiente o ver el resultado parcial</w:t>
            </w:r>
          </w:p>
        </w:tc>
      </w:tr>
    </w:tbl>
    <w:p>
      <w:pPr>
        <w:spacing w:after="120" w:before="120"/>
      </w:pPr>
      <w:r>
        <w:rPr>
          <w:rFonts w:ascii="Arial" w:cs="Arial" w:eastAsia="Arial" w:hAnsi="Arial"/>
          <w:b w:val="false"/>
          <w:bCs w:val="false"/>
          <w:color w:val="1A1A1A"/>
          <w:sz w:val="20"/>
          <w:szCs w:val="20"/>
        </w:rPr>
        <w:t xml:space="preserve"/>
      </w:r>
    </w:p>
    <w:p>
      <w:pPr>
        <w:spacing w:after="120" w:before="120"/>
      </w:pPr>
      <w:r>
        <w:rPr>
          <w:rFonts w:ascii="Arial" w:cs="Arial" w:eastAsia="Arial" w:hAnsi="Arial"/>
          <w:b w:val="false"/>
          <w:bCs w:val="false"/>
          <w:color w:val="1A1A1A"/>
          <w:sz w:val="20"/>
          <w:szCs w:val="20"/>
        </w:rPr>
        <w:t xml:space="preserve">Reglas de negocio del selector:</w:t>
      </w:r>
    </w:p>
    <w:p>
      <w:pPr>
        <w:pStyle w:val="ListParagraph"/>
        <w:numPr>
          <w:ilvl w:val="0"/>
          <w:numId w:val="2"/>
        </w:numPr>
        <w:spacing w:after="60" w:before="60"/>
      </w:pPr>
      <w:r>
        <w:rPr>
          <w:rFonts w:ascii="Arial" w:cs="Arial" w:eastAsia="Arial" w:hAnsi="Arial"/>
          <w:b w:val="false"/>
          <w:bCs w:val="false"/>
          <w:color w:val="1A1A1A"/>
          <w:sz w:val="20"/>
          <w:szCs w:val="20"/>
        </w:rPr>
        <w:t xml:space="preserve">El botón "Comenzar" permanece deshabilitado hasta que el usuario elige una modalidad.</w:t>
      </w:r>
    </w:p>
    <w:p>
      <w:pPr>
        <w:pStyle w:val="ListParagraph"/>
        <w:numPr>
          <w:ilvl w:val="0"/>
          <w:numId w:val="2"/>
        </w:numPr>
        <w:spacing w:after="60" w:before="60"/>
      </w:pPr>
      <w:r>
        <w:rPr>
          <w:rFonts w:ascii="Arial" w:cs="Arial" w:eastAsia="Arial" w:hAnsi="Arial"/>
          <w:b w:val="false"/>
          <w:bCs w:val="false"/>
          <w:color w:val="1A1A1A"/>
          <w:sz w:val="20"/>
          <w:szCs w:val="20"/>
        </w:rPr>
        <w:t xml:space="preserve">Si elige "Por esfera", debe seleccionar además la esfera específica antes de poder avanzar.</w:t>
      </w:r>
    </w:p>
    <w:p>
      <w:pPr>
        <w:pStyle w:val="ListParagraph"/>
        <w:numPr>
          <w:ilvl w:val="0"/>
          <w:numId w:val="2"/>
        </w:numPr>
        <w:spacing w:after="60" w:before="60"/>
      </w:pPr>
      <w:r>
        <w:rPr>
          <w:rFonts w:ascii="Arial" w:cs="Arial" w:eastAsia="Arial" w:hAnsi="Arial"/>
          <w:b w:val="false"/>
          <w:bCs w:val="false"/>
          <w:color w:val="1A1A1A"/>
          <w:sz w:val="20"/>
          <w:szCs w:val="20"/>
        </w:rPr>
        <w:t xml:space="preserve">El mapa de resultados muestra únicamente las esferas completadas. Las pendientes aparecen como "Sin diagnóstico".</w:t>
      </w:r>
    </w:p>
    <w:p>
      <w:pPr>
        <w:pStyle w:val="ListParagraph"/>
        <w:numPr>
          <w:ilvl w:val="0"/>
          <w:numId w:val="2"/>
        </w:numPr>
        <w:spacing w:after="60" w:before="60"/>
      </w:pPr>
      <w:r>
        <w:rPr>
          <w:rFonts w:ascii="Arial" w:cs="Arial" w:eastAsia="Arial" w:hAnsi="Arial"/>
          <w:b w:val="false"/>
          <w:bCs w:val="false"/>
          <w:color w:val="1A1A1A"/>
          <w:sz w:val="20"/>
          <w:szCs w:val="20"/>
        </w:rPr>
        <w:t xml:space="preserve">El resultado global solo se calcula cuando las 11 esferas están completas.</w:t>
      </w:r>
    </w:p>
    <w:p>
      <w:pPr>
        <w:pBdr>
          <w:bottom w:val="single" w:color="E0E0E0" w:sz="4"/>
        </w:pBdr>
        <w:spacing w:after="160" w:before="160"/>
      </w:pPr>
    </w:p>
    <w:p>
      <w:pPr>
        <w:pStyle w:val="Heading1"/>
        <w:spacing w:after="160" w:before="400"/>
      </w:pPr>
      <w:r>
        <w:rPr>
          <w:rFonts w:ascii="Arial" w:cs="Arial" w:eastAsia="Arial" w:hAnsi="Arial"/>
          <w:b/>
          <w:bCs/>
          <w:color w:val="1A1A1A"/>
          <w:sz w:val="36"/>
          <w:szCs w:val="36"/>
        </w:rPr>
        <w:t xml:space="preserve">4. Ciclo de Vida del Diagnóstico</w:t>
      </w:r>
    </w:p>
    <w:p>
      <w:pPr>
        <w:pStyle w:val="Heading2"/>
        <w:spacing w:after="160" w:before="280"/>
      </w:pPr>
      <w:r>
        <w:rPr>
          <w:rFonts w:ascii="Arial" w:cs="Arial" w:eastAsia="Arial" w:hAnsi="Arial"/>
          <w:b/>
          <w:bCs/>
          <w:color w:val="1A1A1A"/>
          <w:sz w:val="28"/>
          <w:szCs w:val="28"/>
        </w:rPr>
        <w:t xml:space="preserve">4.1 Temporalidad: Ciclo de 90 Días</w:t>
      </w:r>
    </w:p>
    <w:p>
      <w:pPr>
        <w:spacing w:after="120" w:before="120"/>
      </w:pPr>
      <w:r>
        <w:rPr>
          <w:rFonts w:ascii="Arial" w:cs="Arial" w:eastAsia="Arial" w:hAnsi="Arial"/>
          <w:b w:val="false"/>
          <w:bCs w:val="false"/>
          <w:color w:val="1A1A1A"/>
          <w:sz w:val="20"/>
          <w:szCs w:val="20"/>
        </w:rPr>
        <w:t xml:space="preserve">Cada campaña de diagnóstico tiene una ventana definida de 90 días desde el momento en que se envía la invitación al usuario. La lógica del ciclo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Momento</w:t>
            </w:r>
          </w:p>
        </w:tc>
        <w:tc>
          <w:tcPr>
            <w:tcW w:type="dxa" w:w="25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Evento</w:t>
            </w:r>
          </w:p>
        </w:tc>
        <w:tc>
          <w:tcPr>
            <w:tcW w:type="dxa" w:w="506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Descripción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 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Invitación</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usuario recibe el enlace de acceso. Comienza el ciclo.</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Días 1–30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Cuestionario abierto</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usuario puede completar el diagnóstico. Si termina antes del día 30, los recursos se habilitan de inmediato.</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 31</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Cierre del cuestionario</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cuestionario se cierra. Los recursos quedan accesibles hasta el día 90 independientemente de si el usuario completó o no.</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Días 31–90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Acceso a recursos</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usuario puede explorar la biblioteca de recursos recomendados según sus resultados.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 60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Email 1 — seguimiento</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Correo automático. Referencia las áreas de oportunidad del usuario. CTA: "Volver a mis recursos".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 90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Email 2 + cierre</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Correo de cierre. El acceso a la plataforma se desactiva para este ciclo. Los datos históricos de nivel se conservan para benchmarks agregados.</w:t>
            </w:r>
          </w:p>
        </w:tc>
      </w:tr>
    </w:tbl>
    <w:p>
      <w:pPr>
        <w:spacing w:after="120" w:before="120"/>
      </w:pPr>
      <w:r>
        <w:rPr>
          <w:rFonts w:ascii="Arial" w:cs="Arial" w:eastAsia="Arial" w:hAnsi="Arial"/>
          <w:b w:val="false"/>
          <w:bCs w:val="false"/>
          <w:color w:val="1A1A1A"/>
          <w:sz w:val="20"/>
          <w:szCs w:val="20"/>
        </w:rPr>
        <w:t xml:space="preserve"/>
      </w:r>
    </w:p>
    <w:p>
      <w:pPr>
        <w:spacing w:after="120" w:before="120"/>
      </w:pPr>
      <w:r>
        <w:rPr>
          <w:rFonts w:ascii="Arial" w:cs="Arial" w:eastAsia="Arial" w:hAnsi="Arial"/>
          <w:b w:val="false"/>
          <w:bCs w:val="false"/>
          <w:color w:val="1A1A1A"/>
          <w:sz w:val="20"/>
          <w:szCs w:val="20"/>
        </w:rPr>
        <w:t xml:space="preserve">Nota: Los datos individuales del usuario (respuestas, resultados, nivel por esfera) se conservan en la base de datos para permitir benchmarks históricos y comparativos en ciclos futuros. La organización nunca accede a datos individuales, solo a promedios agregados.</w:t>
      </w:r>
    </w:p>
    <w:p>
      <w:pPr>
        <w:pStyle w:val="Heading2"/>
        <w:spacing w:after="160" w:before="280"/>
      </w:pPr>
      <w:r>
        <w:rPr>
          <w:rFonts w:ascii="Arial" w:cs="Arial" w:eastAsia="Arial" w:hAnsi="Arial"/>
          <w:b/>
          <w:bCs/>
          <w:color w:val="1A1A1A"/>
          <w:sz w:val="28"/>
          <w:szCs w:val="28"/>
        </w:rPr>
        <w:t xml:space="preserve">4.2 Estados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Estado</w:t>
            </w:r>
          </w:p>
        </w:tc>
        <w:tc>
          <w:tcPr>
            <w:tcW w:type="dxa" w:w="35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Descripción</w:t>
            </w:r>
          </w:p>
        </w:tc>
        <w:tc>
          <w:tcPr>
            <w:tcW w:type="dxa" w:w="386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Transición siguiente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NUEVO</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Enlace recibido, cuenta no creada</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REGISTRADO al crear cuenta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REGISTRADO</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Cuenta activa, onboarding no completado</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ONBOARDED al completar bienvenida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ONBOARDED</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Onboarding completo, diagnóstico no iniciado</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EN PROGRESO al responder primera pregunta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 PROGRESO</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Cuestionario iniciado, no terminado</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COMPLETADO al responder última pregunta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COMPLETADO</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Diagnóstico terminado, resultados disponibles</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EXPLORANDO al ver resultados por primera vez</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EXPLORANDO</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 visto sus resultados al menos una vez</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Estado terminal hasta cierre del ciclo (día 90)</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CICLO CERRADO</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Día 90 alcanzado. Acceso desactivado.</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Datos históricos conservados para benchmarks</w:t>
            </w:r>
          </w:p>
        </w:tc>
      </w:tr>
    </w:tbl>
    <w:p>
      <w:pPr>
        <w:spacing w:after="120" w:before="120"/>
      </w:pPr>
      <w:r>
        <w:rPr>
          <w:rFonts w:ascii="Arial" w:cs="Arial" w:eastAsia="Arial" w:hAnsi="Arial"/>
          <w:b w:val="false"/>
          <w:bCs w:val="false"/>
          <w:color w:val="1A1A1A"/>
          <w:sz w:val="20"/>
          <w:szCs w:val="20"/>
        </w:rPr>
        <w:t xml:space="preserve"/>
      </w:r>
    </w:p>
    <w:p>
      <w:pPr>
        <w:pBdr>
          <w:bottom w:val="single" w:color="E0E0E0" w:sz="4"/>
        </w:pBdr>
        <w:spacing w:after="160" w:before="160"/>
      </w:pPr>
    </w:p>
    <w:p>
      <w:pPr>
        <w:pStyle w:val="Heading1"/>
        <w:spacing w:after="160" w:before="400"/>
      </w:pPr>
      <w:r>
        <w:rPr>
          <w:rFonts w:ascii="Arial" w:cs="Arial" w:eastAsia="Arial" w:hAnsi="Arial"/>
          <w:b/>
          <w:bCs/>
          <w:color w:val="1A1A1A"/>
          <w:sz w:val="36"/>
          <w:szCs w:val="36"/>
        </w:rPr>
        <w:t xml:space="preserve">5. Módulos Funcionales</w:t>
      </w:r>
    </w:p>
    <w:p>
      <w:pPr>
        <w:spacing w:after="120" w:before="120"/>
      </w:pPr>
      <w:r>
        <w:rPr>
          <w:rFonts w:ascii="Arial" w:cs="Arial" w:eastAsia="Arial" w:hAnsi="Arial"/>
          <w:b w:val="false"/>
          <w:bCs w:val="false"/>
          <w:color w:val="1A1A1A"/>
          <w:sz w:val="20"/>
          <w:szCs w:val="20"/>
        </w:rPr>
        <w:t xml:space="preserve">El MVP se estructura en nueve módulos organizados en tres capas:</w:t>
      </w:r>
    </w:p>
    <w:p>
      <w:pPr>
        <w:pStyle w:val="ListParagraph"/>
        <w:numPr>
          <w:ilvl w:val="0"/>
          <w:numId w:val="2"/>
        </w:numPr>
        <w:spacing w:after="60" w:before="60"/>
      </w:pPr>
      <w:r>
        <w:rPr>
          <w:rFonts w:ascii="Arial" w:cs="Arial" w:eastAsia="Arial" w:hAnsi="Arial"/>
          <w:b w:val="false"/>
          <w:bCs w:val="false"/>
          <w:color w:val="1A1A1A"/>
          <w:sz w:val="20"/>
          <w:szCs w:val="20"/>
        </w:rPr>
        <w:t xml:space="preserve">Capa de Experiencia Usuario: M1 Onboarding, M2 Diagnóstico, M3 Resultados, M4 Recursos, M5 Acompañamiento</w:t>
      </w:r>
    </w:p>
    <w:p>
      <w:pPr>
        <w:pStyle w:val="ListParagraph"/>
        <w:numPr>
          <w:ilvl w:val="0"/>
          <w:numId w:val="2"/>
        </w:numPr>
        <w:spacing w:after="60" w:before="60"/>
      </w:pPr>
      <w:r>
        <w:rPr>
          <w:rFonts w:ascii="Arial" w:cs="Arial" w:eastAsia="Arial" w:hAnsi="Arial"/>
          <w:b w:val="false"/>
          <w:bCs w:val="false"/>
          <w:color w:val="1A1A1A"/>
          <w:sz w:val="20"/>
          <w:szCs w:val="20"/>
        </w:rPr>
        <w:t xml:space="preserve">Capa Organizacional: M6 Dashboard B2B, M7 Administración</w:t>
      </w:r>
    </w:p>
    <w:p>
      <w:pPr>
        <w:pStyle w:val="ListParagraph"/>
        <w:numPr>
          <w:ilvl w:val="0"/>
          <w:numId w:val="2"/>
        </w:numPr>
        <w:spacing w:after="60" w:before="60"/>
      </w:pPr>
      <w:r>
        <w:rPr>
          <w:rFonts w:ascii="Arial" w:cs="Arial" w:eastAsia="Arial" w:hAnsi="Arial"/>
          <w:b w:val="false"/>
          <w:bCs w:val="false"/>
          <w:color w:val="1A1A1A"/>
          <w:sz w:val="20"/>
          <w:szCs w:val="20"/>
        </w:rPr>
        <w:t xml:space="preserve">Capa de Soporte: M8 Autenticación, M9 Notificaciones</w:t>
      </w:r>
    </w:p>
    <w:p>
      <w:pPr>
        <w:spacing w:after="120" w:before="120"/>
      </w:pPr>
      <w:r>
        <w:rPr>
          <w:rFonts w:ascii="Arial" w:cs="Arial" w:eastAsia="Arial" w:hAnsi="Arial"/>
          <w:b w:val="false"/>
          <w:bCs w:val="false"/>
          <w:color w:val="1A1A1A"/>
          <w:sz w:val="20"/>
          <w:szCs w:val="20"/>
        </w:rPr>
        <w:t xml:space="preserve"/>
      </w:r>
    </w:p>
    <w:p>
      <w:pPr>
        <w:pStyle w:val="Heading2"/>
        <w:spacing w:after="160" w:before="280"/>
      </w:pPr>
      <w:r>
        <w:rPr>
          <w:rFonts w:ascii="Arial" w:cs="Arial" w:eastAsia="Arial" w:hAnsi="Arial"/>
          <w:b/>
          <w:bCs/>
          <w:color w:val="1A1A1A"/>
          <w:sz w:val="28"/>
          <w:szCs w:val="28"/>
        </w:rPr>
        <w:t xml:space="preserve">5.1 M2: Módulo de Diagnóstico — Detalle</w:t>
      </w:r>
    </w:p>
    <w:p>
      <w:pPr>
        <w:spacing w:after="120" w:before="120"/>
      </w:pPr>
      <w:r>
        <w:rPr>
          <w:rFonts w:ascii="Arial" w:cs="Arial" w:eastAsia="Arial" w:hAnsi="Arial"/>
          <w:b w:val="false"/>
          <w:bCs w:val="false"/>
          <w:color w:val="1A1A1A"/>
          <w:sz w:val="20"/>
          <w:szCs w:val="20"/>
        </w:rPr>
        <w:t xml:space="preserve">Flujo del módulo de diagnóstico, incluyendo el selector de modalidad:</w:t>
      </w:r>
    </w:p>
    <w:p>
      <w:pPr>
        <w:pStyle w:val="ListParagraph"/>
        <w:numPr>
          <w:ilvl w:val="0"/>
          <w:numId w:val="3"/>
        </w:numPr>
        <w:spacing w:after="60" w:before="60"/>
      </w:pPr>
      <w:r>
        <w:rPr>
          <w:rFonts w:ascii="Arial" w:cs="Arial" w:eastAsia="Arial" w:hAnsi="Arial"/>
          <w:b w:val="false"/>
          <w:bCs w:val="false"/>
          <w:color w:val="1A1A1A"/>
          <w:sz w:val="20"/>
          <w:szCs w:val="20"/>
        </w:rPr>
        <w:t xml:space="preserve">El usuario completa el onboarding y llega a la pantalla de instrucciones.</w:t>
      </w:r>
    </w:p>
    <w:p>
      <w:pPr>
        <w:pStyle w:val="ListParagraph"/>
        <w:numPr>
          <w:ilvl w:val="0"/>
          <w:numId w:val="3"/>
        </w:numPr>
        <w:spacing w:after="60" w:before="60"/>
      </w:pPr>
      <w:r>
        <w:rPr>
          <w:rFonts w:ascii="Arial" w:cs="Arial" w:eastAsia="Arial" w:hAnsi="Arial"/>
          <w:b w:val="false"/>
          <w:bCs w:val="false"/>
          <w:color w:val="1A1A1A"/>
          <w:sz w:val="20"/>
          <w:szCs w:val="20"/>
        </w:rPr>
        <w:t xml:space="preserve">La pantalla de instrucciones presenta las reglas de respuesta (últimas 2–4 semanas, sin respuestas correctas, privado).</w:t>
      </w:r>
    </w:p>
    <w:p>
      <w:pPr>
        <w:pStyle w:val="ListParagraph"/>
        <w:numPr>
          <w:ilvl w:val="0"/>
          <w:numId w:val="3"/>
        </w:numPr>
        <w:spacing w:after="60" w:before="60"/>
      </w:pPr>
      <w:r>
        <w:rPr>
          <w:rFonts w:ascii="Arial" w:cs="Arial" w:eastAsia="Arial" w:hAnsi="Arial"/>
          <w:b w:val="false"/>
          <w:bCs w:val="false"/>
          <w:color w:val="1A1A1A"/>
          <w:sz w:val="20"/>
          <w:szCs w:val="20"/>
        </w:rPr>
        <w:t xml:space="preserve">El usuario accede al selector de modalidad: "Diagnóstico completo" o "Por esfera". El botón Comenzar permanece inactivo hasta elegir.</w:t>
      </w:r>
    </w:p>
    <w:p>
      <w:pPr>
        <w:pStyle w:val="ListParagraph"/>
        <w:numPr>
          <w:ilvl w:val="0"/>
          <w:numId w:val="3"/>
        </w:numPr>
        <w:spacing w:after="60" w:before="60"/>
      </w:pPr>
      <w:r>
        <w:rPr>
          <w:rFonts w:ascii="Arial" w:cs="Arial" w:eastAsia="Arial" w:hAnsi="Arial"/>
          <w:b w:val="false"/>
          <w:bCs w:val="false"/>
          <w:color w:val="1A1A1A"/>
          <w:sz w:val="20"/>
          <w:szCs w:val="20"/>
        </w:rPr>
        <w:t xml:space="preserve">Si elige "Por esfera", debe además seleccionar la esfera específica de las 11 disponibles.</w:t>
      </w:r>
    </w:p>
    <w:p>
      <w:pPr>
        <w:pStyle w:val="ListParagraph"/>
        <w:numPr>
          <w:ilvl w:val="0"/>
          <w:numId w:val="3"/>
        </w:numPr>
        <w:spacing w:after="60" w:before="60"/>
      </w:pPr>
      <w:r>
        <w:rPr>
          <w:rFonts w:ascii="Arial" w:cs="Arial" w:eastAsia="Arial" w:hAnsi="Arial"/>
          <w:b w:val="false"/>
          <w:bCs w:val="false"/>
          <w:color w:val="1A1A1A"/>
          <w:sz w:val="20"/>
          <w:szCs w:val="20"/>
        </w:rPr>
        <w:t xml:space="preserve">El cuestionario se presenta con barra de progreso, badge de pilar/esfera activo y guardado automático por respuesta.</w:t>
      </w:r>
    </w:p>
    <w:p>
      <w:pPr>
        <w:pStyle w:val="ListParagraph"/>
        <w:numPr>
          <w:ilvl w:val="0"/>
          <w:numId w:val="3"/>
        </w:numPr>
        <w:spacing w:after="60" w:before="60"/>
      </w:pPr>
      <w:r>
        <w:rPr>
          <w:rFonts w:ascii="Arial" w:cs="Arial" w:eastAsia="Arial" w:hAnsi="Arial"/>
          <w:b w:val="false"/>
          <w:bCs w:val="false"/>
          <w:color w:val="1A1A1A"/>
          <w:sz w:val="20"/>
          <w:szCs w:val="20"/>
        </w:rPr>
        <w:t xml:space="preserve">Al finalizar cada bloque de esfera (en modalidad por esfera), el sistema presenta el resultado parcial y la opción de continuar con otra esfera o cerrar sesión.</w:t>
      </w:r>
    </w:p>
    <w:p>
      <w:pPr>
        <w:pStyle w:val="ListParagraph"/>
        <w:numPr>
          <w:ilvl w:val="0"/>
          <w:numId w:val="3"/>
        </w:numPr>
        <w:spacing w:after="60" w:before="60"/>
      </w:pPr>
      <w:r>
        <w:rPr>
          <w:rFonts w:ascii="Arial" w:cs="Arial" w:eastAsia="Arial" w:hAnsi="Arial"/>
          <w:b w:val="false"/>
          <w:bCs w:val="false"/>
          <w:color w:val="1A1A1A"/>
          <w:sz w:val="20"/>
          <w:szCs w:val="20"/>
        </w:rPr>
        <w:t xml:space="preserve">Al completar el diagnóstico completo, el sistema procesa y redirige a la pantalla de resultados.</w:t>
      </w:r>
    </w:p>
    <w:p>
      <w:pPr>
        <w:pStyle w:val="Heading2"/>
        <w:spacing w:after="160" w:before="280"/>
      </w:pPr>
      <w:r>
        <w:rPr>
          <w:rFonts w:ascii="Arial" w:cs="Arial" w:eastAsia="Arial" w:hAnsi="Arial"/>
          <w:b/>
          <w:bCs/>
          <w:color w:val="1A1A1A"/>
          <w:sz w:val="28"/>
          <w:szCs w:val="28"/>
        </w:rPr>
        <w:t xml:space="preserve">5.2 M9: Módulo de Notificaciones — Reglas de Comunicación</w:t>
      </w:r>
    </w:p>
    <w:p>
      <w:pPr>
        <w:spacing w:after="120" w:before="120"/>
      </w:pPr>
      <w:r>
        <w:rPr>
          <w:rFonts w:ascii="Arial" w:cs="Arial" w:eastAsia="Arial" w:hAnsi="Arial"/>
          <w:b w:val="false"/>
          <w:bCs w:val="false"/>
          <w:color w:val="1A1A1A"/>
          <w:sz w:val="20"/>
          <w:szCs w:val="20"/>
        </w:rPr>
        <w:t xml:space="preserve">Los dos emails automáticos del ciclo siguen estas reglas:</w:t>
      </w:r>
    </w:p>
    <w:p>
      <w:pPr>
        <w:pStyle w:val="ListParagraph"/>
        <w:numPr>
          <w:ilvl w:val="0"/>
          <w:numId w:val="2"/>
        </w:numPr>
        <w:spacing w:after="60" w:before="60"/>
      </w:pPr>
      <w:r>
        <w:rPr>
          <w:rFonts w:ascii="Arial" w:cs="Arial" w:eastAsia="Arial" w:hAnsi="Arial"/>
          <w:b w:val="false"/>
          <w:bCs w:val="false"/>
          <w:color w:val="1A1A1A"/>
          <w:sz w:val="20"/>
          <w:szCs w:val="20"/>
        </w:rPr>
        <w:t xml:space="preserve">Email del día 60: referencia el nombre de las esferas más bajas del usuario (no el número). CTA directo a la biblioteca de recursos. Tono de acompañamiento, no de urgencia.</w:t>
      </w:r>
    </w:p>
    <w:p>
      <w:pPr>
        <w:pStyle w:val="ListParagraph"/>
        <w:numPr>
          <w:ilvl w:val="0"/>
          <w:numId w:val="2"/>
        </w:numPr>
        <w:spacing w:after="60" w:before="60"/>
      </w:pPr>
      <w:r>
        <w:rPr>
          <w:rFonts w:ascii="Arial" w:cs="Arial" w:eastAsia="Arial" w:hAnsi="Arial"/>
          <w:b w:val="false"/>
          <w:bCs w:val="false"/>
          <w:color w:val="1A1A1A"/>
          <w:sz w:val="20"/>
          <w:szCs w:val="20"/>
        </w:rPr>
        <w:t xml:space="preserve">Email del día 90: cierre del ciclo. Mensaje de despedida. Recuerda que el acceso se desactiva ese día. No incluye score numérico.</w:t>
      </w:r>
    </w:p>
    <w:p>
      <w:pPr>
        <w:pStyle w:val="ListParagraph"/>
        <w:numPr>
          <w:ilvl w:val="0"/>
          <w:numId w:val="2"/>
        </w:numPr>
        <w:spacing w:after="60" w:before="60"/>
      </w:pPr>
      <w:r>
        <w:rPr>
          <w:rFonts w:ascii="Arial" w:cs="Arial" w:eastAsia="Arial" w:hAnsi="Arial"/>
          <w:b w:val="false"/>
          <w:bCs w:val="false"/>
          <w:color w:val="1A1A1A"/>
          <w:sz w:val="20"/>
          <w:szCs w:val="20"/>
        </w:rPr>
        <w:t xml:space="preserve">Máximo 2 emails automáticos por ciclo. Sin notificaciones push en MVP.</w:t>
      </w:r>
    </w:p>
    <w:p>
      <w:pPr>
        <w:pStyle w:val="ListParagraph"/>
        <w:numPr>
          <w:ilvl w:val="0"/>
          <w:numId w:val="2"/>
        </w:numPr>
        <w:spacing w:after="60" w:before="60"/>
      </w:pPr>
      <w:r>
        <w:rPr>
          <w:rFonts w:ascii="Arial" w:cs="Arial" w:eastAsia="Arial" w:hAnsi="Arial"/>
          <w:b w:val="false"/>
          <w:bCs w:val="false"/>
          <w:color w:val="1A1A1A"/>
          <w:sz w:val="20"/>
          <w:szCs w:val="20"/>
        </w:rPr>
        <w:t xml:space="preserve">Todos los emails incluyen enlace de desuscripción en un clic.</w:t>
      </w:r>
    </w:p>
    <w:p>
      <w:pPr>
        <w:pBdr>
          <w:bottom w:val="single" w:color="E0E0E0" w:sz="4"/>
        </w:pBdr>
        <w:spacing w:after="160" w:before="160"/>
      </w:pPr>
    </w:p>
    <w:p>
      <w:pPr>
        <w:pStyle w:val="Heading1"/>
        <w:spacing w:after="160" w:before="400"/>
      </w:pPr>
      <w:r>
        <w:rPr>
          <w:rFonts w:ascii="Arial" w:cs="Arial" w:eastAsia="Arial" w:hAnsi="Arial"/>
          <w:b/>
          <w:bCs/>
          <w:color w:val="1A1A1A"/>
          <w:sz w:val="36"/>
          <w:szCs w:val="36"/>
        </w:rPr>
        <w:t xml:space="preserve">6. Privacidad y Separación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Tipo de dato</w:t>
            </w:r>
          </w:p>
        </w:tc>
        <w:tc>
          <w:tcPr>
            <w:tcW w:type="dxa" w:w="300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Quién accede</w:t>
            </w:r>
          </w:p>
        </w:tc>
        <w:tc>
          <w:tcPr>
            <w:tcW w:type="dxa" w:w="3360"/>
            <w:gridSpan w:val="1"/>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Notas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Respuestas individuales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Solo el usuario</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Nunca visible para la organización. Restricción arquitectónica.</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Resultados y niveles por esfera</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Solo el usuario</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Incluye historial y comparativos longitudinales.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Datos agregados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Organización (admin)</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Promedios por esfera y pilar. Mínimo 5 personas para mostrar.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Tendencias organizacionales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Organización (admin)</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Patrones colectivos, áreas de oportunidad. Sin identificación individual.</w:t>
            </w:r>
          </w:p>
        </w:tc>
      </w:tr>
    </w:tbl>
    <w:p>
      <w:pPr>
        <w:spacing w:after="120" w:before="120"/>
      </w:pPr>
      <w:r>
        <w:rPr>
          <w:rFonts w:ascii="Arial" w:cs="Arial" w:eastAsia="Arial" w:hAnsi="Arial"/>
          <w:b w:val="false"/>
          <w:bCs w:val="false"/>
          <w:color w:val="1A1A1A"/>
          <w:sz w:val="20"/>
          <w:szCs w:val="20"/>
        </w:rPr>
        <w:t xml:space="preserve"/>
      </w:r>
    </w:p>
    <w:p>
      <w:pPr>
        <w:pBdr>
          <w:bottom w:val="single" w:color="E0E0E0" w:sz="4"/>
        </w:pBdr>
        <w:spacing w:after="160" w:before="160"/>
      </w:pPr>
    </w:p>
    <w:p>
      <w:pPr>
        <w:pStyle w:val="Heading1"/>
        <w:spacing w:after="160" w:before="400"/>
      </w:pPr>
      <w:r>
        <w:rPr>
          <w:rFonts w:ascii="Arial" w:cs="Arial" w:eastAsia="Arial" w:hAnsi="Arial"/>
          <w:b/>
          <w:bCs/>
          <w:color w:val="1A1A1A"/>
          <w:sz w:val="36"/>
          <w:szCs w:val="36"/>
        </w:rPr>
        <w:t xml:space="preserve">7. Funcionalidades MVP vs. Fases Posteriores</w:t>
      </w:r>
    </w:p>
    <w:p>
      <w:pPr>
        <w:pStyle w:val="Heading2"/>
        <w:spacing w:after="160" w:before="280"/>
      </w:pPr>
      <w:r>
        <w:rPr>
          <w:rFonts w:ascii="Arial" w:cs="Arial" w:eastAsia="Arial" w:hAnsi="Arial"/>
          <w:b/>
          <w:bCs/>
          <w:color w:val="1A1A1A"/>
          <w:sz w:val="28"/>
          <w:szCs w:val="28"/>
        </w:rPr>
        <w:t xml:space="preserve">Incluido en MVP</w:t>
      </w:r>
    </w:p>
    <w:p>
      <w:pPr>
        <w:pStyle w:val="ListParagraph"/>
        <w:numPr>
          <w:ilvl w:val="0"/>
          <w:numId w:val="2"/>
        </w:numPr>
        <w:spacing w:after="60" w:before="60"/>
      </w:pPr>
      <w:r>
        <w:rPr>
          <w:rFonts w:ascii="Arial" w:cs="Arial" w:eastAsia="Arial" w:hAnsi="Arial"/>
          <w:b w:val="false"/>
          <w:bCs w:val="false"/>
          <w:color w:val="1A1A1A"/>
          <w:sz w:val="20"/>
          <w:szCs w:val="20"/>
        </w:rPr>
        <w:t xml:space="preserve">Diagnóstico completo (63 preguntas, 4 pilares × 11 esferas)</w:t>
      </w:r>
    </w:p>
    <w:p>
      <w:pPr>
        <w:pStyle w:val="ListParagraph"/>
        <w:numPr>
          <w:ilvl w:val="0"/>
          <w:numId w:val="2"/>
        </w:numPr>
        <w:spacing w:after="60" w:before="60"/>
      </w:pPr>
      <w:r>
        <w:rPr>
          <w:rFonts w:ascii="Arial" w:cs="Arial" w:eastAsia="Arial" w:hAnsi="Arial"/>
          <w:b w:val="false"/>
          <w:bCs w:val="false"/>
          <w:color w:val="1A1A1A"/>
          <w:sz w:val="20"/>
          <w:szCs w:val="20"/>
        </w:rPr>
        <w:t xml:space="preserve">Selector de modalidad: diagnóstico completo o por esfera</w:t>
      </w:r>
    </w:p>
    <w:p>
      <w:pPr>
        <w:pStyle w:val="ListParagraph"/>
        <w:numPr>
          <w:ilvl w:val="0"/>
          <w:numId w:val="2"/>
        </w:numPr>
        <w:spacing w:after="60" w:before="60"/>
      </w:pPr>
      <w:r>
        <w:rPr>
          <w:rFonts w:ascii="Arial" w:cs="Arial" w:eastAsia="Arial" w:hAnsi="Arial"/>
          <w:b w:val="false"/>
          <w:bCs w:val="false"/>
          <w:color w:val="1A1A1A"/>
          <w:sz w:val="20"/>
          <w:szCs w:val="20"/>
        </w:rPr>
        <w:t xml:space="preserve">Sistema de resultados con interpretaciones en 5 niveles</w:t>
      </w:r>
    </w:p>
    <w:p>
      <w:pPr>
        <w:pStyle w:val="ListParagraph"/>
        <w:numPr>
          <w:ilvl w:val="0"/>
          <w:numId w:val="2"/>
        </w:numPr>
        <w:spacing w:after="60" w:before="60"/>
      </w:pPr>
      <w:r>
        <w:rPr>
          <w:rFonts w:ascii="Arial" w:cs="Arial" w:eastAsia="Arial" w:hAnsi="Arial"/>
          <w:b w:val="false"/>
          <w:bCs w:val="false"/>
          <w:color w:val="1A1A1A"/>
          <w:sz w:val="20"/>
          <w:szCs w:val="20"/>
        </w:rPr>
        <w:t xml:space="preserve">Detección de patrones diagnósticos (desalineación, falsa estabilidad, dispersión, consistencia)</w:t>
      </w:r>
    </w:p>
    <w:p>
      <w:pPr>
        <w:pStyle w:val="ListParagraph"/>
        <w:numPr>
          <w:ilvl w:val="0"/>
          <w:numId w:val="2"/>
        </w:numPr>
        <w:spacing w:after="60" w:before="60"/>
      </w:pPr>
      <w:r>
        <w:rPr>
          <w:rFonts w:ascii="Arial" w:cs="Arial" w:eastAsia="Arial" w:hAnsi="Arial"/>
          <w:b w:val="false"/>
          <w:bCs w:val="false"/>
          <w:color w:val="1A1A1A"/>
          <w:sz w:val="20"/>
          <w:szCs w:val="20"/>
        </w:rPr>
        <w:t xml:space="preserve">Recomendaciones accionables por esfera más baja</w:t>
      </w:r>
    </w:p>
    <w:p>
      <w:pPr>
        <w:pStyle w:val="ListParagraph"/>
        <w:numPr>
          <w:ilvl w:val="0"/>
          <w:numId w:val="2"/>
        </w:numPr>
        <w:spacing w:after="60" w:before="60"/>
      </w:pPr>
      <w:r>
        <w:rPr>
          <w:rFonts w:ascii="Arial" w:cs="Arial" w:eastAsia="Arial" w:hAnsi="Arial"/>
          <w:b w:val="false"/>
          <w:bCs w:val="false"/>
          <w:color w:val="1A1A1A"/>
          <w:sz w:val="20"/>
          <w:szCs w:val="20"/>
        </w:rPr>
        <w:t xml:space="preserve">Ciclo de 90 días con 2 emails automáticos (día 60 y día 90)</w:t>
      </w:r>
    </w:p>
    <w:p>
      <w:pPr>
        <w:pStyle w:val="ListParagraph"/>
        <w:numPr>
          <w:ilvl w:val="0"/>
          <w:numId w:val="2"/>
        </w:numPr>
        <w:spacing w:after="60" w:before="60"/>
      </w:pPr>
      <w:r>
        <w:rPr>
          <w:rFonts w:ascii="Arial" w:cs="Arial" w:eastAsia="Arial" w:hAnsi="Arial"/>
          <w:b w:val="false"/>
          <w:bCs w:val="false"/>
          <w:color w:val="1A1A1A"/>
          <w:sz w:val="20"/>
          <w:szCs w:val="20"/>
        </w:rPr>
        <w:t xml:space="preserve">Biblioteca de recursos (accesible del día 31 al 90)</w:t>
      </w:r>
    </w:p>
    <w:p>
      <w:pPr>
        <w:pStyle w:val="ListParagraph"/>
        <w:numPr>
          <w:ilvl w:val="0"/>
          <w:numId w:val="2"/>
        </w:numPr>
        <w:spacing w:after="60" w:before="60"/>
      </w:pPr>
      <w:r>
        <w:rPr>
          <w:rFonts w:ascii="Arial" w:cs="Arial" w:eastAsia="Arial" w:hAnsi="Arial"/>
          <w:b w:val="false"/>
          <w:bCs w:val="false"/>
          <w:color w:val="1A1A1A"/>
          <w:sz w:val="20"/>
          <w:szCs w:val="20"/>
        </w:rPr>
        <w:t xml:space="preserve">Histórico personal para seguimiento longitudinal</w:t>
      </w:r>
    </w:p>
    <w:p>
      <w:pPr>
        <w:pStyle w:val="ListParagraph"/>
        <w:numPr>
          <w:ilvl w:val="0"/>
          <w:numId w:val="2"/>
        </w:numPr>
        <w:spacing w:after="60" w:before="60"/>
      </w:pPr>
      <w:r>
        <w:rPr>
          <w:rFonts w:ascii="Arial" w:cs="Arial" w:eastAsia="Arial" w:hAnsi="Arial"/>
          <w:b w:val="false"/>
          <w:bCs w:val="false"/>
          <w:color w:val="1A1A1A"/>
          <w:sz w:val="20"/>
          <w:szCs w:val="20"/>
        </w:rPr>
        <w:t xml:space="preserve">Dashboard organizacional con datos agregados únicamente</w:t>
      </w:r>
    </w:p>
    <w:p>
      <w:pPr>
        <w:pStyle w:val="ListParagraph"/>
        <w:numPr>
          <w:ilvl w:val="0"/>
          <w:numId w:val="2"/>
        </w:numPr>
        <w:spacing w:after="60" w:before="60"/>
      </w:pPr>
      <w:r>
        <w:rPr>
          <w:rFonts w:ascii="Arial" w:cs="Arial" w:eastAsia="Arial" w:hAnsi="Arial"/>
          <w:b w:val="false"/>
          <w:bCs w:val="false"/>
          <w:color w:val="1A1A1A"/>
          <w:sz w:val="20"/>
          <w:szCs w:val="20"/>
        </w:rPr>
        <w:t xml:space="preserve">Privacidad por diseño: datos individuales nunca expuestos</w:t>
      </w:r>
    </w:p>
    <w:p>
      <w:pPr>
        <w:pStyle w:val="Heading2"/>
        <w:spacing w:after="160" w:before="280"/>
      </w:pPr>
      <w:r>
        <w:rPr>
          <w:rFonts w:ascii="Arial" w:cs="Arial" w:eastAsia="Arial" w:hAnsi="Arial"/>
          <w:b/>
          <w:bCs/>
          <w:color w:val="1A1A1A"/>
          <w:sz w:val="28"/>
          <w:szCs w:val="28"/>
        </w:rPr>
        <w:t xml:space="preserve">Excluido del MVP (Fase Posterior)</w:t>
      </w:r>
    </w:p>
    <w:p>
      <w:pPr>
        <w:pStyle w:val="ListParagraph"/>
        <w:numPr>
          <w:ilvl w:val="0"/>
          <w:numId w:val="2"/>
        </w:numPr>
        <w:spacing w:after="60" w:before="60"/>
      </w:pPr>
      <w:r>
        <w:rPr>
          <w:rFonts w:ascii="Arial" w:cs="Arial" w:eastAsia="Arial" w:hAnsi="Arial"/>
          <w:b w:val="false"/>
          <w:bCs w:val="false"/>
          <w:color w:val="1A1A1A"/>
          <w:sz w:val="20"/>
          <w:szCs w:val="20"/>
        </w:rPr>
        <w:t xml:space="preserve">Planes de desarrollo personalizados generados por IA</w:t>
      </w:r>
    </w:p>
    <w:p>
      <w:pPr>
        <w:pStyle w:val="ListParagraph"/>
        <w:numPr>
          <w:ilvl w:val="0"/>
          <w:numId w:val="2"/>
        </w:numPr>
        <w:spacing w:after="60" w:before="60"/>
      </w:pPr>
      <w:r>
        <w:rPr>
          <w:rFonts w:ascii="Arial" w:cs="Arial" w:eastAsia="Arial" w:hAnsi="Arial"/>
          <w:b w:val="false"/>
          <w:bCs w:val="false"/>
          <w:color w:val="1A1A1A"/>
          <w:sz w:val="20"/>
          <w:szCs w:val="20"/>
        </w:rPr>
        <w:t xml:space="preserve">Gamificación y sistema de logros</w:t>
      </w:r>
    </w:p>
    <w:p>
      <w:pPr>
        <w:pStyle w:val="ListParagraph"/>
        <w:numPr>
          <w:ilvl w:val="0"/>
          <w:numId w:val="2"/>
        </w:numPr>
        <w:spacing w:after="60" w:before="60"/>
      </w:pPr>
      <w:r>
        <w:rPr>
          <w:rFonts w:ascii="Arial" w:cs="Arial" w:eastAsia="Arial" w:hAnsi="Arial"/>
          <w:b w:val="false"/>
          <w:bCs w:val="false"/>
          <w:color w:val="1A1A1A"/>
          <w:sz w:val="20"/>
          <w:szCs w:val="20"/>
        </w:rPr>
        <w:t xml:space="preserve">Integraciones con sistemas HR externos (SAP, Workday)</w:t>
      </w:r>
    </w:p>
    <w:p>
      <w:pPr>
        <w:pStyle w:val="ListParagraph"/>
        <w:numPr>
          <w:ilvl w:val="0"/>
          <w:numId w:val="2"/>
        </w:numPr>
        <w:spacing w:after="60" w:before="60"/>
      </w:pPr>
      <w:r>
        <w:rPr>
          <w:rFonts w:ascii="Arial" w:cs="Arial" w:eastAsia="Arial" w:hAnsi="Arial"/>
          <w:b w:val="false"/>
          <w:bCs w:val="false"/>
          <w:color w:val="1A1A1A"/>
          <w:sz w:val="20"/>
          <w:szCs w:val="20"/>
        </w:rPr>
        <w:t xml:space="preserve">App móvil nativa (MVP es web responsive)</w:t>
      </w:r>
    </w:p>
    <w:p>
      <w:pPr>
        <w:pStyle w:val="ListParagraph"/>
        <w:numPr>
          <w:ilvl w:val="0"/>
          <w:numId w:val="2"/>
        </w:numPr>
        <w:spacing w:after="60" w:before="60"/>
      </w:pPr>
      <w:r>
        <w:rPr>
          <w:rFonts w:ascii="Arial" w:cs="Arial" w:eastAsia="Arial" w:hAnsi="Arial"/>
          <w:b w:val="false"/>
          <w:bCs w:val="false"/>
          <w:color w:val="1A1A1A"/>
          <w:sz w:val="20"/>
          <w:szCs w:val="20"/>
        </w:rPr>
        <w:t xml:space="preserve">Coaching automatizado o journaling guiado por IA</w:t>
      </w:r>
    </w:p>
    <w:p>
      <w:pPr>
        <w:pStyle w:val="ListParagraph"/>
        <w:numPr>
          <w:ilvl w:val="0"/>
          <w:numId w:val="2"/>
        </w:numPr>
        <w:spacing w:after="60" w:before="60"/>
      </w:pPr>
      <w:r>
        <w:rPr>
          <w:rFonts w:ascii="Arial" w:cs="Arial" w:eastAsia="Arial" w:hAnsi="Arial"/>
          <w:b w:val="false"/>
          <w:bCs w:val="false"/>
          <w:color w:val="1A1A1A"/>
          <w:sz w:val="20"/>
          <w:szCs w:val="20"/>
        </w:rPr>
        <w:t xml:space="preserve">Notificaciones push</w:t>
      </w:r>
    </w:p>
    <w:p>
      <w:pPr>
        <w:pBdr>
          <w:bottom w:val="single" w:color="E0E0E0" w:sz="4"/>
        </w:pBdr>
        <w:spacing w:after="160" w:before="160"/>
      </w:pPr>
    </w:p>
    <w:p>
      <w:pPr>
        <w:spacing w:after="120" w:before="120"/>
      </w:pPr>
      <w:r>
        <w:rPr>
          <w:rFonts w:ascii="Arial" w:cs="Arial" w:eastAsia="Arial" w:hAnsi="Arial"/>
          <w:b w:val="false"/>
          <w:bCs w:val="false"/>
          <w:color w:val="9E9E9E"/>
          <w:sz w:val="18"/>
          <w:szCs w:val="18"/>
        </w:rPr>
        <w:t xml:space="preserve">Versión 4.0 — Marzo 2026 | Human Complex | Luis Fernando López — Product Owner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B5E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2026-04-02T00:02:32.832Z</dcterms:created>
  <dcterms:modified xsi:type="dcterms:W3CDTF">2026-04-02T00:02:32.833Z</dcterms:modified>
</cp:coreProperties>
</file>

<file path=docProps/custom.xml><?xml version="1.0" encoding="utf-8"?>
<Properties xmlns="http://schemas.openxmlformats.org/officeDocument/2006/custom-properties" xmlns:vt="http://schemas.openxmlformats.org/officeDocument/2006/docPropsVTypes"/>
</file>