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EVM1110E · Bảng mô tả mức điểm chi tiết cho bản kế hoạch SMP (Phần I, tiêu chí 1–7)</w:t>
      </w:r>
    </w:p>
    <w:p>
      <w:pPr>
        <w:pBdr>
          <w:bottom w:val="single" w:color="2E8B74" w:sz="8" w:space="6"/>
        </w:pBdr>
        <w:spacing w:after="240"/>
      </w:pPr>
      <w:r>
        <w:rPr>
          <w:color w:val="5A6478"/>
          <w:sz w:val="21"/>
          <w:szCs w:val="21"/>
        </w:rPr>
        <w:t xml:space="preserve">Tài liệu chấm dành cho giảng viên · Dùng làm nguồn trong NotebookLM cùng với đề thi chính thức</w:t>
      </w:r>
    </w:p>
    <w:p>
      <w:pPr>
        <w:pBdr>
          <w:left w:val="single" w:color="2E8B74" w:sz="18" w:space="8"/>
        </w:pBdr>
        <w:shd w:fill="E8F4F0" w:color="auto" w:val="clear"/>
        <w:spacing w:after="160" w:before="80"/>
        <w:ind w:left="200" w:right="100"/>
      </w:pPr>
      <w:r>
        <w:rPr>
          <w:color w:val="333F55"/>
          <w:sz w:val="20"/>
          <w:szCs w:val="20"/>
        </w:rPr>
        <w:t xml:space="preserve">Bảng này </w:t>
      </w:r>
      <w:r>
        <w:rPr>
          <w:b/>
          <w:bCs/>
          <w:color w:val="333F55"/>
          <w:sz w:val="20"/>
          <w:szCs w:val="20"/>
        </w:rPr>
        <w:t xml:space="preserve">chi tiết hóa</w:t>
      </w:r>
      <w:r>
        <w:rPr>
          <w:color w:val="333F55"/>
          <w:sz w:val="20"/>
          <w:szCs w:val="20"/>
        </w:rPr>
        <w:t xml:space="preserve"> rubric trong đề thi cuối kỳ (HK1A 2026–2027) để điểm của các nhóm tách biệt rõ hơn. Bảng không thay đổi trọng số hay mô tả mức điểm của đề thi. Khi bảng này và đề thi khác nhau, </w:t>
      </w:r>
      <w:r>
        <w:rPr>
          <w:b/>
          <w:bCs/>
          <w:color w:val="333F55"/>
          <w:sz w:val="20"/>
          <w:szCs w:val="20"/>
        </w:rPr>
        <w:t xml:space="preserve">đề thi là căn cứ</w:t>
      </w:r>
      <w:r>
        <w:rPr>
          <w:color w:val="333F55"/>
          <w:sz w:val="20"/>
          <w:szCs w:val="20"/>
        </w:rPr>
        <w:t xml:space="preserve">. Các mục con do người soạn đề xuất từ mô tả mức điểm và các câu hỏi phần A–E của đề thi; giảng viên duyệt trước khi dùng.</w:t>
      </w:r>
    </w:p>
    <w:p>
      <w:pPr>
        <w:pStyle w:val="Heading1"/>
      </w:pPr>
      <w:r>
        <w:t xml:space="preserve">1. Cách chấm một tiêu chí</w:t>
      </w:r>
    </w:p>
    <w:p>
      <w:pPr>
        <w:spacing w:after="120"/>
      </w:pPr>
      <w:r>
        <w:rPr>
          <w:b/>
          <w:bCs/>
        </w:rPr>
        <w:t xml:space="preserve">Bước 1. Chấm từng mục con</w:t>
      </w:r>
      <w:r>
        <w:t xml:space="preserve"> theo thang 0–1–2: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Ý nghĩa</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có, hoặc có nhưng sai về khái niệm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nhưng sơ sài: chung chung, thiếu bằng chứng, chưa gắn với khách hàng cụ thể của nhóm, hoặc chỉ liệt kê</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Đầy đủ, đúng khái niệm, có bằng chứng hoặc giả định ghi rõ, gắn với khách hàng cụ thể và nối với phần khác của kế hoạch</w:t>
            </w:r>
          </w:p>
        </w:tc>
      </w:tr>
    </w:tbl>
    <w:p>
      <w:pPr>
        <w:spacing w:after="80" w:before="0"/>
      </w:pPr>
    </w:p>
    <w:p>
      <w:pPr>
        <w:spacing w:after="120"/>
      </w:pPr>
      <w:r>
        <w:t xml:space="preserve">Mỗi điểm mục con phải kèm </w:t>
      </w:r>
      <w:r>
        <w:rPr>
          <w:b/>
          <w:bCs/>
        </w:rPr>
        <w:t xml:space="preserve">trang và trích dẫn ngắn</w:t>
      </w:r>
      <w:r>
        <w:t xml:space="preserve"> từ bài làm. Không tìm thấy bằng chứng thì chấm 0 và ghi “không tìm thấy”.</w:t>
      </w:r>
    </w:p>
    <w:p>
      <w:pPr>
        <w:spacing w:after="120"/>
      </w:pPr>
      <w:r>
        <w:rPr>
          <w:b/>
          <w:bCs/>
        </w:rPr>
        <w:t xml:space="preserve">Bước 2. Tính mức điểm</w:t>
      </w:r>
      <w:r>
        <w:t xml:space="preserve"> (thang 10): mức = 10 × (tổng điểm mục con) / (điểm tối đa của tiêu chí), làm tròn đến 0,25.</w:t>
      </w:r>
    </w:p>
    <w:p>
      <w:pPr>
        <w:spacing w:after="120"/>
      </w:pPr>
      <w:r>
        <w:rPr>
          <w:b/>
          <w:bCs/>
        </w:rPr>
        <w:t xml:space="preserve">Bước 3. Áp trần điểm.</w:t>
      </w:r>
      <w:r>
        <w:t xml:space="preserve"> Nếu bài rơi vào một điều kiện trần (cột “Trần điểm”), mức điểm không vượt quá trần đó. Trần được lấy từ mô tả mức Trung bình và mức Kém của đề thi.</w:t>
      </w:r>
    </w:p>
    <w:p>
      <w:pPr>
        <w:spacing w:after="120"/>
      </w:pPr>
      <w:r>
        <w:rPr>
          <w:b/>
          <w:bCs/>
        </w:rPr>
        <w:t xml:space="preserve">Bước 4. Quy đổi:</w:t>
      </w:r>
      <w:r>
        <w:t xml:space="preserve"> điểm tiêu chí = mức điểm × trọng số. Ví dụ tiêu chí 2 (12%): mức 8,25 → 8,25 × 0,12 = 0,99 điểm.</w:t>
      </w:r>
    </w:p>
    <w:p>
      <w:pPr>
        <w:spacing w:after="120"/>
      </w:pPr>
      <w:r>
        <w:rPr>
          <w:b/>
          <w:bCs/>
        </w:rPr>
        <w:t xml:space="preserve">Bước 5. Đối chiếu mô tả mức của đề thi:</w:t>
      </w:r>
      <w:r>
        <w:t xml:space="preserve"> Xuất sắc 9–10 · Tốt 7–8 · Trung bình 5–6 · Kém 0–4. Nếu mức tính ra không khớp với mô tả của đề thi, ghi lý do và để giảng viên quyết định.</w:t>
      </w:r>
    </w:p>
    <w:p>
      <w:pPr>
        <w:spacing w:after="120"/>
      </w:pPr>
      <w:r>
        <w:rPr>
          <w:b/>
          <w:bCs/>
        </w:rPr>
        <w:t xml:space="preserve">Vì sao cách này tách được các nhóm:</w:t>
      </w:r>
      <w:r>
        <w:t xml:space="preserve"> điểm đi theo từng mục con có bằng chứng thay vì một ấn tượng chung, bước điểm là 0,25, và hai nhóm chỉ bằng điểm nhau khi bằng chứng của họ thật sự tương đương.</w:t>
      </w:r>
    </w:p>
    <w:p>
      <w:pPr>
        <w:pStyle w:val="Heading1"/>
      </w:pPr>
      <w:r>
        <w:t xml:space="preserve">2. Tiêu chí 1: Executive Summary, phần E (5%, tối đa 0,5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5"/>
        <w:gridCol w:w="4724"/>
        <w:gridCol w:w="4159"/>
      </w:tblGrid>
      <w:tr>
        <w:trPr>
          <w:tblHeader/>
        </w:trPr>
        <w:tc>
          <w:tcPr>
            <w:tcW w:type="dxa" w:w="75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Mã</w:t>
            </w:r>
          </w:p>
        </w:tc>
        <w:tc>
          <w:tcPr>
            <w:tcW w:type="dxa" w:w="472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Mục con</w:t>
            </w:r>
          </w:p>
        </w:tc>
        <w:tc>
          <w:tcPr>
            <w:tcW w:type="dxa" w:w="415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0 – 1 – 2</w:t>
            </w:r>
          </w:p>
        </w:tc>
      </w:tr>
      <w:tr>
        <w:trPr>
          <w:tblHeader w:val="off"/>
        </w:trPr>
        <w:tc>
          <w:tcPr>
            <w:tcW w:type="dxa" w:w="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E1</w:t>
            </w:r>
          </w:p>
        </w:tc>
        <w:tc>
          <w:tcPr>
            <w:tcW w:type="dxa" w:w="47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Tối đa 1 trang </w:t>
            </w:r>
            <w:r>
              <w:rPr>
                <w:sz w:val="20"/>
                <w:szCs w:val="20"/>
              </w:rPr>
              <w:t xml:space="preserve">và</w:t>
            </w:r>
            <w:r>
              <w:rPr>
                <w:sz w:val="20"/>
                <w:szCs w:val="20"/>
              </w:rPr>
              <w:t xml:space="preserve"> đặt đầu kế hoạch</w:t>
            </w:r>
          </w:p>
        </w:tc>
        <w:tc>
          <w:tcPr>
            <w:tcW w:type="dxa" w:w="4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 thiếu cả hai · 1: đạt một · 2: đạt cả hai</w:t>
            </w:r>
          </w:p>
        </w:tc>
      </w:tr>
      <w:tr>
        <w:trPr>
          <w:tblHeader w:val="off"/>
        </w:trPr>
        <w:tc>
          <w:tcPr>
            <w:tcW w:type="dxa" w:w="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E2</w:t>
            </w:r>
          </w:p>
        </w:tc>
        <w:tc>
          <w:tcPr>
            <w:tcW w:type="dxa" w:w="47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Nêu rõ nhu cầu của khách hàng (lấy từ A)</w:t>
            </w:r>
          </w:p>
        </w:tc>
        <w:tc>
          <w:tcPr>
            <w:tcW w:type="dxa" w:w="4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E3</w:t>
            </w:r>
          </w:p>
        </w:tc>
        <w:tc>
          <w:tcPr>
            <w:tcW w:type="dxa" w:w="47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Nêu đề xuất của agency, sắc, có trọng tâm</w:t>
            </w:r>
          </w:p>
        </w:tc>
        <w:tc>
          <w:tcPr>
            <w:tcW w:type="dxa" w:w="4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E4</w:t>
            </w:r>
          </w:p>
        </w:tc>
        <w:tc>
          <w:tcPr>
            <w:tcW w:type="dxa" w:w="47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giá trị </w:t>
            </w:r>
            <w:r>
              <w:rPr>
                <w:sz w:val="20"/>
                <w:szCs w:val="20"/>
              </w:rPr>
              <w:t xml:space="preserve">bằng số</w:t>
            </w:r>
            <w:r>
              <w:rPr>
                <w:sz w:val="20"/>
                <w:szCs w:val="20"/>
              </w:rPr>
              <w:t xml:space="preserve">, ghi nguồn hoặc giả định</w:t>
            </w:r>
          </w:p>
        </w:tc>
        <w:tc>
          <w:tcPr>
            <w:tcW w:type="dxa" w:w="4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E5</w:t>
            </w:r>
          </w:p>
        </w:tc>
        <w:tc>
          <w:tcPr>
            <w:tcW w:type="dxa" w:w="47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Nêu rõ </w:t>
            </w:r>
            <w:r>
              <w:rPr>
                <w:sz w:val="20"/>
                <w:szCs w:val="20"/>
              </w:rPr>
              <w:t xml:space="preserve">việc Customer Board cần quyết</w:t>
            </w:r>
          </w:p>
        </w:tc>
        <w:tc>
          <w:tcPr>
            <w:tcW w:type="dxa" w:w="4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E6</w:t>
            </w:r>
          </w:p>
        </w:tc>
        <w:tc>
          <w:tcPr>
            <w:tcW w:type="dxa" w:w="47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Đọc riêng vẫn hiểu; không kể lại quá trình làm bài</w:t>
            </w:r>
          </w:p>
        </w:tc>
        <w:tc>
          <w:tcPr>
            <w:tcW w:type="dxa" w:w="4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t xml:space="preserve">Tối đa 12 điểm mục con.</w:t>
      </w:r>
    </w:p>
    <w:p>
      <w:pPr>
        <w:spacing w:after="120"/>
      </w:pPr>
      <w:r>
        <w:rPr>
          <w:b/>
          <w:bCs/>
        </w:rPr>
        <w:t xml:space="preserve">Trần điểm:</w:t>
      </w:r>
    </w:p>
    <w:p>
      <w:pPr>
        <w:pStyle w:val="ListParagraph"/>
        <w:numPr>
          <w:ilvl w:val="0"/>
          <w:numId w:val="2"/>
        </w:numPr>
        <w:spacing w:after="60"/>
      </w:pPr>
      <w:r>
        <w:t xml:space="preserve">Kể lại quá trình làm bài, hoặc thiếu cả giá trị có số lẫn việc cần quyết → tối đa </w:t>
      </w:r>
      <w:r>
        <w:rPr>
          <w:b/>
          <w:bCs/>
        </w:rPr>
        <w:t xml:space="preserve">6</w:t>
      </w:r>
      <w:r>
        <w:t xml:space="preserve">.</w:t>
      </w:r>
    </w:p>
    <w:p>
      <w:pPr>
        <w:pStyle w:val="ListParagraph"/>
        <w:numPr>
          <w:ilvl w:val="0"/>
          <w:numId w:val="2"/>
        </w:numPr>
        <w:spacing w:after="60"/>
      </w:pPr>
      <w:r>
        <w:t xml:space="preserve">Không có phần E, hoặc nội dung không liên quan → tối đa </w:t>
      </w:r>
      <w:r>
        <w:rPr>
          <w:b/>
          <w:bCs/>
        </w:rPr>
        <w:t xml:space="preserve">2</w:t>
      </w:r>
      <w:r>
        <w:t xml:space="preserve">.</w:t>
      </w:r>
    </w:p>
    <w:p>
      <w:pPr>
        <w:pStyle w:val="Heading1"/>
      </w:pPr>
      <w:r>
        <w:t xml:space="preserve">3. Tiêu chí 2: Value Insights, phần A (12%, tối đa 1,2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Mã</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Mục con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A1</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PESTEL </w:t>
            </w:r>
            <w:r>
              <w:rPr>
                <w:sz w:val="20"/>
                <w:szCs w:val="20"/>
              </w:rPr>
              <w:t xml:space="preserve">của khách hàng</w:t>
            </w:r>
            <w:r>
              <w:rPr>
                <w:sz w:val="20"/>
                <w:szCs w:val="20"/>
              </w:rPr>
              <w:t xml:space="preserve"> (không phải của agency hay ngành sự kiện), mỗi yếu tố có hàm ý cho khách hàng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Đối thủ </w:t>
            </w:r>
            <w:r>
              <w:rPr>
                <w:sz w:val="20"/>
                <w:szCs w:val="20"/>
              </w:rPr>
              <w:t xml:space="preserve">của khách hàng</w:t>
            </w:r>
            <w:r>
              <w:rPr>
                <w:sz w:val="20"/>
                <w:szCs w:val="20"/>
              </w:rPr>
              <w:t xml:space="preserve"> và áp lực cạnh tranh họ chịu</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DMU/GRASP: các vai trong nhóm ra quyết định, phân tích từng người (ghi chức danh)</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Hành trình của </w:t>
            </w:r>
            <w:r>
              <w:rPr>
                <w:sz w:val="20"/>
                <w:szCs w:val="20"/>
              </w:rPr>
              <w:t xml:space="preserve">khách của khách hàng</w:t>
            </w:r>
            <w:r>
              <w:rPr>
                <w:sz w:val="20"/>
                <w:szCs w:val="20"/>
              </w:rPr>
              <w:t xml:space="preserve">: trước – trong – sau, có phân loại điểm chạm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Power-Interest Grid và Salience Model cho các bên bên ngoài, mỗi vị trí có lý do</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Rút ra </w:t>
            </w:r>
            <w:r>
              <w:rPr>
                <w:sz w:val="20"/>
                <w:szCs w:val="20"/>
              </w:rPr>
              <w:t xml:space="preserve">nhu cầu</w:t>
            </w:r>
            <w:r>
              <w:rPr>
                <w:sz w:val="20"/>
                <w:szCs w:val="20"/>
              </w:rPr>
              <w:t xml:space="preserve"> của khách hàng một cách rõ ràng, nối các công cụ với nhau (không “điền ô”)</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A7</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liệu có nguồn hoặc ghi “Giả định: … vì …”</w:t>
            </w:r>
          </w:p>
        </w:tc>
      </w:tr>
    </w:tbl>
    <w:p>
      <w:pPr>
        <w:spacing w:after="80" w:before="0"/>
      </w:pPr>
    </w:p>
    <w:p>
      <w:pPr>
        <w:spacing w:after="120"/>
      </w:pPr>
      <w:r>
        <w:t xml:space="preserve">Tối đa 14 điểm mục con.</w:t>
      </w:r>
    </w:p>
    <w:p>
      <w:pPr>
        <w:spacing w:after="120"/>
      </w:pPr>
      <w:r>
        <w:rPr>
          <w:b/>
          <w:bCs/>
        </w:rPr>
        <w:t xml:space="preserve">Trần điểm:</w:t>
      </w:r>
    </w:p>
    <w:p>
      <w:pPr>
        <w:pStyle w:val="ListParagraph"/>
        <w:numPr>
          <w:ilvl w:val="0"/>
          <w:numId w:val="2"/>
        </w:numPr>
        <w:spacing w:after="60"/>
      </w:pPr>
      <w:r>
        <w:t xml:space="preserve">Liệt kê công cụ như điền ô, ít nhu cầu được rút ra (A6 ≤ 1) → tối đa </w:t>
      </w:r>
      <w:r>
        <w:rPr>
          <w:b/>
          <w:bCs/>
        </w:rPr>
        <w:t xml:space="preserve">6</w:t>
      </w:r>
      <w:r>
        <w:t xml:space="preserve">.</w:t>
      </w:r>
    </w:p>
    <w:p>
      <w:pPr>
        <w:pStyle w:val="ListParagraph"/>
        <w:numPr>
          <w:ilvl w:val="0"/>
          <w:numId w:val="2"/>
        </w:numPr>
        <w:spacing w:after="60"/>
      </w:pPr>
      <w:r>
        <w:t xml:space="preserve">Nói về agency thay vì khách hàng, hoặc số liệu không có nguồn → tối đa </w:t>
      </w:r>
      <w:r>
        <w:rPr>
          <w:b/>
          <w:bCs/>
        </w:rPr>
        <w:t xml:space="preserve">4</w:t>
      </w:r>
      <w:r>
        <w:t xml:space="preserve">.</w:t>
      </w:r>
    </w:p>
    <w:p>
      <w:pPr>
        <w:pStyle w:val="Heading1"/>
      </w:pPr>
      <w:r>
        <w:t xml:space="preserve">4. Tiêu chí 3: Value Opportunities, phần B (10%, tối đa 1,0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Mã</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Mục con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B1</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tiêu chí Key Account (sức hấp dẫn, vị thế cạnh tranh của agency, mức sẵn sàng đồng đầu tư), có bằng chứng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Chất lượng quan hệ hiện tại (niềm tin, cam kết, xung đột chức năng), có bằng chứng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CLV: đúng cách tính (đóng góp ròng, tỷ lệ giữ chân, chiết khấu), số liệu đầu vào rõ</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Cost-to-serve: các thành phần chi phí phục vụ và con số ước tính</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thuyết phục, có lý do; có thử ít nhất một kịch bản độ nhạy</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Cả cơ hội lẫn rủi ro lớn nhất của quan hệ</w:t>
            </w:r>
          </w:p>
        </w:tc>
      </w:tr>
    </w:tbl>
    <w:p>
      <w:pPr>
        <w:spacing w:after="80" w:before="0"/>
      </w:pPr>
    </w:p>
    <w:p>
      <w:pPr>
        <w:spacing w:after="120"/>
      </w:pPr>
      <w:r>
        <w:t xml:space="preserve">Tối đa 12 điểm mục con.</w:t>
      </w:r>
    </w:p>
    <w:p>
      <w:pPr>
        <w:spacing w:after="120"/>
      </w:pPr>
      <w:r>
        <w:rPr>
          <w:b/>
          <w:bCs/>
        </w:rPr>
        <w:t xml:space="preserve">Trần điểm:</w:t>
      </w:r>
    </w:p>
    <w:p>
      <w:pPr>
        <w:pStyle w:val="ListParagraph"/>
        <w:numPr>
          <w:ilvl w:val="0"/>
          <w:numId w:val="2"/>
        </w:numPr>
        <w:spacing w:after="60"/>
      </w:pPr>
      <w:r>
        <w:t xml:space="preserve">Tính toán CLV hoặc cost-to-serve sai, hoặc thiếu một trong các nội dung → tối đa </w:t>
      </w:r>
      <w:r>
        <w:rPr>
          <w:b/>
          <w:bCs/>
        </w:rPr>
        <w:t xml:space="preserve">6</w:t>
      </w:r>
      <w:r>
        <w:t xml:space="preserve">.</w:t>
      </w:r>
    </w:p>
    <w:p>
      <w:pPr>
        <w:pStyle w:val="ListParagraph"/>
        <w:numPr>
          <w:ilvl w:val="0"/>
          <w:numId w:val="2"/>
        </w:numPr>
        <w:spacing w:after="60"/>
      </w:pPr>
      <w:r>
        <w:t xml:space="preserve">Không có phân tích tài chính hoặc không có cơ hội → tối đa </w:t>
      </w:r>
      <w:r>
        <w:rPr>
          <w:b/>
          <w:bCs/>
        </w:rPr>
        <w:t xml:space="preserve">4</w:t>
      </w:r>
      <w:r>
        <w:t xml:space="preserve">.</w:t>
      </w:r>
    </w:p>
    <w:p>
      <w:pPr>
        <w:spacing w:after="120"/>
      </w:pPr>
      <w:r>
        <w:rPr>
          <w:b/>
          <w:bCs/>
        </w:rPr>
        <w:t xml:space="preserve">Kiểm tra tính toán:</w:t>
      </w:r>
      <w:r>
        <w:t xml:space="preserve"> tự tính lại CLV từ số liệu đầu vào của nhóm theo công thức CLV ≈ Σ m × r^(t−1) / (1+d)^t (năm 1 coi như chắc chắn). Lệch hơn 5% so với kết quả của nhóm → ghi “tính sai” kèm phép tính lại.</w:t>
      </w:r>
    </w:p>
    <w:p>
      <w:pPr>
        <w:pStyle w:val="Heading1"/>
      </w:pPr>
      <w:r>
        <w:t xml:space="preserve">5. Tiêu chí 4: Value Propositions, phần C (10%, tối đa 1,0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Mã</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Mục con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C1</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Future state: mục tiêu của khách hàng, nói bằng ngôn ngữ của khách (không phải “một sự kiện hoành tráng”)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Offering theo 7P, gắn với future state</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appraisal có số (chỉ số, chi phí, thời gian ra kết quả)</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rõ nguồn giá trị trong năm nguồn (top line, bottom line, HSSEQ, advisory, khách của khách hàng) và định lượng nguồn chính</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trọng tâm: 1–2 điểm khác biệt tạo giá trị lớn nhất cho khách hàng này</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 hoạch đồng kiến tạo theo bước, khách hàng cùng làm (không chỉ duyệt)</w:t>
            </w:r>
          </w:p>
        </w:tc>
      </w:tr>
    </w:tbl>
    <w:p>
      <w:pPr>
        <w:spacing w:after="80" w:before="0"/>
      </w:pPr>
    </w:p>
    <w:p>
      <w:pPr>
        <w:spacing w:after="120"/>
      </w:pPr>
      <w:r>
        <w:t xml:space="preserve">Tối đa 12 điểm mục con.</w:t>
      </w:r>
    </w:p>
    <w:p>
      <w:pPr>
        <w:spacing w:after="120"/>
      </w:pPr>
      <w:r>
        <w:rPr>
          <w:b/>
          <w:bCs/>
        </w:rPr>
        <w:t xml:space="preserve">Trần điểm:</w:t>
      </w:r>
    </w:p>
    <w:p>
      <w:pPr>
        <w:pStyle w:val="ListParagraph"/>
        <w:numPr>
          <w:ilvl w:val="0"/>
          <w:numId w:val="2"/>
        </w:numPr>
        <w:spacing w:after="60"/>
      </w:pPr>
      <w:r>
        <w:t xml:space="preserve">CVP chỉ liệt kê lợi ích, ít định lượng (C3 + C4 ≤ 1) → tối đa </w:t>
      </w:r>
      <w:r>
        <w:rPr>
          <w:b/>
          <w:bCs/>
        </w:rPr>
        <w:t xml:space="preserve">6</w:t>
      </w:r>
      <w:r>
        <w:t xml:space="preserve">.</w:t>
      </w:r>
    </w:p>
    <w:p>
      <w:pPr>
        <w:pStyle w:val="ListParagraph"/>
        <w:numPr>
          <w:ilvl w:val="0"/>
          <w:numId w:val="2"/>
        </w:numPr>
        <w:spacing w:after="60"/>
      </w:pPr>
      <w:r>
        <w:t xml:space="preserve">Không có CVP, hoặc chỉ giới thiệu agency → tối đa </w:t>
      </w:r>
      <w:r>
        <w:rPr>
          <w:b/>
          <w:bCs/>
        </w:rPr>
        <w:t xml:space="preserve">4</w:t>
      </w:r>
      <w:r>
        <w:t xml:space="preserve">.</w:t>
      </w:r>
    </w:p>
    <w:p>
      <w:pPr>
        <w:pStyle w:val="Heading1"/>
      </w:pPr>
      <w:r>
        <w:t xml:space="preserve">6. Tiêu chí 5: Value Delivery, quan hệ với Key Account (8%, tối đa 0,8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Mã</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Mục con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D1</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Chiến lược mua sắm các hạng mục chính (Kraljic theo hạng mục) và đàm phán dựa trên giá trị với Key Account</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tiếp xúc nhiều cấp (Bow-tie → Diamond): cặp đối ứng, mục đích, nhịp gặp</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số kết quả và chỉ số quá trình</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ROI 6 cấp, phân rõ cấp agency cam kết và cấp đo cùng khách hàng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Lịch đánh giá chung định kỳ, hai chiều</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lời hứa ở phần C có cách đo</w:t>
            </w:r>
            <w:r>
              <w:rPr>
                <w:sz w:val="20"/>
                <w:szCs w:val="20"/>
              </w:rPr>
              <w:t xml:space="preserve"> ở phần D</w:t>
            </w:r>
          </w:p>
        </w:tc>
      </w:tr>
    </w:tbl>
    <w:p>
      <w:pPr>
        <w:spacing w:after="80" w:before="0"/>
      </w:pPr>
    </w:p>
    <w:p>
      <w:pPr>
        <w:spacing w:after="120"/>
      </w:pPr>
      <w:r>
        <w:t xml:space="preserve">Tối đa 12 điểm mục con.</w:t>
      </w:r>
    </w:p>
    <w:p>
      <w:pPr>
        <w:spacing w:after="120"/>
      </w:pPr>
      <w:r>
        <w:rPr>
          <w:b/>
          <w:bCs/>
        </w:rPr>
        <w:t xml:space="preserve">Trần điểm:</w:t>
      </w:r>
    </w:p>
    <w:p>
      <w:pPr>
        <w:pStyle w:val="ListParagraph"/>
        <w:numPr>
          <w:ilvl w:val="0"/>
          <w:numId w:val="2"/>
        </w:numPr>
        <w:spacing w:after="60"/>
      </w:pPr>
      <w:r>
        <w:t xml:space="preserve">Kế hoạch chung chung, chỉ số yếu (chỉ đo hài lòng) → tối đa </w:t>
      </w:r>
      <w:r>
        <w:rPr>
          <w:b/>
          <w:bCs/>
        </w:rPr>
        <w:t xml:space="preserve">6</w:t>
      </w:r>
      <w:r>
        <w:t xml:space="preserve">.</w:t>
      </w:r>
    </w:p>
    <w:p>
      <w:pPr>
        <w:pStyle w:val="ListParagraph"/>
        <w:numPr>
          <w:ilvl w:val="0"/>
          <w:numId w:val="2"/>
        </w:numPr>
        <w:spacing w:after="60"/>
      </w:pPr>
      <w:r>
        <w:t xml:space="preserve">Chưa nối hết với phần C (D6 ≤ 1) → tối đa </w:t>
      </w:r>
      <w:r>
        <w:rPr>
          <w:b/>
          <w:bCs/>
        </w:rPr>
        <w:t xml:space="preserve">8</w:t>
      </w:r>
      <w:r>
        <w:t xml:space="preserve">.</w:t>
      </w:r>
    </w:p>
    <w:p>
      <w:pPr>
        <w:pStyle w:val="ListParagraph"/>
        <w:numPr>
          <w:ilvl w:val="0"/>
          <w:numId w:val="2"/>
        </w:numPr>
        <w:spacing w:after="60"/>
      </w:pPr>
      <w:r>
        <w:t xml:space="preserve">Không có kế hoạch thực hiện → tối đa </w:t>
      </w:r>
      <w:r>
        <w:rPr>
          <w:b/>
          <w:bCs/>
        </w:rPr>
        <w:t xml:space="preserve">4</w:t>
      </w:r>
      <w:r>
        <w:t xml:space="preserve">.</w:t>
      </w:r>
    </w:p>
    <w:p>
      <w:pPr>
        <w:pStyle w:val="Heading1"/>
      </w:pPr>
      <w:r>
        <w:t xml:space="preserve">7. Tiêu chí 6: Value Delivery, bên liên quan bên ngoài (10%, tối đa 1,0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Mã</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Mục con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X1</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Đủ ba nhóm: nhà đầu tư/nhà tài trợ · nhà cung cấp/địa điểm · báo chí/KOL</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bên gắn vào điểm chạm cụ thể trên hành trình (trước – trong – sau)</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bên tạo giá trị gì cho khách của khách hàng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bên có cách quản lý (hợp đồng, ESG, KPI, người phụ trách)</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bên có rủi ro nêu rõ</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Ít nhất 2 xung đột trong mạng lưới, mỗi xung đột có cách bảo vệ deliverables</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X7</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cơ chế minh bạch cho cả mạng lưới</w:t>
            </w:r>
          </w:p>
        </w:tc>
      </w:tr>
    </w:tbl>
    <w:p>
      <w:pPr>
        <w:spacing w:after="80" w:before="0"/>
      </w:pPr>
    </w:p>
    <w:p>
      <w:pPr>
        <w:spacing w:after="120"/>
      </w:pPr>
      <w:r>
        <w:t xml:space="preserve">Tối đa 14 điểm mục con. Với X2–X5: chấm 2 khi </w:t>
      </w:r>
      <w:r>
        <w:rPr>
          <w:b/>
          <w:bCs/>
        </w:rPr>
        <w:t xml:space="preserve">mọi</w:t>
      </w:r>
      <w:r>
        <w:t xml:space="preserve"> bên đã nêu đều đạt; chấm 1 khi chỉ một phần các bên đạt.</w:t>
      </w:r>
    </w:p>
    <w:p>
      <w:pPr>
        <w:spacing w:after="120"/>
      </w:pPr>
      <w:r>
        <w:rPr>
          <w:b/>
          <w:bCs/>
        </w:rPr>
        <w:t xml:space="preserve">Trần điểm:</w:t>
      </w:r>
    </w:p>
    <w:p>
      <w:pPr>
        <w:pStyle w:val="ListParagraph"/>
        <w:numPr>
          <w:ilvl w:val="0"/>
          <w:numId w:val="2"/>
        </w:numPr>
        <w:spacing w:after="60"/>
      </w:pPr>
      <w:r>
        <w:t xml:space="preserve">Đủ ba nhóm nhưng một số bên chưa gắn điểm chạm hoặc chưa có cách quản lý → tối đa </w:t>
      </w:r>
      <w:r>
        <w:rPr>
          <w:b/>
          <w:bCs/>
        </w:rPr>
        <w:t xml:space="preserve">8</w:t>
      </w:r>
      <w:r>
        <w:t xml:space="preserve">.</w:t>
      </w:r>
    </w:p>
    <w:p>
      <w:pPr>
        <w:pStyle w:val="ListParagraph"/>
        <w:numPr>
          <w:ilvl w:val="0"/>
          <w:numId w:val="2"/>
        </w:numPr>
        <w:spacing w:after="60"/>
      </w:pPr>
      <w:r>
        <w:t xml:space="preserve">Thiếu một nhóm, hoặc chỉ liệt kê các bên → tối đa </w:t>
      </w:r>
      <w:r>
        <w:rPr>
          <w:b/>
          <w:bCs/>
        </w:rPr>
        <w:t xml:space="preserve">6</w:t>
      </w:r>
      <w:r>
        <w:t xml:space="preserve">.</w:t>
      </w:r>
    </w:p>
    <w:p>
      <w:pPr>
        <w:pStyle w:val="ListParagraph"/>
        <w:numPr>
          <w:ilvl w:val="0"/>
          <w:numId w:val="2"/>
        </w:numPr>
        <w:spacing w:after="60"/>
      </w:pPr>
      <w:r>
        <w:t xml:space="preserve">Không tích hợp bên liên quan bên ngoài → tối đa </w:t>
      </w:r>
      <w:r>
        <w:rPr>
          <w:b/>
          <w:bCs/>
        </w:rPr>
        <w:t xml:space="preserve">4</w:t>
      </w:r>
      <w:r>
        <w:t xml:space="preserve">.</w:t>
      </w:r>
    </w:p>
    <w:p>
      <w:pPr>
        <w:pStyle w:val="Heading1"/>
      </w:pPr>
      <w:r>
        <w:t xml:space="preserve">8. Tiêu chí 7: Trình bày, nguồn và liêm chính học thuật (5%, tối đa 0,5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
        <w:gridCol w:w="4985"/>
        <w:gridCol w:w="3989"/>
      </w:tblGrid>
      <w:tr>
        <w:trPr>
          <w:tblHeader/>
        </w:trPr>
        <w:tc>
          <w:tcPr>
            <w:tcW w:type="dxa" w:w="66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Mã</w:t>
            </w:r>
          </w:p>
        </w:tc>
        <w:tc>
          <w:tcPr>
            <w:tcW w:type="dxa" w:w="498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Mục con</w:t>
            </w:r>
          </w:p>
        </w:tc>
        <w:tc>
          <w:tcPr>
            <w:tcW w:type="dxa" w:w="398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Ai kiểm tra</w:t>
            </w:r>
          </w:p>
        </w:tc>
      </w:tr>
      <w:tr>
        <w:trPr>
          <w:tblHeader w:val="off"/>
        </w:trPr>
        <w:tc>
          <w:tcPr>
            <w:tcW w:type="dxa" w:w="6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P1</w:t>
            </w:r>
          </w:p>
        </w:tc>
        <w:tc>
          <w:tcPr>
            <w:tcW w:type="dxa" w:w="49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Cấu trúc đúng thứ tự: E → A → B → C → D → Tài liệu tham khảo → Phụ lục</w:t>
            </w:r>
          </w:p>
        </w:tc>
        <w:tc>
          <w:tcPr>
            <w:tcW w:type="dxa" w:w="39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NotebookLM</w:t>
            </w:r>
          </w:p>
        </w:tc>
      </w:tr>
      <w:tr>
        <w:trPr>
          <w:tblHeader w:val="off"/>
        </w:trPr>
        <w:tc>
          <w:tcPr>
            <w:tcW w:type="dxa" w:w="6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P2</w:t>
            </w:r>
          </w:p>
        </w:tc>
        <w:tc>
          <w:tcPr>
            <w:tcW w:type="dxa" w:w="49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dạng (A4, Times New Roman 13, giãn dòng 1,3, lề) và độ dài 20–30 trang</w:t>
            </w:r>
          </w:p>
        </w:tc>
        <w:tc>
          <w:tcPr>
            <w:tcW w:type="dxa" w:w="39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Giảng viên</w:t>
            </w:r>
            <w:r>
              <w:rPr>
                <w:sz w:val="20"/>
                <w:szCs w:val="20"/>
              </w:rPr>
              <w:t xml:space="preserve"> (NotebookLM không thấy định dạng)</w:t>
            </w:r>
          </w:p>
        </w:tc>
      </w:tr>
      <w:tr>
        <w:trPr>
          <w:tblHeader w:val="off"/>
        </w:trPr>
        <w:tc>
          <w:tcPr>
            <w:tcW w:type="dxa" w:w="6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P3</w:t>
            </w:r>
          </w:p>
        </w:tc>
        <w:tc>
          <w:tcPr>
            <w:tcW w:type="dxa" w:w="49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Trích dẫn APA 7 trong bài và danh mục tài liệu tham khảo khớp nhau</w:t>
            </w:r>
          </w:p>
        </w:tc>
        <w:tc>
          <w:tcPr>
            <w:tcW w:type="dxa" w:w="39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NotebookLM</w:t>
            </w:r>
          </w:p>
        </w:tc>
      </w:tr>
      <w:tr>
        <w:trPr>
          <w:tblHeader w:val="off"/>
        </w:trPr>
        <w:tc>
          <w:tcPr>
            <w:tcW w:type="dxa" w:w="6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P4</w:t>
            </w:r>
          </w:p>
        </w:tc>
        <w:tc>
          <w:tcPr>
            <w:tcW w:type="dxa" w:w="49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 ghi rõ; không có dấu hiệu số liệu bịa</w:t>
            </w:r>
          </w:p>
        </w:tc>
        <w:tc>
          <w:tcPr>
            <w:tcW w:type="dxa" w:w="39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NotebookLM, giảng viên xác nhận</w:t>
            </w:r>
          </w:p>
        </w:tc>
      </w:tr>
      <w:tr>
        <w:trPr>
          <w:tblHeader w:val="off"/>
        </w:trPr>
        <w:tc>
          <w:tcPr>
            <w:tcW w:type="dxa" w:w="6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P5</w:t>
            </w:r>
          </w:p>
        </w:tc>
        <w:tc>
          <w:tcPr>
            <w:tcW w:type="dxa" w:w="49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Đủ phụ lục bắt buộc: (1) phân công và đóng góp; (2) truy vết Buổi 1–13 kèm ảnh; (3) giả định chính; (4) công bố AI nếu có dùng</w:t>
            </w:r>
          </w:p>
        </w:tc>
        <w:tc>
          <w:tcPr>
            <w:tcW w:type="dxa" w:w="39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NotebookLM; </w:t>
            </w:r>
            <w:r>
              <w:rPr>
                <w:sz w:val="20"/>
                <w:szCs w:val="20"/>
              </w:rPr>
              <w:t xml:space="preserve">ảnh chụp do giảng viên xem</w:t>
            </w:r>
          </w:p>
        </w:tc>
      </w:tr>
      <w:tr>
        <w:trPr>
          <w:tblHeader w:val="off"/>
        </w:trPr>
        <w:tc>
          <w:tcPr>
            <w:tcW w:type="dxa" w:w="6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P6</w:t>
            </w:r>
          </w:p>
        </w:tc>
        <w:tc>
          <w:tcPr>
            <w:tcW w:type="dxa" w:w="49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có thông tin cá nhân của người thật tại khách hàng (dùng chức danh)</w:t>
            </w:r>
          </w:p>
        </w:tc>
        <w:tc>
          <w:tcPr>
            <w:tcW w:type="dxa" w:w="39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NotebookLM</w:t>
            </w:r>
          </w:p>
        </w:tc>
      </w:tr>
    </w:tbl>
    <w:p>
      <w:pPr>
        <w:spacing w:after="80" w:before="0"/>
      </w:pPr>
    </w:p>
    <w:p>
      <w:pPr>
        <w:spacing w:after="120"/>
      </w:pPr>
      <w:r>
        <w:t xml:space="preserve">Tối đa 12 điểm mục con.</w:t>
      </w:r>
    </w:p>
    <w:p>
      <w:pPr>
        <w:spacing w:after="120"/>
      </w:pPr>
      <w:r>
        <w:rPr>
          <w:b/>
          <w:bCs/>
        </w:rPr>
        <w:t xml:space="preserve">Trần điểm:</w:t>
      </w:r>
    </w:p>
    <w:p>
      <w:pPr>
        <w:pStyle w:val="ListParagraph"/>
        <w:numPr>
          <w:ilvl w:val="0"/>
          <w:numId w:val="2"/>
        </w:numPr>
        <w:spacing w:after="60"/>
      </w:pPr>
      <w:r>
        <w:t xml:space="preserve">Nhiều lỗi trình bày, trích dẫn sơ sài → tối đa </w:t>
      </w:r>
      <w:r>
        <w:rPr>
          <w:b/>
          <w:bCs/>
        </w:rPr>
        <w:t xml:space="preserve">6</w:t>
      </w:r>
      <w:r>
        <w:t xml:space="preserve">.</w:t>
      </w:r>
    </w:p>
    <w:p>
      <w:pPr>
        <w:pStyle w:val="ListParagraph"/>
        <w:numPr>
          <w:ilvl w:val="0"/>
          <w:numId w:val="2"/>
        </w:numPr>
        <w:spacing w:after="60"/>
      </w:pPr>
      <w:r>
        <w:t xml:space="preserve">Không trích dẫn, thiếu phụ lục bắt buộc, hoặc có số liệu bịa → tối đa </w:t>
      </w:r>
      <w:r>
        <w:rPr>
          <w:b/>
          <w:bCs/>
        </w:rPr>
        <w:t xml:space="preserve">4</w:t>
      </w:r>
      <w:r>
        <w:t xml:space="preserve">.</w:t>
      </w:r>
    </w:p>
    <w:p>
      <w:pPr>
        <w:spacing w:after="120"/>
      </w:pPr>
      <w:r>
        <w:t xml:space="preserve">Về AI: thiếu phụ lục công bố AI chỉ bị trừ ở P5 khi có dấu hiệu nhóm đã dùng AI và giảng viên xác nhận. </w:t>
      </w:r>
      <w:r>
        <w:rPr>
          <w:b/>
          <w:bCs/>
        </w:rPr>
        <w:t xml:space="preserve">Không dùng công cụ phát hiện AI.</w:t>
      </w:r>
      <w:r>
        <w:t xml:space="preserve"> Mức độ hiểu bài được kiểm tra qua vấn đáp ở Phần II.</w:t>
      </w:r>
    </w:p>
    <w:p>
      <w:pPr>
        <w:pStyle w:val="Heading1"/>
      </w:pPr>
      <w:r>
        <w:t xml:space="preserve">9. Tổng hợp Phần 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8"/>
        <w:gridCol w:w="5695"/>
        <w:gridCol w:w="1168"/>
        <w:gridCol w:w="1607"/>
      </w:tblGrid>
      <w:tr>
        <w:trPr>
          <w:tblHeader/>
        </w:trPr>
        <w:tc>
          <w:tcPr>
            <w:tcW w:type="dxa" w:w="116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569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chí</w:t>
            </w:r>
          </w:p>
        </w:tc>
        <w:tc>
          <w:tcPr>
            <w:tcW w:type="dxa" w:w="116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Trọng số</w:t>
            </w:r>
          </w:p>
        </w:tc>
        <w:tc>
          <w:tcPr>
            <w:tcW w:type="dxa" w:w="160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tối đa</w:t>
            </w:r>
          </w:p>
        </w:tc>
      </w:tr>
      <w:tr>
        <w:trPr>
          <w:tblHeader w:val="off"/>
        </w:trPr>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5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Executive Summary</w:t>
            </w:r>
          </w:p>
        </w:tc>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16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0,5</w:t>
            </w:r>
          </w:p>
        </w:tc>
      </w:tr>
      <w:tr>
        <w:trPr>
          <w:tblHeader w:val="off"/>
        </w:trPr>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5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Insights</w:t>
            </w:r>
          </w:p>
        </w:tc>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16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r>
      <w:tr>
        <w:trPr>
          <w:tblHeader w:val="off"/>
        </w:trPr>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5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Opportunities</w:t>
            </w:r>
          </w:p>
        </w:tc>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6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r>
      <w:tr>
        <w:trPr>
          <w:tblHeader w:val="off"/>
        </w:trPr>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5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Propositions</w:t>
            </w:r>
          </w:p>
        </w:tc>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6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r>
      <w:tr>
        <w:trPr>
          <w:tblHeader w:val="off"/>
        </w:trPr>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5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Delivery: quan hệ Key Account</w:t>
            </w:r>
          </w:p>
        </w:tc>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16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0,8</w:t>
            </w:r>
          </w:p>
        </w:tc>
      </w:tr>
      <w:tr>
        <w:trPr>
          <w:tblHeader w:val="off"/>
        </w:trPr>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5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Value Delivery: bên liên quan bên ngoài</w:t>
            </w:r>
          </w:p>
        </w:tc>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6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r>
      <w:tr>
        <w:trPr>
          <w:tblHeader w:val="off"/>
        </w:trPr>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5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Trình bày, nguồn, liêm chính</w:t>
            </w:r>
          </w:p>
        </w:tc>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16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0,5</w:t>
            </w:r>
          </w:p>
        </w:tc>
      </w:tr>
      <w:tr>
        <w:trPr>
          <w:tblHeader w:val="off"/>
        </w:trPr>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5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Phần I</w:t>
            </w:r>
          </w:p>
        </w:tc>
        <w:tc>
          <w:tcPr>
            <w:tcW w:type="dxa" w:w="11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60%</w:t>
            </w:r>
          </w:p>
        </w:tc>
        <w:tc>
          <w:tcPr>
            <w:tcW w:type="dxa" w:w="16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6,0</w:t>
            </w:r>
          </w:p>
        </w:tc>
      </w:tr>
    </w:tbl>
    <w:p>
      <w:pPr>
        <w:spacing w:after="80" w:before="0"/>
      </w:pPr>
    </w:p>
    <w:p>
      <w:pPr>
        <w:spacing w:after="120"/>
      </w:pPr>
      <w:r>
        <w:t xml:space="preserve">Phần II (tiêu chí 8–11, 40%) chấm trực tiếp tại buổi bảo vệ. Tiêu chí 8 là điểm nhóm; tiêu chí 9–11 là điểm cá nhân. Tài liệu này không chấm Phần II.</w:t>
      </w:r>
    </w:p>
    <w:p>
      <w:pPr>
        <w:spacing w:after="120"/>
      </w:pPr>
      <w:r>
        <w:t xml:space="preserve">Trừ điểm nộp trễ (20% mỗi ngày, không quá 3 ngày) do giảng viên áp sau cùng.</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chấm dành cho giảng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EVM1110E · Bảng mô tả mức điểm chi tiết cho bản kế hoạch SMP (Phần I, tiêu chí 1–7)</dc:title>
  <dc:creator>EVM1110E</dc:creator>
  <cp:lastModifiedBy>Un-named</cp:lastModifiedBy>
  <cp:revision>1</cp:revision>
  <dcterms:created xsi:type="dcterms:W3CDTF">2026-10-15T08:15:40.224Z</dcterms:created>
  <dcterms:modified xsi:type="dcterms:W3CDTF">2026-10-15T08:15:40.225Z</dcterms:modified>
</cp:coreProperties>
</file>

<file path=docProps/custom.xml><?xml version="1.0" encoding="utf-8"?>
<Properties xmlns="http://schemas.openxmlformats.org/officeDocument/2006/custom-properties" xmlns:vt="http://schemas.openxmlformats.org/officeDocument/2006/docPropsVTypes"/>
</file>