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1: Định hình hệ sinh thái các bên liên quan bên ngoài</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và “Ngân hàng An Phát” là tình huống giả định của môn học; mọi con số trong tình huống đều là giả định.</w:t>
      </w:r>
    </w:p>
    <w:p>
      <w:pPr>
        <w:pStyle w:val="Heading1"/>
      </w:pPr>
      <w:r>
        <w:t xml:space="preserve">Sau buổi này, bạn cần nắm được</w:t>
      </w:r>
    </w:p>
    <w:p>
      <w:pPr>
        <w:pStyle w:val="ListParagraph"/>
        <w:numPr>
          <w:ilvl w:val="0"/>
          <w:numId w:val="2"/>
        </w:numPr>
        <w:spacing w:after="60"/>
      </w:pPr>
      <w:r>
        <w:t xml:space="preserve">Định nghĩa bên liên quan và các đặc điểm của hệ sinh thái các bên liên quan bên ngoài trong sự kiện.</w:t>
      </w:r>
    </w:p>
    <w:p>
      <w:pPr>
        <w:pStyle w:val="ListParagraph"/>
        <w:numPr>
          <w:ilvl w:val="0"/>
          <w:numId w:val="2"/>
        </w:numPr>
        <w:spacing w:after="60"/>
      </w:pPr>
      <w:r>
        <w:t xml:space="preserve">Cách phân loại bên liên quan thành primary và secondary, có lập luận theo bối cảnh.</w:t>
      </w:r>
    </w:p>
    <w:p>
      <w:pPr>
        <w:pStyle w:val="ListParagraph"/>
        <w:numPr>
          <w:ilvl w:val="0"/>
          <w:numId w:val="2"/>
        </w:numPr>
        <w:spacing w:after="60"/>
      </w:pPr>
      <w:r>
        <w:t xml:space="preserve">Cách dùng Power-Interest Grid và Salience Model để quyết định ưu tiên và cách ứng xử với từng bên.</w:t>
      </w:r>
    </w:p>
    <w:p>
      <w:pPr>
        <w:pStyle w:val="Heading1"/>
      </w:pPr>
      <w:r>
        <w:t xml:space="preserve">1. Môn học nhìn sự kiện từ đâu?</w:t>
      </w:r>
    </w:p>
    <w:p>
      <w:pPr>
        <w:spacing w:after="120"/>
      </w:pPr>
      <w:r>
        <w:t xml:space="preserve">Một công ty tổ chức sự kiện (agency) không tự làm ra sự kiện. Địa điểm là của khách sạn hay trung tâm hội nghị; tiền là của khách hàng và nhà tài trợ; sự chú ý là của báo chí và KOL; giấy phép là của cơ quan quản lý; thiết bị là của nhà cung cấp. Nghề agency là </w:t>
      </w:r>
      <w:r>
        <w:rPr>
          <w:b/>
          <w:bCs/>
        </w:rPr>
        <w:t xml:space="preserve">điều phối những bên mình không trực tiếp quản lý</w:t>
      </w:r>
      <w:r>
        <w:t xml:space="preserve"> để sự kiện diễn ra, và để khách hàng quay lại.</w:t>
      </w:r>
    </w:p>
    <w:p>
      <w:pPr>
        <w:spacing w:after="120"/>
      </w:pPr>
      <w:r>
        <w:t xml:space="preserve">Môn học chỉ xét các bên </w:t>
      </w:r>
      <w:r>
        <w:rPr>
          <w:b/>
          <w:bCs/>
        </w:rPr>
        <w:t xml:space="preserve">bên ngoài agency</w:t>
      </w:r>
      <w:r>
        <w:t xml:space="preserve">: khách hàng (Key Account), nhà đầu tư và nhà tài trợ, nhà cung cấp và địa điểm, báo chí và KOL, khách mời, công chúng, cộng đồng, cơ quan quản lý. Nhân sự, crew, tình nguyện viên thuộc môn Quản lý đội nhóm; an toàn đám đông thuộc môn Quản trị rủi ro sự kiện.</w:t>
      </w:r>
    </w:p>
    <w:p>
      <w:pPr>
        <w:spacing w:after="120"/>
      </w:pPr>
      <w:r>
        <w:t xml:space="preserve">Logic của môn gồm bốn phần: (1) nhìn thấy toàn bộ hệ sinh thái (Buổi 1); (2) quản trị quan hệ với Key Account, trục của môn (Buổi 2–8); (3) điều phối các bên khác để phục vụ hành trình của khách hàng (Buổi 9–12); (4) ráp và bảo vệ kế hoạch (Buổi 13–15).</w:t>
      </w:r>
    </w:p>
    <w:p>
      <w:pPr>
        <w:pStyle w:val="Heading1"/>
      </w:pPr>
      <w:r>
        <w:t xml:space="preserve">2. Bên liên quan là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tblHeader/>
        </w:trPr>
        <w:tc>
          <w:tcPr>
            <w:tcW w:type="dxa" w:w="231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c>
          <w:tcPr>
            <w:tcW w:type="dxa" w:w="732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Định nghĩa</w:t>
            </w:r>
          </w:p>
        </w:tc>
      </w:tr>
      <w:tr>
        <w:trPr>
          <w:tblHeader w:val="off"/>
        </w:trPr>
        <w:tc>
          <w:tcPr>
            <w:tcW w:type="dxa" w:w="23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Freeman (1984)</w:t>
            </w:r>
          </w:p>
        </w:tc>
        <w:tc>
          <w:tcPr>
            <w:tcW w:type="dxa" w:w="73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Bất kỳ nhóm hoặc cá nhân nào </w:t>
            </w:r>
            <w:r>
              <w:rPr>
                <w:sz w:val="20"/>
                <w:szCs w:val="20"/>
              </w:rPr>
              <w:t xml:space="preserve">có thể ảnh hưởng đến, hoặc bị ảnh hưởng bởi</w:t>
            </w:r>
            <w:r>
              <w:rPr>
                <w:sz w:val="20"/>
                <w:szCs w:val="20"/>
              </w:rPr>
              <w:t xml:space="preserve">, việc đạt mục tiêu của tổ chức</w:t>
            </w:r>
          </w:p>
        </w:tc>
      </w:tr>
      <w:tr>
        <w:trPr>
          <w:tblHeader w:val="off"/>
        </w:trPr>
        <w:tc>
          <w:tcPr>
            <w:tcW w:type="dxa" w:w="23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Áp dụng cho sự kiện</w:t>
            </w:r>
          </w:p>
        </w:tc>
        <w:tc>
          <w:tcPr>
            <w:tcW w:type="dxa" w:w="73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Những ai có “phần” (stake) trong sự kiện: góp nguồn lực, nhận lợi ích, chịu tác động, hoặc có quyền cho phép hay ngăn cản sự kiện diễn ra (theo hướng của Van Niekerk &amp; Getz, 2019)</w:t>
            </w:r>
          </w:p>
        </w:tc>
      </w:tr>
    </w:tbl>
    <w:p>
      <w:pPr>
        <w:spacing w:after="80" w:before="0"/>
      </w:pPr>
    </w:p>
    <w:p>
      <w:pPr>
        <w:spacing w:after="120"/>
      </w:pPr>
      <w:r>
        <w:t xml:space="preserve">Định nghĩa có </w:t>
      </w:r>
      <w:r>
        <w:rPr>
          <w:b/>
          <w:bCs/>
        </w:rPr>
        <w:t xml:space="preserve">hai chiều</w:t>
      </w:r>
      <w:r>
        <w:t xml:space="preserve">: có thể ảnh hưởng (nhà tài trợ rút tiền) hoặc bị ảnh hưởng (cư dân chịu tiếng ồn). Vì vậy bên liên quan </w:t>
      </w:r>
      <w:r>
        <w:rPr>
          <w:b/>
          <w:bCs/>
        </w:rPr>
        <w:t xml:space="preserve">không chỉ là người trả tiền</w:t>
      </w:r>
      <w:r>
        <w:t xml:space="preserve"> cho mình.</w:t>
      </w:r>
    </w:p>
    <w:p>
      <w:pPr>
        <w:spacing w:after="120"/>
      </w:pPr>
      <w:r>
        <w:rPr>
          <w:b/>
          <w:bCs/>
        </w:rPr>
        <w:t xml:space="preserve">Định nghĩa làm việc của môn.</w:t>
      </w:r>
      <w:r>
        <w:t xml:space="preserve"> Hệ sinh thái bên liên quan bên ngoài của sự kiện là mạng lưới các tổ chức, cá nhân </w:t>
      </w:r>
      <w:r>
        <w:rPr>
          <w:b/>
          <w:bCs/>
        </w:rPr>
        <w:t xml:space="preserve">ngoài agency</w:t>
      </w:r>
      <w:r>
        <w:t xml:space="preserve"> cùng góp nguồn lực, nhận giá trị, chịu tác động hoặc có quyền cho phép sự kiện, và </w:t>
      </w:r>
      <w:r>
        <w:rPr>
          <w:b/>
          <w:bCs/>
        </w:rPr>
        <w:t xml:space="preserve">phụ thuộc lẫn nhau</w:t>
      </w:r>
      <w:r>
        <w:t xml:space="preserve">.</w:t>
      </w:r>
    </w:p>
    <w:p>
      <w:pPr>
        <w:spacing w:after="120"/>
      </w:pPr>
      <w:r>
        <w:t xml:space="preserve">Một </w:t>
      </w:r>
      <w:r>
        <w:rPr>
          <w:b/>
          <w:bCs/>
        </w:rPr>
        <w:t xml:space="preserve">danh sách</w:t>
      </w:r>
      <w:r>
        <w:t xml:space="preserve"> thấy từng bên riêng lẻ. Một </w:t>
      </w:r>
      <w:r>
        <w:rPr>
          <w:b/>
          <w:bCs/>
        </w:rPr>
        <w:t xml:space="preserve">hệ sinh thái</w:t>
      </w:r>
      <w:r>
        <w:t xml:space="preserve"> thấy thêm những sợi dây nối các bên: nhà tài trợ quan tâm vì báo chí đưa tin; báo chí đến vì có KOL; KOL nhận lời vì thương hiệu của khách hàng. Kéo một sợi dây, cả mạng rung.</w:t>
      </w:r>
    </w:p>
    <w:p>
      <w:pPr>
        <w:pStyle w:val="Heading1"/>
      </w:pPr>
      <w:r>
        <w:t xml:space="preserve">3. Sáu đặc điểm của hệ sinh thái bên liên quan trong sự kiện</w:t>
      </w:r>
    </w:p>
    <w:p>
      <w:pPr>
        <w:pStyle w:val="ListParagraph"/>
        <w:numPr>
          <w:ilvl w:val="0"/>
          <w:numId w:val="3"/>
        </w:numPr>
        <w:spacing w:after="60"/>
      </w:pPr>
      <w:r>
        <w:rPr>
          <w:b/>
          <w:bCs/>
        </w:rPr>
        <w:t xml:space="preserve">Tạm thời, theo dự án:</w:t>
      </w:r>
      <w:r>
        <w:t xml:space="preserve"> mạng lưới tập hợp quanh một sự kiện rồi tan.</w:t>
      </w:r>
    </w:p>
    <w:p>
      <w:pPr>
        <w:pStyle w:val="ListParagraph"/>
        <w:numPr>
          <w:ilvl w:val="0"/>
          <w:numId w:val="3"/>
        </w:numPr>
        <w:spacing w:after="60"/>
      </w:pPr>
      <w:r>
        <w:rPr>
          <w:b/>
          <w:bCs/>
        </w:rPr>
        <w:t xml:space="preserve">Phụ thuộc lẫn nhau:</w:t>
      </w:r>
      <w:r>
        <w:t xml:space="preserve"> một mắt xích hỏng kéo cả chuỗi.</w:t>
      </w:r>
    </w:p>
    <w:p>
      <w:pPr>
        <w:pStyle w:val="ListParagraph"/>
        <w:numPr>
          <w:ilvl w:val="0"/>
          <w:numId w:val="3"/>
        </w:numPr>
        <w:spacing w:after="60"/>
      </w:pPr>
      <w:r>
        <w:rPr>
          <w:b/>
          <w:bCs/>
        </w:rPr>
        <w:t xml:space="preserve">Mục tiêu có thể xung đột:</w:t>
      </w:r>
      <w:r>
        <w:t xml:space="preserve"> khách hàng muốn tiết kiệm, nhà cung cấp muốn lợi nhuận, nhà tài trợ muốn hiển thị tối đa, cư dân muốn yên tĩnh.</w:t>
      </w:r>
    </w:p>
    <w:p>
      <w:pPr>
        <w:pStyle w:val="ListParagraph"/>
        <w:numPr>
          <w:ilvl w:val="0"/>
          <w:numId w:val="3"/>
        </w:numPr>
        <w:spacing w:after="60"/>
      </w:pPr>
      <w:r>
        <w:rPr>
          <w:b/>
          <w:bCs/>
        </w:rPr>
        <w:t xml:space="preserve">Trao đổi giá trị:</w:t>
      </w:r>
      <w:r>
        <w:t xml:space="preserve"> mỗi bên góp nguồn lực để nhận lợi ích.</w:t>
      </w:r>
    </w:p>
    <w:p>
      <w:pPr>
        <w:pStyle w:val="ListParagraph"/>
        <w:numPr>
          <w:ilvl w:val="0"/>
          <w:numId w:val="3"/>
        </w:numPr>
        <w:spacing w:after="60"/>
      </w:pPr>
      <w:r>
        <w:rPr>
          <w:b/>
          <w:bCs/>
        </w:rPr>
        <w:t xml:space="preserve">Thay đổi theo giai đoạn:</w:t>
      </w:r>
      <w:r>
        <w:t xml:space="preserve"> trước sự kiện, nổi bật là khách hàng, nhà tài trợ, địa điểm, cơ quan cấp phép. Trong sự kiện là nhà cung cấp kỹ thuật, khách mời, diễn giả. Sau sự kiện là báo chí, khách hàng (người quyết định tái ký) và nhà tài trợ (chờ báo cáo).</w:t>
      </w:r>
    </w:p>
    <w:p>
      <w:pPr>
        <w:pStyle w:val="ListParagraph"/>
        <w:numPr>
          <w:ilvl w:val="0"/>
          <w:numId w:val="3"/>
        </w:numPr>
        <w:spacing w:after="60"/>
      </w:pPr>
      <w:r>
        <w:rPr>
          <w:b/>
          <w:bCs/>
        </w:rPr>
        <w:t xml:space="preserve">Công khai, lây lan danh tiếng:</w:t>
      </w:r>
      <w:r>
        <w:t xml:space="preserve"> sự cố của một bên, ví dụ KOL dính scandal, lan sang khách hàng và agency.</w:t>
      </w:r>
    </w:p>
    <w:p>
      <w:pPr>
        <w:spacing w:after="120"/>
      </w:pPr>
      <w:r>
        <w:rPr>
          <w:b/>
          <w:bCs/>
        </w:rPr>
        <w:t xml:space="preserve">Ví dụ.</w:t>
      </w:r>
      <w:r>
        <w:t xml:space="preserve"> Giải vô địch thuyền buồm thế giới ISAF ở Fremantle (Úc, 2011): chính quyền công bố lợi ích kinh tế lớn, trong khi một chủ quầy hàng trong lễ hội đi kèm đóng quầy vì lượng khách thấp hơn nhiều so với lời hứa. Cùng một sự kiện, “thành công” hay không tùy góc nhìn của từng bên.</w:t>
      </w:r>
    </w:p>
    <w:p>
      <w:pPr>
        <w:spacing w:after="120"/>
      </w:pPr>
      <w:r>
        <w:rPr>
          <w:b/>
          <w:bCs/>
        </w:rPr>
        <w:t xml:space="preserve">Một bên, nhiều vai.</w:t>
      </w:r>
      <w:r>
        <w:t xml:space="preserve"> Getz, Andersson &amp; Larson (2006) phân loại bên liên quan theo quan hệ với sự kiện (cộng tác, đồng sản xuất, tạo điều kiện, nhà cung cấp và địa điểm, bên chịu tác động, bên quản lý). Một bên có thể giữ nhiều vai: khách sạn vừa là địa điểm, vừa cung cấp tiệc, vừa có dịch vụ AV. Nghiên cứu ở Edinburgh Festival Fringe (Todd, Leask &amp; Ensor, 2017) cho thấy 19/21 người được phỏng vấn giữ thêm vai thứ hai, 7 người có cả vai thứ ba.</w:t>
      </w:r>
    </w:p>
    <w:p>
      <w:pPr>
        <w:pStyle w:val="Heading1"/>
      </w:pPr>
      <w:r>
        <w:t xml:space="preserve">4. Primary và secondary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3"/>
        <w:gridCol w:w="3881"/>
        <w:gridCol w:w="3364"/>
      </w:tblGrid>
      <w:tr>
        <w:trPr>
          <w:tblHeader/>
        </w:trPr>
        <w:tc>
          <w:tcPr>
            <w:tcW w:type="dxa" w:w="23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Nhóm</w:t>
            </w:r>
          </w:p>
        </w:tc>
        <w:tc>
          <w:tcPr>
            <w:tcW w:type="dxa" w:w="388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Ý nghĩa</w:t>
            </w:r>
          </w:p>
        </w:tc>
        <w:tc>
          <w:tcPr>
            <w:tcW w:type="dxa" w:w="336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kiểm tra</w:t>
            </w:r>
          </w:p>
        </w:tc>
      </w:tr>
      <w:tr>
        <w:trPr>
          <w:tblHeader w:val="off"/>
        </w:trPr>
        <w:tc>
          <w:tcPr>
            <w:tcW w:type="dxa" w:w="2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Primary</w:t>
            </w:r>
            <w:r>
              <w:rPr>
                <w:sz w:val="20"/>
                <w:szCs w:val="20"/>
              </w:rPr>
              <w:t xml:space="preserve"> (bên liên quan chính)</w:t>
            </w:r>
          </w:p>
        </w:tc>
        <w:tc>
          <w:tcPr>
            <w:tcW w:type="dxa" w:w="3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Thiếu sự tham gia, hỗ trợ của họ, sự kiện không diễn ra</w:t>
            </w:r>
          </w:p>
        </w:tc>
        <w:tc>
          <w:tcPr>
            <w:tcW w:type="dxa" w:w="3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có họ, sự kiện có diễn ra không?” → </w:t>
            </w:r>
            <w:r>
              <w:rPr>
                <w:sz w:val="20"/>
                <w:szCs w:val="20"/>
              </w:rPr>
              <w:t xml:space="preserve">Không</w:t>
            </w:r>
          </w:p>
        </w:tc>
      </w:tr>
      <w:tr>
        <w:trPr>
          <w:tblHeader w:val="off"/>
        </w:trPr>
        <w:tc>
          <w:tcPr>
            <w:tcW w:type="dxa" w:w="2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Secondary</w:t>
            </w:r>
            <w:r>
              <w:rPr>
                <w:sz w:val="20"/>
                <w:szCs w:val="20"/>
              </w:rPr>
              <w:t xml:space="preserve"> (bên liên quan thứ yếu)</w:t>
            </w:r>
          </w:p>
        </w:tc>
        <w:tc>
          <w:tcPr>
            <w:tcW w:type="dxa" w:w="3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trực tiếp tham gia, nhưng vẫn có thể tác động đáng kể đến thành công</w:t>
            </w:r>
          </w:p>
        </w:tc>
        <w:tc>
          <w:tcPr>
            <w:tcW w:type="dxa" w:w="3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w:t>
            </w:r>
            <w:r>
              <w:rPr>
                <w:sz w:val="20"/>
                <w:szCs w:val="20"/>
              </w:rPr>
              <w:t xml:space="preserve">Có</w:t>
            </w:r>
          </w:p>
        </w:tc>
      </w:tr>
    </w:tbl>
    <w:p>
      <w:pPr>
        <w:spacing w:after="80" w:before="0"/>
      </w:pPr>
    </w:p>
    <w:p>
      <w:pPr>
        <w:spacing w:after="120"/>
      </w:pPr>
      <w:r>
        <w:t xml:space="preserve">Clarkson (1995) đặt nền cho cách phân loại này. Reid (2011) bổ sung góc nhìn rủi ro: bên liên quan chính là bên </w:t>
      </w:r>
      <w:r>
        <w:rPr>
          <w:b/>
          <w:bCs/>
        </w:rPr>
        <w:t xml:space="preserve">chịu rủi ro</w:t>
      </w:r>
      <w:r>
        <w:t xml:space="preserve">; “không có rủi ro thì không có phần” (no stake). Người chịu rủi ro có thể tự nguyện (góp tiền, góp công) hoặc không tự nguyện (cư dân chịu tiếng ồn).</w:t>
      </w:r>
    </w:p>
    <w:p>
      <w:pPr>
        <w:spacing w:after="120"/>
      </w:pPr>
      <w:r>
        <w:rPr>
          <w:b/>
          <w:bCs/>
        </w:rPr>
        <w:t xml:space="preserve">Phân loại là một quyết định có lập luận, không phải tra bảng.</w:t>
      </w:r>
      <w:r>
        <w:t xml:space="preserve"> Trong hội nghị khách hàng, báo chí thường là secondary. Trong sự kiện ra mắt sản phẩm mà KPI hợp đồng là lượng tin bài, báo chí là primary. Luôn ghi một câu lý do cạnh mỗi nhãn.</w:t>
      </w:r>
    </w:p>
    <w:p>
      <w:pPr>
        <w:spacing w:after="120"/>
      </w:pPr>
      <w:r>
        <w:rPr>
          <w:i/>
          <w:iCs/>
        </w:rPr>
        <w:t xml:space="preserve">Ví dụ (giả định):</w:t>
      </w:r>
      <w:r>
        <w:t xml:space="preserve"> Nova Events tổ chức hội nghị khách hàng thường niên cho Ngân hàng An Phát (600 khách VIP, khách sạn 5 sao).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tblHeader/>
        </w:trPr>
        <w:tc>
          <w:tcPr>
            <w:tcW w:type="dxa" w:w="240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Bên</w:t>
            </w:r>
          </w:p>
        </w:tc>
        <w:tc>
          <w:tcPr>
            <w:tcW w:type="dxa" w:w="12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Nhãn</w:t>
            </w:r>
          </w:p>
        </w:tc>
        <w:tc>
          <w:tcPr>
            <w:tcW w:type="dxa" w:w="602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Lý do</w:t>
            </w:r>
          </w:p>
        </w:tc>
      </w:tr>
      <w:tr>
        <w:trPr>
          <w:tblHeader w:val="off"/>
        </w:trPr>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Ngân hàng An Phát</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Primary</w:t>
            </w:r>
          </w:p>
        </w:tc>
        <w:tc>
          <w:tcPr>
            <w:tcW w:type="dxa" w:w="60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đặt hàng và trả tiền</w:t>
            </w:r>
          </w:p>
        </w:tc>
      </w:tr>
      <w:tr>
        <w:trPr>
          <w:tblHeader w:val="off"/>
        </w:trPr>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sạn</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Primary</w:t>
            </w:r>
          </w:p>
        </w:tc>
        <w:tc>
          <w:tcPr>
            <w:tcW w:type="dxa" w:w="60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Đổi địa điểm phút chót gần như bất khả</w:t>
            </w:r>
          </w:p>
        </w:tc>
      </w:tr>
      <w:tr>
        <w:trPr>
          <w:tblHeader w:val="off"/>
        </w:trPr>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Công ty bảo hiểm tài trợ</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Tùy bối cảnh</w:t>
            </w:r>
          </w:p>
        </w:tc>
        <w:tc>
          <w:tcPr>
            <w:tcW w:type="dxa" w:w="60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Primary nếu ngân sách phụ thuộc khoản tài trợ; secondary nếu chỉ là phần cộng thêm</w:t>
            </w:r>
          </w:p>
        </w:tc>
      </w:tr>
      <w:tr>
        <w:trPr>
          <w:tblHeader w:val="off"/>
        </w:trPr>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tài chính</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Secondary</w:t>
            </w:r>
          </w:p>
        </w:tc>
        <w:tc>
          <w:tcPr>
            <w:tcW w:type="dxa" w:w="60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Sự kiện vẫn diễn ra, nhưng báo ảnh hưởng hình ảnh sau sự kiện</w:t>
            </w:r>
          </w:p>
        </w:tc>
      </w:tr>
      <w:tr>
        <w:trPr>
          <w:tblHeader w:val="off"/>
        </w:trPr>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Cư dân lân cận</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Secondary</w:t>
            </w:r>
          </w:p>
        </w:tc>
        <w:tc>
          <w:tcPr>
            <w:tcW w:type="dxa" w:w="60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giao dịch, nhưng có thể trở nên rất quan trọng</w:t>
            </w:r>
          </w:p>
        </w:tc>
      </w:tr>
    </w:tbl>
    <w:p>
      <w:pPr>
        <w:spacing w:after="80" w:before="0"/>
      </w:pPr>
    </w:p>
    <w:p>
      <w:pPr>
        <w:pStyle w:val="Heading1"/>
      </w:pPr>
      <w:r>
        <w:t xml:space="preserve">5. Công cụ 1: Power-Interest Grid</w:t>
      </w:r>
    </w:p>
    <w:p>
      <w:pPr>
        <w:spacing w:after="120"/>
      </w:pPr>
      <w:r>
        <w:t xml:space="preserve">Ý tưởng phát triển từ Mendelow (1981). Hai trục: </w:t>
      </w:r>
      <w:r>
        <w:rPr>
          <w:b/>
          <w:bCs/>
        </w:rPr>
        <w:t xml:space="preserve">quyền lực</w:t>
      </w:r>
      <w:r>
        <w:t xml:space="preserve"> (khả năng tác động đến sự kiện) và </w:t>
      </w:r>
      <w:r>
        <w:rPr>
          <w:b/>
          <w:bCs/>
        </w:rPr>
        <w:t xml:space="preserve">mức độ quan tâm</w:t>
      </w:r>
      <w:r>
        <w:t xml:space="preserve"> (mức họ để ý hoặc chịu ảnh hưởng).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0"/>
        <w:gridCol w:w="4191"/>
      </w:tblGrid>
      <w:tr>
        <w:trPr>
          <w:tblHeader/>
        </w:trPr>
        <w:tc>
          <w:tcPr>
            <w:tcW w:type="dxa" w:w="125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19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Quan tâm thấp</w:t>
            </w:r>
          </w:p>
        </w:tc>
        <w:tc>
          <w:tcPr>
            <w:tcW w:type="dxa" w:w="419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Quan tâm cao</w:t>
            </w:r>
          </w:p>
        </w:tc>
      </w:tr>
      <w:tr>
        <w:trPr>
          <w:tblHeader w:val="off"/>
        </w:trPr>
        <w:tc>
          <w:tcPr>
            <w:tcW w:type="dxa" w:w="12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lực cao</w:t>
            </w:r>
          </w:p>
        </w:tc>
        <w:tc>
          <w:tcPr>
            <w:tcW w:type="dxa" w:w="41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Keep satisfied:</w:t>
            </w:r>
            <w:r>
              <w:rPr>
                <w:sz w:val="20"/>
                <w:szCs w:val="20"/>
              </w:rPr>
              <w:t xml:space="preserve"> đáp ứng yêu cầu, không làm phiền quá mức</w:t>
            </w:r>
          </w:p>
        </w:tc>
        <w:tc>
          <w:tcPr>
            <w:tcW w:type="dxa" w:w="4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Manage closely</w:t>
            </w:r>
            <w:r>
              <w:rPr>
                <w:sz w:val="20"/>
                <w:szCs w:val="20"/>
              </w:rPr>
              <w:t xml:space="preserve"> (key players): tham vấn mọi quyết định lớn, họp định kỳ</w:t>
            </w:r>
          </w:p>
        </w:tc>
      </w:tr>
      <w:tr>
        <w:trPr>
          <w:tblHeader w:val="off"/>
        </w:trPr>
        <w:tc>
          <w:tcPr>
            <w:tcW w:type="dxa" w:w="12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lực thấp</w:t>
            </w:r>
          </w:p>
        </w:tc>
        <w:tc>
          <w:tcPr>
            <w:tcW w:type="dxa" w:w="41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Monitor:</w:t>
            </w:r>
            <w:r>
              <w:rPr>
                <w:sz w:val="20"/>
                <w:szCs w:val="20"/>
              </w:rPr>
              <w:t xml:space="preserve"> theo dõi, nỗ lực tối thiểu</w:t>
            </w:r>
          </w:p>
        </w:tc>
        <w:tc>
          <w:tcPr>
            <w:tcW w:type="dxa" w:w="4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Keep informed:</w:t>
            </w:r>
            <w:r>
              <w:rPr>
                <w:sz w:val="20"/>
                <w:szCs w:val="20"/>
              </w:rPr>
              <w:t xml:space="preserve"> cập nhật định kỳ, lắng nghe</w:t>
            </w:r>
          </w:p>
        </w:tc>
      </w:tr>
    </w:tbl>
    <w:p>
      <w:pPr>
        <w:spacing w:after="80" w:before="0"/>
      </w:pPr>
    </w:p>
    <w:p>
      <w:pPr>
        <w:spacing w:after="120"/>
      </w:pPr>
      <w:r>
        <w:t xml:space="preserve">Mỗi ô phải đi kèm </w:t>
      </w:r>
      <w:r>
        <w:rPr>
          <w:b/>
          <w:bCs/>
        </w:rPr>
        <w:t xml:space="preserve">một việc cụ thể</w:t>
      </w:r>
      <w:r>
        <w:t xml:space="preserve">, không phải “giao tiếp tốt”. Ví dụ: An Phát (Manage closely) → họp tiến độ hằng tuần; khách sạn (Keep satisfied) → họp kỹ thuật và an toàn trước sự kiện; cư dân (Monitor) → thông báo giờ kết thúc và số điện thoại liên hệ.</w:t>
      </w:r>
    </w:p>
    <w:p>
      <w:pPr>
        <w:spacing w:after="120"/>
      </w:pPr>
      <w:r>
        <w:rPr>
          <w:b/>
          <w:bCs/>
        </w:rPr>
        <w:t xml:space="preserve">Hạn chế của Grid:</w:t>
      </w:r>
      <w:r>
        <w:t xml:space="preserve"> chỉ có hai chiều; là ảnh chụp tĩnh; chủ quan, nên cần bằng chứng cho mỗi vị trí; không hỏi yêu cầu có chính đáng hay không. Mẹo: chấm mỗi bên thành một điểm trên lưới để thấy bên nào sắp chuyển ô.</w:t>
      </w:r>
    </w:p>
    <w:p>
      <w:pPr>
        <w:pStyle w:val="Heading1"/>
      </w:pPr>
      <w:r>
        <w:t xml:space="preserve">6. Công cụ 2: Stakeholder Salience Model</w:t>
      </w:r>
    </w:p>
    <w:p>
      <w:pPr>
        <w:spacing w:after="120"/>
      </w:pPr>
      <w:r>
        <w:t xml:space="preserve">Mitchell, Agle &amp; Wood (1997) đo ba thuộc tính:</w:t>
      </w:r>
    </w:p>
    <w:p>
      <w:pPr>
        <w:pStyle w:val="ListParagraph"/>
        <w:numPr>
          <w:ilvl w:val="0"/>
          <w:numId w:val="4"/>
        </w:numPr>
        <w:spacing w:after="60"/>
      </w:pPr>
      <w:r>
        <w:rPr>
          <w:b/>
          <w:bCs/>
        </w:rPr>
        <w:t xml:space="preserve">Power (quyền lực):</w:t>
      </w:r>
      <w:r>
        <w:t xml:space="preserve"> khả năng áp đặt ý chí của mình.</w:t>
      </w:r>
    </w:p>
    <w:p>
      <w:pPr>
        <w:pStyle w:val="ListParagraph"/>
        <w:numPr>
          <w:ilvl w:val="0"/>
          <w:numId w:val="4"/>
        </w:numPr>
        <w:spacing w:after="60"/>
      </w:pPr>
      <w:r>
        <w:rPr>
          <w:b/>
          <w:bCs/>
        </w:rPr>
        <w:t xml:space="preserve">Legitimacy (tính chính đáng):</w:t>
      </w:r>
      <w:r>
        <w:t xml:space="preserve"> yêu cầu được xem là phù hợp theo hợp đồng, luật, chuẩn mực.</w:t>
      </w:r>
    </w:p>
    <w:p>
      <w:pPr>
        <w:pStyle w:val="ListParagraph"/>
        <w:numPr>
          <w:ilvl w:val="0"/>
          <w:numId w:val="4"/>
        </w:numPr>
        <w:spacing w:after="60"/>
      </w:pPr>
      <w:r>
        <w:rPr>
          <w:b/>
          <w:bCs/>
        </w:rPr>
        <w:t xml:space="preserve">Urgency (tính cấp bách):</w:t>
      </w:r>
      <w:r>
        <w:t xml:space="preserve"> yêu cầu đòi hỏi phản hồi ngay.</w:t>
      </w:r>
    </w:p>
    <w:p>
      <w:pPr>
        <w:spacing w:after="120"/>
      </w:pPr>
      <w:r>
        <w:t xml:space="preserve">Càng nhiều thuộc tính, bên liên quan càng </w:t>
      </w:r>
      <w:r>
        <w:rPr>
          <w:b/>
          <w:bCs/>
        </w:rPr>
        <w:t xml:space="preserve">nổi bật</w:t>
      </w:r>
      <w:r>
        <w:t xml:space="preserve"> (salient), càng cần ưu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3"/>
        <w:gridCol w:w="2409"/>
        <w:gridCol w:w="5806"/>
      </w:tblGrid>
      <w:tr>
        <w:trPr>
          <w:tblHeader/>
        </w:trPr>
        <w:tc>
          <w:tcPr>
            <w:tcW w:type="dxa" w:w="14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Số thuộc tính</w:t>
            </w:r>
          </w:p>
        </w:tc>
        <w:tc>
          <w:tcPr>
            <w:tcW w:type="dxa" w:w="240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58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trong sự kiện</w:t>
            </w:r>
          </w:p>
        </w:tc>
      </w:tr>
      <w:tr>
        <w:trPr>
          <w:tblHeader w:val="off"/>
        </w:trPr>
        <w:tc>
          <w:tcPr>
            <w:tcW w:type="dxa" w:w="1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(tiềm ẩn)</w:t>
            </w:r>
          </w:p>
        </w:tc>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Dormant (P)</w:t>
            </w:r>
          </w:p>
        </w:tc>
        <w:tc>
          <w:tcPr>
            <w:tcW w:type="dxa" w:w="5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Cơ quan quản lý khi thủ tục đã ổn</w:t>
            </w:r>
          </w:p>
        </w:tc>
      </w:tr>
      <w:tr>
        <w:trPr>
          <w:tblHeader w:val="off"/>
        </w:trPr>
        <w:tc>
          <w:tcPr>
            <w:tcW w:type="dxa" w:w="1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Discretionary (L)</w:t>
            </w:r>
          </w:p>
        </w:tc>
        <w:tc>
          <w:tcPr>
            <w:tcW w:type="dxa" w:w="5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Hội đoàn từ thiện muốn được mời</w:t>
            </w:r>
          </w:p>
        </w:tc>
      </w:tr>
      <w:tr>
        <w:trPr>
          <w:tblHeader w:val="off"/>
        </w:trPr>
        <w:tc>
          <w:tcPr>
            <w:tcW w:type="dxa" w:w="1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Demanding (U)</w:t>
            </w:r>
          </w:p>
        </w:tc>
        <w:tc>
          <w:tcPr>
            <w:tcW w:type="dxa" w:w="5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liên tục phàn nàn trên mạng nhưng ít ảnh hưởng</w:t>
            </w:r>
          </w:p>
        </w:tc>
      </w:tr>
      <w:tr>
        <w:trPr>
          <w:tblHeader w:val="off"/>
        </w:trPr>
        <w:tc>
          <w:tcPr>
            <w:tcW w:type="dxa" w:w="1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(kỳ vọng)</w:t>
            </w:r>
          </w:p>
        </w:tc>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Dominant (P + L)</w:t>
            </w:r>
          </w:p>
        </w:tc>
        <w:tc>
          <w:tcPr>
            <w:tcW w:type="dxa" w:w="5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 chính có hợp đồng</w:t>
            </w:r>
          </w:p>
        </w:tc>
      </w:tr>
      <w:tr>
        <w:trPr>
          <w:tblHeader w:val="off"/>
        </w:trPr>
        <w:tc>
          <w:tcPr>
            <w:tcW w:type="dxa" w:w="1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Dangerous (P + U)</w:t>
            </w:r>
          </w:p>
        </w:tc>
        <w:tc>
          <w:tcPr>
            <w:tcW w:type="dxa" w:w="5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dọa ngừng thi công trước giờ G để ép giá</w:t>
            </w:r>
          </w:p>
        </w:tc>
      </w:tr>
      <w:tr>
        <w:trPr>
          <w:tblHeader w:val="off"/>
        </w:trPr>
        <w:tc>
          <w:tcPr>
            <w:tcW w:type="dxa" w:w="1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Dependent (L + U)</w:t>
            </w:r>
          </w:p>
        </w:tc>
        <w:tc>
          <w:tcPr>
            <w:tcW w:type="dxa" w:w="5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Cư dân phản ánh tiếng ồn</w:t>
            </w:r>
          </w:p>
        </w:tc>
      </w:tr>
      <w:tr>
        <w:trPr>
          <w:tblHeader w:val="off"/>
        </w:trPr>
        <w:tc>
          <w:tcPr>
            <w:tcW w:type="dxa" w:w="1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Definitive (P + L + U)</w:t>
            </w:r>
          </w:p>
        </w:tc>
        <w:tc>
          <w:tcPr>
            <w:tcW w:type="dxa" w:w="5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yêu cầu đổi kịch bản 48 giờ trước sự kiện</w:t>
            </w:r>
          </w:p>
        </w:tc>
      </w:tr>
    </w:tbl>
    <w:p>
      <w:pPr>
        <w:spacing w:after="80" w:before="0"/>
      </w:pPr>
    </w:p>
    <w:p>
      <w:pPr>
        <w:spacing w:after="120"/>
      </w:pPr>
      <w:r>
        <w:rPr>
          <w:b/>
          <w:bCs/>
        </w:rPr>
        <w:t xml:space="preserve">Mô hình động.</w:t>
      </w:r>
      <w:r>
        <w:t xml:space="preserve"> Cư dân (Dependent) có thể “mượn” quyền lực khi báo chí đưa tin và chính quyền vào cuộc, và trở thành Definitive. Với nhóm </w:t>
      </w:r>
      <w:r>
        <w:rPr>
          <w:b/>
          <w:bCs/>
        </w:rPr>
        <w:t xml:space="preserve">Dangerous</w:t>
      </w:r>
      <w:r>
        <w:t xml:space="preserve">, đừng nhượng bộ ngay: bảo vệ bằng điều khoản hợp đồng và phương án dự phòng chuẩn bị từ trước.</w:t>
      </w:r>
    </w:p>
    <w:p>
      <w:pPr>
        <w:spacing w:after="120"/>
      </w:pPr>
      <w:r>
        <w:rPr>
          <w:b/>
          <w:bCs/>
        </w:rPr>
        <w:t xml:space="preserve">Khi Grid và Salience cho kết quả khác nhau, đó là tín hiệu cảnh báo sớm.</w:t>
      </w:r>
      <w:r>
        <w:t xml:space="preserve"> Ví dụ: cư dân ở ô Monitor trên Grid nhưng là Dependent trên Salience.</w:t>
      </w:r>
    </w:p>
    <w:p>
      <w:pPr>
        <w:pStyle w:val="Heading1"/>
      </w:pPr>
      <w:r>
        <w:t xml:space="preserve">7. Quản trị bên liên quan là một vòng lặp</w:t>
      </w:r>
    </w:p>
    <w:p>
      <w:pPr>
        <w:spacing w:after="120"/>
      </w:pPr>
      <w:r>
        <w:t xml:space="preserve">Năm việc lặp lại theo từng giai đoạn: (1) nhận diện; (2) phân tích và ưu tiên; (3) chọn cách ứng xử; (4) giao tiếp hai chiều; (5) theo dõi, đánh giá, vẽ lại bản đồ.</w:t>
      </w:r>
    </w:p>
    <w:p>
      <w:pPr>
        <w:spacing w:after="120"/>
      </w:pPr>
      <w:r>
        <w:rPr>
          <w:b/>
          <w:bCs/>
        </w:rPr>
        <w:t xml:space="preserve">Đạo đức nghề nghiệp:</w:t>
      </w:r>
      <w:r>
        <w:t xml:space="preserve"> thừa nhận và theo dõi chủ động các bên, lắng nghe, điều chỉnh theo nhu cầu của họ, coi trọng hợp tác (theo các Nguyên tắc Clarkson). Chỉ hứa điều mình kiểm soát được, và ghi lại điều đã hứa.</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9"/>
        <w:gridCol w:w="5489"/>
      </w:tblGrid>
      <w:tr>
        <w:trPr>
          <w:tblHeader/>
        </w:trPr>
        <w:tc>
          <w:tcPr>
            <w:tcW w:type="dxa" w:w="414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548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41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Stakeholder</w:t>
            </w:r>
          </w:p>
        </w:tc>
        <w:tc>
          <w:tcPr>
            <w:tcW w:type="dxa" w:w="54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Bên liên quan</w:t>
            </w:r>
          </w:p>
        </w:tc>
      </w:tr>
      <w:tr>
        <w:trPr>
          <w:tblHeader w:val="off"/>
        </w:trPr>
        <w:tc>
          <w:tcPr>
            <w:tcW w:type="dxa" w:w="41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Primary / secondary stakeholder</w:t>
            </w:r>
          </w:p>
        </w:tc>
        <w:tc>
          <w:tcPr>
            <w:tcW w:type="dxa" w:w="54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Bên liên quan chính / thứ yếu</w:t>
            </w:r>
          </w:p>
        </w:tc>
      </w:tr>
      <w:tr>
        <w:trPr>
          <w:tblHeader w:val="off"/>
        </w:trPr>
        <w:tc>
          <w:tcPr>
            <w:tcW w:type="dxa" w:w="41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Power-Interest Grid</w:t>
            </w:r>
          </w:p>
        </w:tc>
        <w:tc>
          <w:tcPr>
            <w:tcW w:type="dxa" w:w="54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 trận quyền lực – mức độ quan tâm</w:t>
            </w:r>
          </w:p>
        </w:tc>
      </w:tr>
      <w:tr>
        <w:trPr>
          <w:tblHeader w:val="off"/>
        </w:trPr>
        <w:tc>
          <w:tcPr>
            <w:tcW w:type="dxa" w:w="41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Salience</w:t>
            </w:r>
          </w:p>
        </w:tc>
        <w:tc>
          <w:tcPr>
            <w:tcW w:type="dxa" w:w="54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Mức độ nổi bật của bên liên quan</w:t>
            </w:r>
          </w:p>
        </w:tc>
      </w:tr>
      <w:tr>
        <w:trPr>
          <w:tblHeader w:val="off"/>
        </w:trPr>
        <w:tc>
          <w:tcPr>
            <w:tcW w:type="dxa" w:w="41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Power, legitimacy, urgency</w:t>
            </w:r>
          </w:p>
        </w:tc>
        <w:tc>
          <w:tcPr>
            <w:tcW w:type="dxa" w:w="54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lực, tính chính đáng, tính cấp bách</w:t>
            </w:r>
          </w:p>
        </w:tc>
      </w:tr>
      <w:tr>
        <w:trPr>
          <w:tblHeader w:val="off"/>
        </w:trPr>
        <w:tc>
          <w:tcPr>
            <w:tcW w:type="dxa" w:w="41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Key Account</w:t>
            </w:r>
          </w:p>
        </w:tc>
        <w:tc>
          <w:tcPr>
            <w:tcW w:type="dxa" w:w="54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trọng yếu</w:t>
            </w:r>
          </w:p>
        </w:tc>
      </w:tr>
    </w:tbl>
    <w:p>
      <w:pPr>
        <w:spacing w:after="80" w:before="0"/>
      </w:pPr>
    </w:p>
    <w:p>
      <w:pPr>
        <w:pStyle w:val="Heading1"/>
      </w:pPr>
      <w:r>
        <w:t xml:space="preserve">Lỗi thường gặp</w:t>
      </w:r>
    </w:p>
    <w:p>
      <w:pPr>
        <w:pStyle w:val="ListParagraph"/>
        <w:numPr>
          <w:ilvl w:val="0"/>
          <w:numId w:val="4"/>
        </w:numPr>
        <w:spacing w:after="60"/>
      </w:pPr>
      <w:r>
        <w:t xml:space="preserve">Liệt kê nhân sự, crew, tình nguyện viên của chính agency (ngoài phạm vi môn).</w:t>
      </w:r>
    </w:p>
    <w:p>
      <w:pPr>
        <w:pStyle w:val="ListParagraph"/>
        <w:numPr>
          <w:ilvl w:val="0"/>
          <w:numId w:val="4"/>
        </w:numPr>
        <w:spacing w:after="60"/>
      </w:pPr>
      <w:r>
        <w:t xml:space="preserve">Nghĩ bên liên quan là người trả tiền cho mình.</w:t>
      </w:r>
    </w:p>
    <w:p>
      <w:pPr>
        <w:pStyle w:val="ListParagraph"/>
        <w:numPr>
          <w:ilvl w:val="0"/>
          <w:numId w:val="4"/>
        </w:numPr>
        <w:spacing w:after="60"/>
      </w:pPr>
      <w:r>
        <w:t xml:space="preserve">Nghĩ quyền lực cao thì phải chiều mọi yêu cầu.</w:t>
      </w:r>
    </w:p>
    <w:p>
      <w:pPr>
        <w:pStyle w:val="ListParagraph"/>
        <w:numPr>
          <w:ilvl w:val="0"/>
          <w:numId w:val="4"/>
        </w:numPr>
        <w:spacing w:after="60"/>
      </w:pPr>
      <w:r>
        <w:t xml:space="preserve">Gắn nhãn mà không có lý do, hoặc ghi ứng xử chung chung.</w:t>
      </w:r>
    </w:p>
    <w:p>
      <w:pPr>
        <w:pStyle w:val="Heading1"/>
      </w:pPr>
      <w:r>
        <w:t xml:space="preserve">Liên hệ với kế hoạch cuối kỳ (SMP)</w:t>
      </w:r>
    </w:p>
    <w:p>
      <w:pPr>
        <w:spacing w:after="120"/>
      </w:pPr>
      <w:r>
        <w:t xml:space="preserve">Bản đồ bên liên quan (danh sách có nhãn P/S, Grid, Salience) của khách hàng từ dự án cũ là phần đầu của </w:t>
      </w:r>
      <w:r>
        <w:rPr>
          <w:b/>
          <w:bCs/>
        </w:rPr>
        <w:t xml:space="preserve">phần A (Value Insights)</w:t>
      </w:r>
      <w:r>
        <w:t xml:space="preserve"> trong Stakeholder Management Plan.</w:t>
      </w:r>
    </w:p>
    <w:p>
      <w:pPr>
        <w:pStyle w:val="Heading1"/>
      </w:pPr>
      <w:r>
        <w:t xml:space="preserve">Câu hỏi tự ôn</w:t>
      </w:r>
    </w:p>
    <w:p>
      <w:pPr>
        <w:pStyle w:val="ListParagraph"/>
        <w:numPr>
          <w:ilvl w:val="0"/>
          <w:numId w:val="5"/>
        </w:numPr>
        <w:spacing w:after="60"/>
      </w:pPr>
      <w:r>
        <w:t xml:space="preserve">Vì sao cùng một nhà tài trợ có thể là primary ở sự kiện này, secondary ở sự kiện khác?</w:t>
      </w:r>
    </w:p>
    <w:p>
      <w:pPr>
        <w:pStyle w:val="ListParagraph"/>
        <w:numPr>
          <w:ilvl w:val="0"/>
          <w:numId w:val="5"/>
        </w:numPr>
        <w:spacing w:after="60"/>
      </w:pPr>
      <w:r>
        <w:t xml:space="preserve">Cư dân lân cận ở ô Monitor trên Grid nhưng là Dependent trên Salience. Điều đó cảnh báo gì, và agency nên làm gì từ sớm?</w:t>
      </w:r>
    </w:p>
    <w:p>
      <w:pPr>
        <w:pStyle w:val="ListParagraph"/>
        <w:numPr>
          <w:ilvl w:val="0"/>
          <w:numId w:val="5"/>
        </w:numPr>
        <w:spacing w:after="60"/>
      </w:pPr>
      <w:r>
        <w:t xml:space="preserve">Kể một bên có tính cấp bách cao nhưng không có quyền lực trong một sự kiện bạn biết.</w:t>
      </w:r>
    </w:p>
    <w:p>
      <w:pPr>
        <w:pStyle w:val="ListParagraph"/>
        <w:numPr>
          <w:ilvl w:val="0"/>
          <w:numId w:val="5"/>
        </w:numPr>
        <w:spacing w:after="60"/>
      </w:pPr>
      <w:r>
        <w:t xml:space="preserve">Một nhà cung cấp độc quyền đòi thêm 30% ngoài hợp đồng 6 giờ trước giờ G. Họ thuộc loại nào trong Salience Model? Agency nên chuẩn bị gì từ trước?</w:t>
      </w:r>
    </w:p>
    <w:p>
      <w:pPr>
        <w:pStyle w:val="Heading1"/>
      </w:pPr>
      <w:r>
        <w:t xml:space="preserve">Tài liệu tham khảo</w:t>
      </w:r>
    </w:p>
    <w:p>
      <w:pPr>
        <w:pStyle w:val="ListParagraph"/>
        <w:numPr>
          <w:ilvl w:val="0"/>
          <w:numId w:val="4"/>
        </w:numPr>
        <w:spacing w:after="60"/>
      </w:pPr>
      <w:r>
        <w:t xml:space="preserve">Clarkson, M. B. E. (1995). A stakeholder framework for analyzing and evaluating corporate social performance. </w:t>
      </w:r>
      <w:r>
        <w:rPr>
          <w:i/>
          <w:iCs/>
        </w:rPr>
        <w:t xml:space="preserve">Academy of Management Review, 20</w:t>
      </w:r>
      <w:r>
        <w:t xml:space="preserve">(1), 92–117.</w:t>
      </w:r>
    </w:p>
    <w:p>
      <w:pPr>
        <w:pStyle w:val="ListParagraph"/>
        <w:numPr>
          <w:ilvl w:val="0"/>
          <w:numId w:val="4"/>
        </w:numPr>
        <w:spacing w:after="60"/>
      </w:pPr>
      <w:r>
        <w:t xml:space="preserve">Freeman, R. E. (1984). </w:t>
      </w:r>
      <w:r>
        <w:rPr>
          <w:i/>
          <w:iCs/>
        </w:rPr>
        <w:t xml:space="preserve">Strategic management: A stakeholder approach</w:t>
      </w:r>
      <w:r>
        <w:t xml:space="preserve">. Pitman.</w:t>
      </w:r>
    </w:p>
    <w:p>
      <w:pPr>
        <w:pStyle w:val="ListParagraph"/>
        <w:numPr>
          <w:ilvl w:val="0"/>
          <w:numId w:val="4"/>
        </w:numPr>
        <w:spacing w:after="60"/>
      </w:pPr>
      <w:r>
        <w:t xml:space="preserve">Getz, D., Andersson, T., &amp; Larson, M. (2006). Festival stakeholder roles: Concepts and case studies. </w:t>
      </w:r>
      <w:r>
        <w:rPr>
          <w:i/>
          <w:iCs/>
        </w:rPr>
        <w:t xml:space="preserve">Event Management, 10</w:t>
      </w:r>
      <w:r>
        <w:t xml:space="preserve">(2), 103–122.</w:t>
      </w:r>
    </w:p>
    <w:p>
      <w:pPr>
        <w:pStyle w:val="ListParagraph"/>
        <w:numPr>
          <w:ilvl w:val="0"/>
          <w:numId w:val="4"/>
        </w:numPr>
        <w:spacing w:after="60"/>
      </w:pPr>
      <w:r>
        <w:t xml:space="preserve">Mendelow, A. L. (1981). Environmental scanning: The impact of the stakeholder concept. </w:t>
      </w:r>
      <w:r>
        <w:rPr>
          <w:i/>
          <w:iCs/>
        </w:rPr>
        <w:t xml:space="preserve">ICIS 1981 Proceedings</w:t>
      </w:r>
      <w:r>
        <w:t xml:space="preserve">, 20.</w:t>
      </w:r>
    </w:p>
    <w:p>
      <w:pPr>
        <w:pStyle w:val="ListParagraph"/>
        <w:numPr>
          <w:ilvl w:val="0"/>
          <w:numId w:val="4"/>
        </w:numPr>
        <w:spacing w:after="60"/>
      </w:pPr>
      <w:r>
        <w:t xml:space="preserve">Mitchell, R. K., Agle, B. R., &amp; Wood, D. J. (1997). Toward a theory of stakeholder identification and salience: Defining the principle of who and what really counts. </w:t>
      </w:r>
      <w:r>
        <w:rPr>
          <w:i/>
          <w:iCs/>
        </w:rPr>
        <w:t xml:space="preserve">Academy of Management Review, 22</w:t>
      </w:r>
      <w:r>
        <w:t xml:space="preserve">(4), 853–886.</w:t>
      </w:r>
    </w:p>
    <w:p>
      <w:pPr>
        <w:pStyle w:val="ListParagraph"/>
        <w:numPr>
          <w:ilvl w:val="0"/>
          <w:numId w:val="4"/>
        </w:numPr>
        <w:spacing w:after="60"/>
      </w:pPr>
      <w:r>
        <w:t xml:space="preserve">Reid, S. (2011). Event stakeholder management: Developing sustainable rural event practices. </w:t>
      </w:r>
      <w:r>
        <w:rPr>
          <w:i/>
          <w:iCs/>
        </w:rPr>
        <w:t xml:space="preserve">International Journal of Event and Festival Management, 2</w:t>
      </w:r>
      <w:r>
        <w:t xml:space="preserve">(1), 20–36.</w:t>
      </w:r>
    </w:p>
    <w:p>
      <w:pPr>
        <w:pStyle w:val="ListParagraph"/>
        <w:numPr>
          <w:ilvl w:val="0"/>
          <w:numId w:val="4"/>
        </w:numPr>
        <w:spacing w:after="60"/>
      </w:pPr>
      <w:r>
        <w:t xml:space="preserve">Todd, L., Leask, A., &amp; Ensor, J. (2017). Understanding primary stakeholders’ multiple roles in hallmark event tourism management. </w:t>
      </w:r>
      <w:r>
        <w:rPr>
          <w:i/>
          <w:iCs/>
        </w:rPr>
        <w:t xml:space="preserve">Tourism Management, 59</w:t>
      </w:r>
      <w:r>
        <w:t xml:space="preserve">, 494–509.</w:t>
      </w:r>
    </w:p>
    <w:p>
      <w:pPr>
        <w:pStyle w:val="ListParagraph"/>
        <w:numPr>
          <w:ilvl w:val="0"/>
          <w:numId w:val="4"/>
        </w:numPr>
        <w:spacing w:after="60"/>
      </w:pPr>
      <w:r>
        <w:t xml:space="preserve">Van Niekerk, M., &amp; Getz, D. (2019). </w:t>
      </w:r>
      <w:r>
        <w:rPr>
          <w:i/>
          <w:iCs/>
        </w:rPr>
        <w:t xml:space="preserve">Event stakeholders: Theory and methods for event management and tourism</w:t>
      </w:r>
      <w:r>
        <w:t xml:space="preserve">. Goodfellow Publishers. (Tài liệu tham khảo chính của học phần)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1: Định hình hệ sinh thái các bên liên quan bên ngoài</dc:title>
  <dc:creator>EVM1110E</dc:creator>
  <cp:lastModifiedBy>Un-named</cp:lastModifiedBy>
  <cp:revision>1</cp:revision>
  <dcterms:created xsi:type="dcterms:W3CDTF">2026-10-05T01:39:09.902Z</dcterms:created>
  <dcterms:modified xsi:type="dcterms:W3CDTF">2026-10-05T01:39:09.903Z</dcterms:modified>
</cp:coreProperties>
</file>

<file path=docProps/custom.xml><?xml version="1.0" encoding="utf-8"?>
<Properties xmlns="http://schemas.openxmlformats.org/officeDocument/2006/custom-properties" xmlns:vt="http://schemas.openxmlformats.org/officeDocument/2006/docPropsVTypes"/>
</file>