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2: Tư duy KAM và chọn Key Account</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“Ngân hàng An Phát” và các khách hàng khác trong ví dụ là tình huống giả định của môn học; mọi con số trong tình huống đều là giả định.</w:t>
      </w:r>
    </w:p>
    <w:p>
      <w:pPr>
        <w:pStyle w:val="Heading1"/>
      </w:pPr>
      <w:r>
        <w:t xml:space="preserve">Sau buổi này, bạn cần nắm được</w:t>
      </w:r>
    </w:p>
    <w:p>
      <w:pPr>
        <w:pStyle w:val="ListParagraph"/>
        <w:numPr>
          <w:ilvl w:val="0"/>
          <w:numId w:val="2"/>
        </w:numPr>
        <w:spacing w:after="60"/>
      </w:pPr>
      <w:r>
        <w:t xml:space="preserve">Sự khác biệt giữa bán hàng (Sales) và quản trị khách hàng trọng yếu (KAM).</w:t>
      </w:r>
    </w:p>
    <w:p>
      <w:pPr>
        <w:pStyle w:val="ListParagraph"/>
        <w:numPr>
          <w:ilvl w:val="0"/>
          <w:numId w:val="2"/>
        </w:numPr>
        <w:spacing w:after="60"/>
      </w:pPr>
      <w:r>
        <w:t xml:space="preserve">Ba tiêu chí nâng một khách hàng lên Key Account: sức hấp dẫn của khách hàng, vị thế cạnh tranh của agency, mức sẵn sàng đồng đầu tư.</w:t>
      </w:r>
    </w:p>
    <w:p>
      <w:pPr>
        <w:pStyle w:val="ListParagraph"/>
        <w:numPr>
          <w:ilvl w:val="0"/>
          <w:numId w:val="2"/>
        </w:numPr>
        <w:spacing w:after="60"/>
      </w:pPr>
      <w:r>
        <w:t xml:space="preserve">Cách chấm ứng viên bằng bảng có trọng số và ra quyết định có lập luận.</w:t>
      </w:r>
    </w:p>
    <w:p>
      <w:pPr>
        <w:pStyle w:val="Heading1"/>
      </w:pPr>
      <w:r>
        <w:t xml:space="preserve">1. Key Account và KAM là gì?</w:t>
      </w:r>
    </w:p>
    <w:p>
      <w:pPr>
        <w:pStyle w:val="ListParagraph"/>
        <w:numPr>
          <w:ilvl w:val="0"/>
          <w:numId w:val="3"/>
        </w:numPr>
        <w:spacing w:after="60"/>
      </w:pPr>
      <w:r>
        <w:rPr>
          <w:b/>
          <w:bCs/>
        </w:rPr>
        <w:t xml:space="preserve">Key Account</w:t>
      </w:r>
      <w:r>
        <w:t xml:space="preserve"> (khách hàng trọng yếu): người hoặc tổ chức mà doanh nghiệp đã xây dựng mối quan hệ </w:t>
      </w:r>
      <w:r>
        <w:rPr>
          <w:b/>
          <w:bCs/>
        </w:rPr>
        <w:t xml:space="preserve">vượt trên quan hệ kinh doanh tiêu chuẩn</w:t>
      </w:r>
      <w:r>
        <w:t xml:space="preserve">, dựa trên mức độ tin cậy.</w:t>
      </w:r>
    </w:p>
    <w:p>
      <w:pPr>
        <w:pStyle w:val="ListParagraph"/>
        <w:numPr>
          <w:ilvl w:val="0"/>
          <w:numId w:val="3"/>
        </w:numPr>
        <w:spacing w:after="60"/>
      </w:pPr>
      <w:r>
        <w:rPr>
          <w:b/>
          <w:bCs/>
        </w:rPr>
        <w:t xml:space="preserve">KAM</w:t>
      </w:r>
      <w:r>
        <w:t xml:space="preserve"> (Key Account Management): một </w:t>
      </w:r>
      <w:r>
        <w:rPr>
          <w:b/>
          <w:bCs/>
        </w:rPr>
        <w:t xml:space="preserve">chiến lược</w:t>
      </w:r>
      <w:r>
        <w:t xml:space="preserve"> kinh doanh nhằm phát triển lâu dài, bền vững thông qua quan hệ đối tác có lợi nhuận với các khách hàng quan trọng về mặt chiến lược. KAM là một phần tích hợp của chiến lược doanh nghiệp, không phải một quy trình biệt lập. Giáo trình (Marcos et al., 2018) viết ngắn gọn: KAM là quá trình tích hợp để quản trị </w:t>
      </w:r>
      <w:r>
        <w:rPr>
          <w:b/>
          <w:bCs/>
        </w:rPr>
        <w:t xml:space="preserve">có lợi nhuận</w:t>
      </w:r>
      <w:r>
        <w:t xml:space="preserve"> các mối quan hệ khách hàng.</w:t>
      </w:r>
    </w:p>
    <w:p>
      <w:pPr>
        <w:spacing w:after="120"/>
      </w:pPr>
      <w:r>
        <w:t xml:space="preserve">Ba điểm chung: </w:t>
      </w:r>
      <w:r>
        <w:rPr>
          <w:b/>
          <w:bCs/>
        </w:rPr>
        <w:t xml:space="preserve">chiến lược</w:t>
      </w:r>
      <w:r>
        <w:t xml:space="preserve">; </w:t>
      </w:r>
      <w:r>
        <w:rPr>
          <w:b/>
          <w:bCs/>
        </w:rPr>
        <w:t xml:space="preserve">dài hạn và có lợi nhuận</w:t>
      </w:r>
      <w:r>
        <w:t xml:space="preserve">; </w:t>
      </w:r>
      <w:r>
        <w:rPr>
          <w:b/>
          <w:bCs/>
        </w:rPr>
        <w:t xml:space="preserve">chỉ dành cho số ít</w:t>
      </w:r>
      <w:r>
        <w:t xml:space="preserve"> khách hàng được chọn lọc.</w:t>
      </w:r>
    </w:p>
    <w:p>
      <w:pPr>
        <w:pStyle w:val="Heading1"/>
      </w:pPr>
      <w:r>
        <w:t xml:space="preserve">2. Sales và KAM khác nhau thế nào?</w:t>
      </w:r>
    </w:p>
    <w:p>
      <w:pPr>
        <w:spacing w:after="120"/>
      </w:pPr>
      <w:r>
        <w:t xml:space="preserve">McDonald (Cranfield) nhận xét: nhiều công ty nghĩ KAM là “bán hàng xịn hơn”. Thực tế, khách hàng lớn </w:t>
      </w:r>
      <w:r>
        <w:rPr>
          <w:b/>
          <w:bCs/>
        </w:rPr>
        <w:t xml:space="preserve">không muốn bị bán hàng</w:t>
      </w:r>
      <w:r>
        <w:t xml:space="preserve">. Họ cần người hiểu tài chính, quy trình, tổ chức, văn hóa của họ và đưa ra giải pháp </w:t>
      </w:r>
      <w:r>
        <w:rPr>
          <w:b/>
          <w:bCs/>
        </w:rPr>
        <w:t xml:space="preserve">tạo lợi thế</w:t>
      </w:r>
      <w:r>
        <w:t xml:space="preserve"> cho họ. Millman &amp; Wilson (1995) mô tả bước chuyển từ </w:t>
      </w:r>
      <w:r>
        <w:rPr>
          <w:i/>
          <w:iCs/>
        </w:rPr>
        <w:t xml:space="preserve">key account selling</w:t>
      </w:r>
      <w:r>
        <w:t xml:space="preserve"> sang </w:t>
      </w:r>
      <w:r>
        <w:rPr>
          <w:i/>
          <w:iCs/>
        </w:rPr>
        <w:t xml:space="preserve">key account management</w:t>
      </w:r>
      <w:r>
        <w:t xml:space="preserve">.</w:t>
      </w:r>
    </w:p>
    <w:p>
      <w:pPr>
        <w:spacing w:after="120"/>
      </w:pPr>
      <w:r>
        <w:t xml:space="preserve">Vì sao cần chuyển? Giá trị trong thị trường doanh nghiệp (B2B) đã dịch chuyển theo bốn hướng (Marcos et al., 2018):</w:t>
      </w:r>
    </w:p>
    <w:p>
      <w:pPr>
        <w:pStyle w:val="ListParagraph"/>
        <w:numPr>
          <w:ilvl w:val="0"/>
          <w:numId w:val="3"/>
        </w:numPr>
        <w:spacing w:after="60"/>
      </w:pPr>
      <w:r>
        <w:t xml:space="preserve">từ giá trị nằm trong sản phẩm sang giá trị khi sử dụng;</w:t>
      </w:r>
    </w:p>
    <w:p>
      <w:pPr>
        <w:pStyle w:val="ListParagraph"/>
        <w:numPr>
          <w:ilvl w:val="0"/>
          <w:numId w:val="3"/>
        </w:numPr>
        <w:spacing w:after="60"/>
      </w:pPr>
      <w:r>
        <w:t xml:space="preserve">từ từng lần mua rời rạc sang trao đổi liên tục;</w:t>
      </w:r>
    </w:p>
    <w:p>
      <w:pPr>
        <w:pStyle w:val="ListParagraph"/>
        <w:numPr>
          <w:ilvl w:val="0"/>
          <w:numId w:val="3"/>
        </w:numPr>
        <w:spacing w:after="60"/>
      </w:pPr>
      <w:r>
        <w:t xml:space="preserve">từ xung đột vì lợi ích riêng sang hợp tác dựa trên tin cậy;</w:t>
      </w:r>
    </w:p>
    <w:p>
      <w:pPr>
        <w:pStyle w:val="ListParagraph"/>
        <w:numPr>
          <w:ilvl w:val="0"/>
          <w:numId w:val="3"/>
        </w:numPr>
        <w:spacing w:after="60"/>
      </w:pPr>
      <w:r>
        <w:t xml:space="preserve">từ ranh giới rõ ràng sang ranh giới mờ giữa nhà cung cấp và khách hàng.</w:t>
      </w:r>
    </w:p>
    <w:p>
      <w:pPr>
        <w:spacing w:after="120"/>
      </w:pPr>
      <w:r>
        <w:t xml:space="preserve">Homburg, Workman &amp; Jensen (2002) nhận diện KAM qua bốn khía cạnh: </w:t>
      </w:r>
      <w:r>
        <w:rPr>
          <w:b/>
          <w:bCs/>
        </w:rPr>
        <w:t xml:space="preserve">hoạt động</w:t>
      </w:r>
      <w:r>
        <w:t xml:space="preserve"> (activities), </w:t>
      </w:r>
      <w:r>
        <w:rPr>
          <w:b/>
          <w:bCs/>
        </w:rPr>
        <w:t xml:space="preserve">người tham gia</w:t>
      </w:r>
      <w:r>
        <w:t xml:space="preserve"> (actors), </w:t>
      </w:r>
      <w:r>
        <w:rPr>
          <w:b/>
          <w:bCs/>
        </w:rPr>
        <w:t xml:space="preserve">nguồn lực</w:t>
      </w:r>
      <w:r>
        <w:t xml:space="preserve"> (resources), </w:t>
      </w:r>
      <w:r>
        <w:rPr>
          <w:b/>
          <w:bCs/>
        </w:rPr>
        <w:t xml:space="preserve">mức chính thức hóa</w:t>
      </w:r>
      <w:r>
        <w:t xml:space="preserve"> (formalization).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6"/>
        <w:gridCol w:w="2958"/>
        <w:gridCol w:w="5154"/>
      </w:tblGrid>
      <w:tr>
        <w:trPr>
          <w:tblHeader/>
        </w:trPr>
        <w:tc>
          <w:tcPr>
            <w:tcW w:type="dxa" w:w="152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Khía cạnh</w:t>
            </w:r>
          </w:p>
        </w:tc>
        <w:tc>
          <w:tcPr>
            <w:tcW w:type="dxa" w:w="295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Sales</w:t>
            </w:r>
          </w:p>
        </w:tc>
        <w:tc>
          <w:tcPr>
            <w:tcW w:type="dxa" w:w="515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KAM</w:t>
            </w:r>
          </w:p>
        </w:tc>
      </w:tr>
      <w:tr>
        <w:trPr>
          <w:tblHeader w:val="off"/>
        </w:trPr>
        <w:tc>
          <w:tcPr>
            <w:tcW w:type="dxa" w:w="15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Mục tiêu</w:t>
            </w:r>
          </w:p>
        </w:tc>
        <w:tc>
          <w:tcPr>
            <w:tcW w:type="dxa" w:w="29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Chốt hợp đồng, doanh số kỳ này</w:t>
            </w:r>
          </w:p>
        </w:tc>
        <w:tc>
          <w:tcPr>
            <w:tcW w:type="dxa" w:w="51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trị dài hạn cho cả hai bên</w:t>
            </w:r>
          </w:p>
        </w:tc>
      </w:tr>
      <w:tr>
        <w:trPr>
          <w:tblHeader w:val="off"/>
        </w:trPr>
        <w:tc>
          <w:tcPr>
            <w:tcW w:type="dxa" w:w="15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Thời gian</w:t>
            </w:r>
          </w:p>
        </w:tc>
        <w:tc>
          <w:tcPr>
            <w:tcW w:type="dxa" w:w="29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Từng sự kiện, từng quý</w:t>
            </w:r>
          </w:p>
        </w:tc>
        <w:tc>
          <w:tcPr>
            <w:tcW w:type="dxa" w:w="51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năm (3–5 năm)</w:t>
            </w:r>
          </w:p>
        </w:tc>
      </w:tr>
      <w:tr>
        <w:trPr>
          <w:tblHeader w:val="off"/>
        </w:trPr>
        <w:tc>
          <w:tcPr>
            <w:tcW w:type="dxa" w:w="15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Hoạt động</w:t>
            </w:r>
          </w:p>
        </w:tc>
        <w:tc>
          <w:tcPr>
            <w:tcW w:type="dxa" w:w="29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Chào giá, đấu thầu, chăm sóc</w:t>
            </w:r>
          </w:p>
        </w:tc>
        <w:tc>
          <w:tcPr>
            <w:tcW w:type="dxa" w:w="51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Hiểu sâu khách hàng, lập kế hoạch riêng, đồng kiến tạo</w:t>
            </w:r>
          </w:p>
        </w:tc>
      </w:tr>
      <w:tr>
        <w:trPr>
          <w:tblHeader w:val="off"/>
        </w:trPr>
        <w:tc>
          <w:tcPr>
            <w:tcW w:type="dxa" w:w="15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tham gia</w:t>
            </w:r>
          </w:p>
        </w:tc>
        <w:tc>
          <w:tcPr>
            <w:tcW w:type="dxa" w:w="29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người bán với một người mua</w:t>
            </w:r>
          </w:p>
        </w:tc>
        <w:tc>
          <w:tcPr>
            <w:tcW w:type="dxa" w:w="51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Nhiều người, nhiều cấp ở cả hai bên</w:t>
            </w:r>
          </w:p>
        </w:tc>
      </w:tr>
      <w:tr>
        <w:trPr>
          <w:tblHeader w:val="off"/>
        </w:trPr>
        <w:tc>
          <w:tcPr>
            <w:tcW w:type="dxa" w:w="15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Nguồn lực</w:t>
            </w:r>
          </w:p>
        </w:tc>
        <w:tc>
          <w:tcPr>
            <w:tcW w:type="dxa" w:w="29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Dùng chung cho mọi khách</w:t>
            </w:r>
          </w:p>
        </w:tc>
        <w:tc>
          <w:tcPr>
            <w:tcW w:type="dxa" w:w="51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Dành riêng cho khách hàng này</w:t>
            </w:r>
          </w:p>
        </w:tc>
      </w:tr>
      <w:tr>
        <w:trPr>
          <w:tblHeader w:val="off"/>
        </w:trPr>
        <w:tc>
          <w:tcPr>
            <w:tcW w:type="dxa" w:w="15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Chính thức hóa</w:t>
            </w:r>
          </w:p>
        </w:tc>
        <w:tc>
          <w:tcPr>
            <w:tcW w:type="dxa" w:w="29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Tùy người</w:t>
            </w:r>
          </w:p>
        </w:tc>
        <w:tc>
          <w:tcPr>
            <w:tcW w:type="dxa" w:w="51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quy trình, kế hoạch, đánh giá định kỳ</w:t>
            </w:r>
          </w:p>
        </w:tc>
      </w:tr>
      <w:tr>
        <w:trPr>
          <w:tblHeader w:val="off"/>
        </w:trPr>
        <w:tc>
          <w:tcPr>
            <w:tcW w:type="dxa" w:w="15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Cách tạo giá trị</w:t>
            </w:r>
          </w:p>
        </w:tc>
        <w:tc>
          <w:tcPr>
            <w:tcW w:type="dxa" w:w="29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Dịch vụ tốt, giá tốt</w:t>
            </w:r>
          </w:p>
        </w:tc>
        <w:tc>
          <w:tcPr>
            <w:tcW w:type="dxa" w:w="51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Tạo lợi thế cho khách hàng và khách của họ</w:t>
            </w:r>
          </w:p>
        </w:tc>
      </w:tr>
    </w:tbl>
    <w:p>
      <w:pPr>
        <w:spacing w:after="80" w:before="0"/>
      </w:pPr>
    </w:p>
    <w:p>
      <w:pPr>
        <w:spacing w:after="120"/>
      </w:pPr>
      <w:r>
        <w:rPr>
          <w:i/>
          <w:iCs/>
        </w:rPr>
        <w:t xml:space="preserve">Ví dụ (giả định).</w:t>
      </w:r>
      <w:r>
        <w:t xml:space="preserve"> Cách Sales: mỗi năm chờ An Phát gửi brief gala, chào giá, giảm giá khi bị ép, làm xong thì chờ năm sau. Cách KAM: hiểu mục tiêu năm tới của An Phát (giữ khách doanh nghiệp tốt), đề xuất </w:t>
      </w:r>
      <w:r>
        <w:rPr>
          <w:b/>
          <w:bCs/>
        </w:rPr>
        <w:t xml:space="preserve">chương trình khách hàng cả năm</w:t>
      </w:r>
      <w:r>
        <w:t xml:space="preserve">, có đầu mối nhiều cấp, đánh giá chung sau mỗi sự kiện.</w:t>
      </w:r>
    </w:p>
    <w:p>
      <w:pPr>
        <w:spacing w:after="120"/>
      </w:pPr>
      <w:r>
        <w:rPr>
          <w:b/>
          <w:bCs/>
        </w:rPr>
        <w:t xml:space="preserve">Sales dừng ở chốt hợp đồng; KAM bắt đầu từ đó.</w:t>
      </w:r>
      <w:r>
        <w:t xml:space="preserve"> Theo vòng đời khách hàng (Buttle), bán hàng mạnh ở các bước tiếp cận, thu hút, chốt. KAM chịu trách nhiệm </w:t>
      </w:r>
      <w:r>
        <w:rPr>
          <w:b/>
          <w:bCs/>
        </w:rPr>
        <w:t xml:space="preserve">giữ chân và trung thành</w:t>
      </w:r>
      <w:r>
        <w:t xml:space="preserve">, và xa hơn là biến khách thành người giới thiệu. Drakeley (2022) nhấn mạnh một bước hay bị quên giữa “chốt” và “giữ chân”: </w:t>
      </w:r>
      <w:r>
        <w:rPr>
          <w:b/>
          <w:bCs/>
        </w:rPr>
        <w:t xml:space="preserve">giao dịch vụ</w:t>
      </w:r>
      <w:r>
        <w:t xml:space="preserve">.</w:t>
      </w:r>
    </w:p>
    <w:p>
      <w:pPr>
        <w:pStyle w:val="Heading1"/>
      </w:pPr>
      <w:r>
        <w:t xml:space="preserve">3. Lợi ích và cái giá của KAM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2"/>
        <w:gridCol w:w="5306"/>
      </w:tblGrid>
      <w:tr>
        <w:trPr>
          <w:tblHeader/>
        </w:trPr>
        <w:tc>
          <w:tcPr>
            <w:tcW w:type="dxa" w:w="433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Lợi ích cho agency</w:t>
            </w:r>
          </w:p>
        </w:tc>
        <w:tc>
          <w:tcPr>
            <w:tcW w:type="dxa" w:w="53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Lợi ích cho khách hàng</w:t>
            </w:r>
          </w:p>
        </w:tc>
      </w:tr>
      <w:tr>
        <w:trPr>
          <w:tblHeader w:val="off"/>
        </w:trPr>
        <w:tc>
          <w:tcPr>
            <w:tcW w:type="dxa" w:w="43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Hiểu khách hàng chiến lược, thành đối tác lâu dài</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đầu mối, thông tin tập trung và thống nhất</w:t>
            </w:r>
          </w:p>
        </w:tc>
      </w:tr>
      <w:tr>
        <w:trPr>
          <w:tblHeader w:val="off"/>
        </w:trPr>
        <w:tc>
          <w:tcPr>
            <w:tcW w:type="dxa" w:w="43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Nguồn thông tin thị trường giá trị</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Cùng xác định cơ hội và giải pháp</w:t>
            </w:r>
          </w:p>
        </w:tc>
      </w:tr>
      <w:tr>
        <w:trPr>
          <w:tblHeader w:val="off"/>
        </w:trPr>
        <w:tc>
          <w:tcPr>
            <w:tcW w:type="dxa" w:w="43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Giảm nguy cơ mất một khách hàng quan trọng</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 lâu dài có thể đem lại chi phí tốt hơn</w:t>
            </w:r>
          </w:p>
        </w:tc>
      </w:tr>
      <w:tr>
        <w:trPr>
          <w:tblHeader w:val="off"/>
        </w:trPr>
        <w:tc>
          <w:tcPr>
            <w:tcW w:type="dxa" w:w="43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Lợi thế cạnh tranh bền vững</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Năng lực cạnh tranh cao hơn nhờ quan hệ chặt với nhà cung cấp</w:t>
            </w:r>
          </w:p>
        </w:tc>
      </w:tr>
    </w:tbl>
    <w:p>
      <w:pPr>
        <w:spacing w:after="80" w:before="0"/>
      </w:pPr>
    </w:p>
    <w:p>
      <w:pPr>
        <w:spacing w:after="120"/>
      </w:pPr>
      <w:r>
        <w:t xml:space="preserve">KAM </w:t>
      </w:r>
      <w:r>
        <w:rPr>
          <w:b/>
          <w:bCs/>
        </w:rPr>
        <w:t xml:space="preserve">tốn kém</w:t>
      </w:r>
      <w:r>
        <w:t xml:space="preserve">: cần nhân sự chuyên trách, đào tạo, chỉ số hiệu suất theo khách hàng, văn hóa lấy khách hàng làm trung tâm. KAM khó biện minh khi dịch vụ đơn giản, thị trường bị hàng hóa hóa, khách dễ đổi nhà cung cấp, hoặc </w:t>
      </w:r>
      <w:r>
        <w:rPr>
          <w:b/>
          <w:bCs/>
        </w:rPr>
        <w:t xml:space="preserve">giá</w:t>
      </w:r>
      <w:r>
        <w:t xml:space="preserve"> là yếu tố quyết định.</w:t>
      </w:r>
    </w:p>
    <w:p>
      <w:pPr>
        <w:pStyle w:val="Heading1"/>
      </w:pPr>
      <w:r>
        <w:t xml:space="preserve">4. Vì sao phải chọn?</w:t>
      </w:r>
    </w:p>
    <w:p>
      <w:pPr>
        <w:spacing w:after="120"/>
      </w:pPr>
      <w:r>
        <w:t xml:space="preserve">“Một trong những cách nhanh nhất để phá sản là cố làm mọi khách hàng hài lòng tuyệt đối” (McDonald). Giáo trình so sánh Key Account với </w:t>
      </w:r>
      <w:r>
        <w:rPr>
          <w:b/>
          <w:bCs/>
        </w:rPr>
        <w:t xml:space="preserve">bạn thân</w:t>
      </w:r>
      <w:r>
        <w:t xml:space="preserve">: không ai có một trăm người bạn thân. Phải chọn theo tiềm năng lợi nhuận (khoảng 3 năm) và thế mạnh cạnh tranh của chính mình.</w:t>
      </w:r>
    </w:p>
    <w:p>
      <w:pPr>
        <w:spacing w:after="120"/>
      </w:pPr>
      <w:r>
        <w:rPr>
          <w:i/>
          <w:iCs/>
        </w:rPr>
        <w:t xml:space="preserve">Tình huống trong giáo trình:</w:t>
      </w:r>
      <w:r>
        <w:t xml:space="preserve"> một công ty chế biến gỗ để 17 nhân viên kinh doanh tự chọn Key Account và nhận về 60 “Key Account”, mỗi người một lý do. Bài học: lãnh đạo cần đặt </w:t>
      </w:r>
      <w:r>
        <w:rPr>
          <w:b/>
          <w:bCs/>
        </w:rPr>
        <w:t xml:space="preserve">một quy trình và một bộ tiêu chí chung</w:t>
      </w:r>
      <w:r>
        <w:t xml:space="preserve">.</w:t>
      </w:r>
    </w:p>
    <w:p>
      <w:pPr>
        <w:pStyle w:val="Heading1"/>
      </w:pPr>
      <w:r>
        <w:t xml:space="preserve">5. Ba câu hỏi để chọn Key Account (khung của nhóm Cranfield)</w:t>
      </w:r>
    </w:p>
    <w:p>
      <w:pPr>
        <w:pStyle w:val="ListParagraph"/>
        <w:numPr>
          <w:ilvl w:val="0"/>
          <w:numId w:val="4"/>
        </w:numPr>
        <w:spacing w:after="60"/>
      </w:pPr>
      <w:r>
        <w:rPr>
          <w:b/>
          <w:bCs/>
        </w:rPr>
        <w:t xml:space="preserve">Khách hàng này có hấp dẫn không?</w:t>
      </w:r>
      <w:r>
        <w:t xml:space="preserve"> (customer attractiveness)</w:t>
      </w:r>
    </w:p>
    <w:p>
      <w:pPr>
        <w:pStyle w:val="ListParagraph"/>
        <w:numPr>
          <w:ilvl w:val="0"/>
          <w:numId w:val="4"/>
        </w:numPr>
        <w:spacing w:after="60"/>
      </w:pPr>
      <w:r>
        <w:rPr>
          <w:b/>
          <w:bCs/>
        </w:rPr>
        <w:t xml:space="preserve">Agency có vị thế cạnh tranh mạnh với khách hàng này không?</w:t>
      </w:r>
      <w:r>
        <w:t xml:space="preserve"> (supplier’s competitive position)</w:t>
      </w:r>
    </w:p>
    <w:p>
      <w:pPr>
        <w:pStyle w:val="ListParagraph"/>
        <w:numPr>
          <w:ilvl w:val="0"/>
          <w:numId w:val="4"/>
        </w:numPr>
        <w:spacing w:after="60"/>
      </w:pPr>
      <w:r>
        <w:rPr>
          <w:b/>
          <w:bCs/>
        </w:rPr>
        <w:t xml:space="preserve">Khách hàng có sẵn lòng cùng đầu tư vào quan hệ đối tác với ta không?</w:t>
      </w:r>
      <w:r>
        <w:t xml:space="preserve"> (willingness to co-invest)</w:t>
      </w:r>
    </w:p>
    <w:p>
      <w:pPr>
        <w:spacing w:after="120"/>
      </w:pPr>
      <w:r>
        <w:t xml:space="preserve">Hai câu đầu điều chỉnh từ ma trận GE–McKinsey: trục dọc là sức hấp dẫn, trục ngang là vị thế cạnh tranh. Câu thứ ba thể hiện bằng </w:t>
      </w:r>
      <w:r>
        <w:rPr>
          <w:b/>
          <w:bCs/>
        </w:rPr>
        <w:t xml:space="preserve">kích thước vòng tròn</w:t>
      </w:r>
      <w:r>
        <w:t xml:space="preserve"> của mỗi ứng viên trên ma trận.</w:t>
      </w:r>
    </w:p>
    <w:p>
      <w:pPr>
        <w:pStyle w:val="Heading2"/>
      </w:pPr>
      <w:r>
        <w:t xml:space="preserve">Sức hấp dẫn của khách hàng</w:t>
      </w:r>
    </w:p>
    <w:p>
      <w:pPr>
        <w:spacing w:after="120"/>
      </w:pPr>
      <w:r>
        <w:t xml:space="preserve">Chọn </w:t>
      </w:r>
      <w:r>
        <w:rPr>
          <w:b/>
          <w:bCs/>
        </w:rPr>
        <w:t xml:space="preserve">4–7 yếu tố</w:t>
      </w:r>
      <w:r>
        <w:t xml:space="preserve">, cân bằng giữa định lượng và định tính, giữa hiện tại và tương lai.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4193"/>
        <w:gridCol w:w="4415"/>
      </w:tblGrid>
      <w:tr>
        <w:trPr>
          <w:tblHeader/>
        </w:trPr>
        <w:tc>
          <w:tcPr>
            <w:tcW w:type="dxa" w:w="103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41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Hiện tại</w:t>
            </w:r>
          </w:p>
        </w:tc>
        <w:tc>
          <w:tcPr>
            <w:tcW w:type="dxa" w:w="441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Tương lai</w:t>
            </w:r>
          </w:p>
        </w:tc>
      </w:tr>
      <w:tr>
        <w:trPr>
          <w:tblHeader w:val="off"/>
        </w:trPr>
        <w:tc>
          <w:tcPr>
            <w:tcW w:type="dxa" w:w="10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lượng</w:t>
            </w:r>
          </w:p>
        </w:tc>
        <w:tc>
          <w:tcPr>
            <w:tcW w:type="dxa" w:w="41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Doanh thu, lợi nhuận, độ ổn định nhu cầu, chi phí phục vụ</w:t>
            </w:r>
          </w:p>
        </w:tc>
        <w:tc>
          <w:tcPr>
            <w:tcW w:type="dxa" w:w="4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Tiềm năng tăng trưởng, biên lợi nhuận tương lai, giá trị vòng đời</w:t>
            </w:r>
          </w:p>
        </w:tc>
      </w:tr>
      <w:tr>
        <w:trPr>
          <w:tblHeader w:val="off"/>
        </w:trPr>
        <w:tc>
          <w:tcPr>
            <w:tcW w:type="dxa" w:w="10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Định tính</w:t>
            </w:r>
          </w:p>
        </w:tc>
        <w:tc>
          <w:tcPr>
            <w:tcW w:type="dxa" w:w="41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Chất lượng quan hệ, niềm tin, uy tín</w:t>
            </w:r>
          </w:p>
        </w:tc>
        <w:tc>
          <w:tcPr>
            <w:tcW w:type="dxa" w:w="44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Phù hợp chiến lược, văn hóa, định hướng hợp tác</w:t>
            </w:r>
          </w:p>
        </w:tc>
      </w:tr>
    </w:tbl>
    <w:p>
      <w:pPr>
        <w:spacing w:after="80" w:before="0"/>
      </w:pPr>
    </w:p>
    <w:p>
      <w:pPr>
        <w:pStyle w:val="Heading2"/>
      </w:pPr>
      <w:r>
        <w:t xml:space="preserve">Vị thế cạnh tranh của agency</w:t>
      </w:r>
    </w:p>
    <w:p>
      <w:pPr>
        <w:spacing w:after="120"/>
      </w:pPr>
      <w:r>
        <w:t xml:space="preserve">Nhìn </w:t>
      </w:r>
      <w:r>
        <w:rPr>
          <w:b/>
          <w:bCs/>
        </w:rPr>
        <w:t xml:space="preserve">từ phía khách hàng</w:t>
      </w:r>
      <w:r>
        <w:t xml:space="preserve">: so với đối thủ, ta mạnh hơn ở đâu? Gợi ý: hiểu biết về khách hàng, uy tín, mức độ gần với người ra quyết định, khả năng đáp ứng yêu cầu dịch vụ, chuyên môn. Dùng dữ liệu khách quan và góc nhìn bên ngoài, vì rất khó tự đánh giá mình.</w:t>
      </w:r>
    </w:p>
    <w:p>
      <w:pPr>
        <w:pStyle w:val="Heading2"/>
      </w:pPr>
      <w:r>
        <w:t xml:space="preserve">Chấm có trọng số</w:t>
      </w:r>
    </w:p>
    <w:p>
      <w:pPr>
        <w:spacing w:after="120"/>
      </w:pPr>
      <w:r>
        <w:t xml:space="preserve">Mỗi yếu tố có trọng số (tổng 100%), chấm điểm từng yếu tố, nhân rồi cộng. </w:t>
      </w:r>
      <w:r>
        <w:rPr>
          <w:b/>
          <w:bCs/>
        </w:rPr>
        <w:t xml:space="preserve">Mỗi điểm phải có một bằng chứng.</w:t>
      </w:r>
    </w:p>
    <w:p>
      <w:pPr>
        <w:spacing w:after="120"/>
      </w:pPr>
      <w:r>
        <w:rPr>
          <w:i/>
          <w:iCs/>
        </w:rPr>
        <w:t xml:space="preserve">Ví dụ (giả định): vị thế của Nova với An Phát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803"/>
        <w:gridCol w:w="1003"/>
        <w:gridCol w:w="4620"/>
      </w:tblGrid>
      <w:tr>
        <w:trPr>
          <w:tblHeader/>
        </w:trPr>
        <w:tc>
          <w:tcPr>
            <w:tcW w:type="dxa" w:w="321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Yếu tố</w:t>
            </w:r>
          </w:p>
        </w:tc>
        <w:tc>
          <w:tcPr>
            <w:tcW w:type="dxa" w:w="80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Trọng số</w:t>
            </w:r>
          </w:p>
        </w:tc>
        <w:tc>
          <w:tcPr>
            <w:tcW w:type="dxa" w:w="100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(1–5)</w:t>
            </w:r>
          </w:p>
        </w:tc>
        <w:tc>
          <w:tcPr>
            <w:tcW w:type="dxa" w:w="462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Bằng chứng</w:t>
            </w:r>
          </w:p>
        </w:tc>
      </w:tr>
      <w:tr>
        <w:trPr>
          <w:tblHeader w:val="off"/>
        </w:trPr>
        <w:tc>
          <w:tcPr>
            <w:tcW w:type="dxa" w:w="3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Hiểu biết về An Phát</w:t>
            </w:r>
          </w:p>
        </w:tc>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w:t>
            </w:r>
          </w:p>
        </w:tc>
        <w:tc>
          <w:tcPr>
            <w:tcW w:type="dxa" w:w="10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6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Bốn năm làm gala, biết khách VIP của ngân hàng</w:t>
            </w:r>
          </w:p>
        </w:tc>
      </w:tr>
      <w:tr>
        <w:trPr>
          <w:tblHeader w:val="off"/>
        </w:trPr>
        <w:tc>
          <w:tcPr>
            <w:tcW w:type="dxa" w:w="3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Gần người ra quyết định</w:t>
            </w:r>
          </w:p>
        </w:tc>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w:t>
            </w:r>
          </w:p>
        </w:tc>
        <w:tc>
          <w:tcPr>
            <w:tcW w:type="dxa" w:w="10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6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Chỉ quen hai người</w:t>
            </w:r>
          </w:p>
        </w:tc>
      </w:tr>
      <w:tr>
        <w:trPr>
          <w:tblHeader w:val="off"/>
        </w:trPr>
        <w:tc>
          <w:tcPr>
            <w:tcW w:type="dxa" w:w="3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quả sự kiện đã làm</w:t>
            </w:r>
          </w:p>
        </w:tc>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10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6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Phản hồi tốt các năm trước</w:t>
            </w:r>
          </w:p>
        </w:tc>
      </w:tr>
      <w:tr>
        <w:trPr>
          <w:tblHeader w:val="off"/>
        </w:trPr>
        <w:tc>
          <w:tcPr>
            <w:tcW w:type="dxa" w:w="3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Năng lực làm chương trình cả năm</w:t>
            </w:r>
          </w:p>
        </w:tc>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10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6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Mới làm sự kiện đơn lẻ</w:t>
            </w:r>
          </w:p>
        </w:tc>
      </w:tr>
      <w:tr>
        <w:trPr>
          <w:tblHeader w:val="off"/>
        </w:trPr>
        <w:tc>
          <w:tcPr>
            <w:tcW w:type="dxa" w:w="3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w:t>
            </w:r>
          </w:p>
        </w:tc>
        <w:tc>
          <w:tcPr>
            <w:tcW w:type="dxa" w:w="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0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3,2/5</w:t>
            </w:r>
          </w:p>
        </w:tc>
        <w:tc>
          <w:tcPr>
            <w:tcW w:type="dxa" w:w="46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Vị thế khá; điểm yếu: quan hệ quá ít đầu mối</w:t>
            </w:r>
          </w:p>
        </w:tc>
      </w:tr>
    </w:tbl>
    <w:p>
      <w:pPr>
        <w:spacing w:after="80" w:before="0"/>
      </w:pPr>
    </w:p>
    <w:p>
      <w:pPr>
        <w:pStyle w:val="Heading2"/>
      </w:pPr>
      <w:r>
        <w:t xml:space="preserve">Câu thứ ba: “Choose me and I will choose you”</w:t>
      </w:r>
    </w:p>
    <w:p>
      <w:pPr>
        <w:spacing w:after="120"/>
      </w:pPr>
      <w:r>
        <w:t xml:space="preserve">Đây là tiêu chí mới nhất của nhóm Cranfield (Guesalaga): KAM hiệu quả cần cùng sáng tạo, cùng phát triển, cùng đầu tư. Với agency sự kiện, khách hàng muốn cùng đầu tư thường có bốn biểu hiện quan sát được:</w:t>
      </w:r>
    </w:p>
    <w:p>
      <w:pPr>
        <w:pStyle w:val="ListParagraph"/>
        <w:numPr>
          <w:ilvl w:val="0"/>
          <w:numId w:val="3"/>
        </w:numPr>
        <w:spacing w:after="60"/>
      </w:pPr>
      <w:r>
        <w:t xml:space="preserve">chấp nhận </w:t>
      </w:r>
      <w:r>
        <w:rPr>
          <w:b/>
          <w:bCs/>
        </w:rPr>
        <w:t xml:space="preserve">hợp đồng khung nhiều năm</w:t>
      </w:r>
      <w:r>
        <w:t xml:space="preserve"> thay vì đấu thầu từng sự kiện;</w:t>
      </w:r>
    </w:p>
    <w:p>
      <w:pPr>
        <w:pStyle w:val="ListParagraph"/>
        <w:numPr>
          <w:ilvl w:val="0"/>
          <w:numId w:val="3"/>
        </w:numPr>
        <w:spacing w:after="60"/>
      </w:pPr>
      <w:r>
        <w:rPr>
          <w:b/>
          <w:bCs/>
        </w:rPr>
        <w:t xml:space="preserve">chia sẻ thông tin</w:t>
      </w:r>
      <w:r>
        <w:t xml:space="preserve">: mục tiêu kinh doanh, dữ liệu khách mời, kết quả sau sự kiện;</w:t>
      </w:r>
    </w:p>
    <w:p>
      <w:pPr>
        <w:pStyle w:val="ListParagraph"/>
        <w:numPr>
          <w:ilvl w:val="0"/>
          <w:numId w:val="3"/>
        </w:numPr>
        <w:spacing w:after="60"/>
      </w:pPr>
      <w:r>
        <w:t xml:space="preserve">cử </w:t>
      </w:r>
      <w:r>
        <w:rPr>
          <w:b/>
          <w:bCs/>
        </w:rPr>
        <w:t xml:space="preserve">đầu mối cấp cao</w:t>
      </w:r>
      <w:r>
        <w:t xml:space="preserve">, mời agency vào họp kế hoạch năm;</w:t>
      </w:r>
    </w:p>
    <w:p>
      <w:pPr>
        <w:pStyle w:val="ListParagraph"/>
        <w:numPr>
          <w:ilvl w:val="0"/>
          <w:numId w:val="3"/>
        </w:numPr>
        <w:spacing w:after="60"/>
      </w:pPr>
      <w:r>
        <w:t xml:space="preserve">chấp nhận </w:t>
      </w:r>
      <w:r>
        <w:rPr>
          <w:b/>
          <w:bCs/>
        </w:rPr>
        <w:t xml:space="preserve">thí điểm cùng làm</w:t>
      </w:r>
      <w:r>
        <w:t xml:space="preserve">, chia chi phí và rủi ro.</w:t>
      </w:r>
    </w:p>
    <w:p>
      <w:pPr>
        <w:pStyle w:val="Heading1"/>
      </w:pPr>
      <w:r>
        <w:t xml:space="preserve">6. Không chọn không có nghĩa là bỏ</w:t>
      </w:r>
    </w:p>
    <w:p>
      <w:pPr>
        <w:spacing w:after="120"/>
      </w:pPr>
      <w:r>
        <w:t xml:space="preserve">Khách hàng không phải Key Account vẫn được phục vụ tốt và có lời, nhưng theo quy trình chuẩn, ít nguồn lực riêng. Việc chọn Key Account phải được </w:t>
      </w:r>
      <w:r>
        <w:rPr>
          <w:b/>
          <w:bCs/>
        </w:rPr>
        <w:t xml:space="preserve">xét lại định kỳ</w:t>
      </w:r>
      <w:r>
        <w:t xml:space="preserve">, nên do một nhóm liên chức năng cùng làm.</w:t>
      </w:r>
    </w:p>
    <w:p>
      <w:pPr>
        <w:spacing w:after="120"/>
      </w:pPr>
      <w:r>
        <w:rPr>
          <w:i/>
          <w:iCs/>
        </w:rPr>
        <w:t xml:space="preserve">Bài học từ thực tế (Drakeley, 2022):</w:t>
      </w:r>
      <w:r>
        <w:t xml:space="preserve"> một agency ở Anh thắng thầu 15 sự kiện trong 12 tháng. Khách hàng mở rộng phạm vi trong cùng ngân sách và không cho agency điều chỉnh. Kết quả: gần như không có lợi nhuận, đội ngũ kiệt sức, hết dự án là hết quan hệ. Thắng thầu chưa chắc là thắng.</w:t>
      </w: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2"/>
        <w:gridCol w:w="4986"/>
      </w:tblGrid>
      <w:tr>
        <w:trPr>
          <w:tblHeader/>
        </w:trPr>
        <w:tc>
          <w:tcPr>
            <w:tcW w:type="dxa" w:w="465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498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Key Account Management (KAM)</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khách hàng trọng yếu</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Customer attractiveness</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Sức hấp dẫn của khách hàng</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Competitive position</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Vị thế cạnh tranh (của agency)</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Co-investment</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đầu tư</w:t>
            </w:r>
          </w:p>
        </w:tc>
      </w:tr>
      <w:tr>
        <w:trPr>
          <w:tblHeader w:val="off"/>
        </w:trPr>
        <w:tc>
          <w:tcPr>
            <w:tcW w:type="dxa" w:w="46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Weighted scoring</w:t>
            </w:r>
          </w:p>
        </w:tc>
        <w:tc>
          <w:tcPr>
            <w:tcW w:type="dxa" w:w="49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Chấm điểm có trọng số</w:t>
            </w:r>
          </w:p>
        </w:tc>
      </w:tr>
    </w:tbl>
    <w:p>
      <w:pPr>
        <w:spacing w:after="80" w:before="0"/>
      </w:pPr>
    </w:p>
    <w:p>
      <w:pPr>
        <w:pStyle w:val="Heading1"/>
      </w:pPr>
      <w:r>
        <w:t xml:space="preserve">Lỗi thường gặp</w:t>
      </w:r>
    </w:p>
    <w:p>
      <w:pPr>
        <w:pStyle w:val="ListParagraph"/>
        <w:numPr>
          <w:ilvl w:val="0"/>
          <w:numId w:val="3"/>
        </w:numPr>
        <w:spacing w:after="60"/>
      </w:pPr>
      <w:r>
        <w:t xml:space="preserve">Coi Key Account là khách hàng </w:t>
      </w:r>
      <w:r>
        <w:rPr>
          <w:b/>
          <w:bCs/>
        </w:rPr>
        <w:t xml:space="preserve">mang doanh thu lớn nhất</w:t>
      </w:r>
      <w:r>
        <w:t xml:space="preserve">.</w:t>
      </w:r>
    </w:p>
    <w:p>
      <w:pPr>
        <w:pStyle w:val="ListParagraph"/>
        <w:numPr>
          <w:ilvl w:val="0"/>
          <w:numId w:val="3"/>
        </w:numPr>
        <w:spacing w:after="60"/>
      </w:pPr>
      <w:r>
        <w:t xml:space="preserve">Để mỗi người tự chọn Key Account theo lý do riêng.</w:t>
      </w:r>
    </w:p>
    <w:p>
      <w:pPr>
        <w:pStyle w:val="ListParagraph"/>
        <w:numPr>
          <w:ilvl w:val="0"/>
          <w:numId w:val="3"/>
        </w:numPr>
        <w:spacing w:after="60"/>
      </w:pPr>
      <w:r>
        <w:t xml:space="preserve">Chấm điểm không có bằng chứng, hoặc quên hỏi khách hàng có muốn chọn ta không.</w:t>
      </w:r>
    </w:p>
    <w:p>
      <w:pPr>
        <w:pStyle w:val="ListParagraph"/>
        <w:numPr>
          <w:ilvl w:val="0"/>
          <w:numId w:val="3"/>
        </w:numPr>
        <w:spacing w:after="60"/>
      </w:pPr>
      <w:r>
        <w:t xml:space="preserve">Hiểu KAM là chiều khách hoặc chăm VIP kỹ hơn. KAM là một cách vận hành quan hệ có kế hoạch, hướng tới lợi ích hai phía.</w:t>
      </w:r>
    </w:p>
    <w:p>
      <w:pPr>
        <w:pStyle w:val="Heading1"/>
      </w:pPr>
      <w:r>
        <w:t xml:space="preserve">Liên hệ với kế hoạch cuối kỳ (SMP)</w:t>
      </w:r>
    </w:p>
    <w:p>
      <w:pPr>
        <w:spacing w:after="120"/>
      </w:pPr>
      <w:r>
        <w:t xml:space="preserve">Với khách hàng từ dự án cũ, nhóm viết một đoạn: khách hàng đạt ba tiêu chí đến đâu, với bằng chứng nào, và vì sao chọn làm Key Account. Nội dung này thuộc </w:t>
      </w:r>
      <w:r>
        <w:rPr>
          <w:b/>
          <w:bCs/>
        </w:rPr>
        <w:t xml:space="preserve">phần B (Value Opportunities)</w:t>
      </w:r>
      <w:r>
        <w:t xml:space="preserve"> của SMP.</w:t>
      </w:r>
    </w:p>
    <w:p>
      <w:pPr>
        <w:pStyle w:val="Heading1"/>
      </w:pPr>
      <w:r>
        <w:t xml:space="preserve">Câu hỏi tự ôn</w:t>
      </w:r>
    </w:p>
    <w:p>
      <w:pPr>
        <w:pStyle w:val="ListParagraph"/>
        <w:numPr>
          <w:ilvl w:val="0"/>
          <w:numId w:val="5"/>
        </w:numPr>
        <w:spacing w:after="60"/>
      </w:pPr>
      <w:r>
        <w:t xml:space="preserve">Nêu ba khác biệt giữa Sales và KAM, mỗi khác biệt kèm một ví dụ trong ngành sự kiện.</w:t>
      </w:r>
    </w:p>
    <w:p>
      <w:pPr>
        <w:pStyle w:val="ListParagraph"/>
        <w:numPr>
          <w:ilvl w:val="0"/>
          <w:numId w:val="5"/>
        </w:numPr>
        <w:spacing w:after="60"/>
      </w:pPr>
      <w:r>
        <w:t xml:space="preserve">Một khách hàng mang doanh thu lớn nhất nhưng đấu thầu từng sự kiện, trả tiền chậm và năm nào cũng đổi agency. Họ có phải Key Account? Lập luận theo ba tiêu chí.</w:t>
      </w:r>
    </w:p>
    <w:p>
      <w:pPr>
        <w:pStyle w:val="ListParagraph"/>
        <w:numPr>
          <w:ilvl w:val="0"/>
          <w:numId w:val="5"/>
        </w:numPr>
        <w:spacing w:after="60"/>
      </w:pPr>
      <w:r>
        <w:t xml:space="preserve">Vì sao tiêu chí “sẵn sàng đồng đầu tư” được hỏi từ phía khách hàng? Nêu hai dấu hiệu bạn có thể quan sát.</w:t>
      </w:r>
    </w:p>
    <w:p>
      <w:pPr>
        <w:pStyle w:val="ListParagraph"/>
        <w:numPr>
          <w:ilvl w:val="0"/>
          <w:numId w:val="5"/>
        </w:numPr>
        <w:spacing w:after="60"/>
      </w:pPr>
      <w:r>
        <w:t xml:space="preserve">Một ứng viên hấp dẫn và muốn đồng đầu tư, nhưng agency chưa đủ năng lực. Agency có những lựa chọn nào?</w:t>
      </w:r>
    </w:p>
    <w:p>
      <w:pPr>
        <w:pStyle w:val="Heading1"/>
      </w:pPr>
      <w:r>
        <w:t xml:space="preserve">Tài liệu tham khảo</w:t>
      </w:r>
    </w:p>
    <w:p>
      <w:pPr>
        <w:pStyle w:val="ListParagraph"/>
        <w:numPr>
          <w:ilvl w:val="0"/>
          <w:numId w:val="3"/>
        </w:numPr>
        <w:spacing w:after="60"/>
      </w:pPr>
      <w:r>
        <w:t xml:space="preserve">Drakeley, C. (2022). </w:t>
      </w:r>
      <w:r>
        <w:rPr>
          <w:i/>
          <w:iCs/>
        </w:rPr>
        <w:t xml:space="preserve">Managing event stakeholders: Expect the unexpected</w:t>
      </w:r>
      <w:r>
        <w:t xml:space="preserve"> [Chương sách].</w:t>
      </w:r>
    </w:p>
    <w:p>
      <w:pPr>
        <w:pStyle w:val="ListParagraph"/>
        <w:numPr>
          <w:ilvl w:val="0"/>
          <w:numId w:val="3"/>
        </w:numPr>
        <w:spacing w:after="60"/>
      </w:pPr>
      <w:r>
        <w:t xml:space="preserve">Guesalaga, R. (n.d.). </w:t>
      </w:r>
      <w:r>
        <w:rPr>
          <w:i/>
          <w:iCs/>
        </w:rPr>
        <w:t xml:space="preserve">Adopting key account management – Choose me and I will choose you</w:t>
      </w:r>
      <w:r>
        <w:t xml:space="preserve">. Cranfield School of Management Executive Development Blog.</w:t>
      </w:r>
    </w:p>
    <w:p>
      <w:pPr>
        <w:pStyle w:val="ListParagraph"/>
        <w:numPr>
          <w:ilvl w:val="0"/>
          <w:numId w:val="3"/>
        </w:numPr>
        <w:spacing w:after="60"/>
      </w:pPr>
      <w:r>
        <w:t xml:space="preserve">Homburg, C., Workman, J. P., Jr., &amp; Jensen, O. (2002). A configurational perspective on key account management. </w:t>
      </w:r>
      <w:r>
        <w:rPr>
          <w:i/>
          <w:iCs/>
        </w:rPr>
        <w:t xml:space="preserve">Journal of Marketing, 66</w:t>
      </w:r>
      <w:r>
        <w:t xml:space="preserve">(2), 38–60.</w:t>
      </w:r>
    </w:p>
    <w:p>
      <w:pPr>
        <w:pStyle w:val="ListParagraph"/>
        <w:numPr>
          <w:ilvl w:val="0"/>
          <w:numId w:val="3"/>
        </w:numPr>
        <w:spacing w:after="60"/>
      </w:pPr>
      <w:r>
        <w:t xml:space="preserve">Marcos, J., Davies, M., Guesalaga, R., &amp; Holt, S. (2018). </w:t>
      </w:r>
      <w:r>
        <w:rPr>
          <w:i/>
          <w:iCs/>
        </w:rPr>
        <w:t xml:space="preserve">Implementing key account management: Designing customer-centric processes for mutual growth</w:t>
      </w:r>
      <w:r>
        <w:t xml:space="preserve">. Kogan Page.</w:t>
      </w:r>
    </w:p>
    <w:p>
      <w:pPr>
        <w:pStyle w:val="ListParagraph"/>
        <w:numPr>
          <w:ilvl w:val="0"/>
          <w:numId w:val="3"/>
        </w:numPr>
        <w:spacing w:after="60"/>
      </w:pPr>
      <w:r>
        <w:t xml:space="preserve">McDonald, M. (n.d.). </w:t>
      </w:r>
      <w:r>
        <w:rPr>
          <w:i/>
          <w:iCs/>
        </w:rPr>
        <w:t xml:space="preserve">Why many companies get key account management hopelessly wrong</w:t>
      </w:r>
      <w:r>
        <w:t xml:space="preserve">. Cranfield School of Management Executive Development Blog.</w:t>
      </w:r>
    </w:p>
    <w:p>
      <w:pPr>
        <w:pStyle w:val="ListParagraph"/>
        <w:numPr>
          <w:ilvl w:val="0"/>
          <w:numId w:val="3"/>
        </w:numPr>
        <w:spacing w:after="60"/>
      </w:pPr>
      <w:r>
        <w:t xml:space="preserve">McDonald, M., Millman, T., &amp; Rogers, B. (1997). Key account management: Theory, practice and challenges. </w:t>
      </w:r>
      <w:r>
        <w:rPr>
          <w:i/>
          <w:iCs/>
        </w:rPr>
        <w:t xml:space="preserve">Journal of Marketing Management, 13</w:t>
      </w:r>
      <w:r>
        <w:t xml:space="preserve">(8), 737–757.</w:t>
      </w:r>
    </w:p>
    <w:p>
      <w:pPr>
        <w:pStyle w:val="ListParagraph"/>
        <w:numPr>
          <w:ilvl w:val="0"/>
          <w:numId w:val="3"/>
        </w:numPr>
        <w:spacing w:after="60"/>
      </w:pPr>
      <w:r>
        <w:t xml:space="preserve">Millman, T., &amp; Wilson, K. (1995). From key account selling to key account management. </w:t>
      </w:r>
      <w:r>
        <w:rPr>
          <w:i/>
          <w:iCs/>
        </w:rPr>
        <w:t xml:space="preserve">Journal of Marketing Practice: Applied Marketing Science, 1</w:t>
      </w:r>
      <w:r>
        <w:t xml:space="preserve">(1), 9–21.</w:t>
      </w:r>
    </w:p>
    <w:p>
      <w:pPr>
        <w:pStyle w:val="ListParagraph"/>
        <w:numPr>
          <w:ilvl w:val="0"/>
          <w:numId w:val="3"/>
        </w:numPr>
        <w:spacing w:after="60"/>
      </w:pPr>
      <w:r>
        <w:t xml:space="preserve">Trần Nguyễn Huỳnh Như. (2023). </w:t>
      </w:r>
      <w:r>
        <w:rPr>
          <w:i/>
          <w:iCs/>
        </w:rPr>
        <w:t xml:space="preserve">Chương 1: Tổng quan về quản lý khách hàng trong sự kiện</w:t>
      </w:r>
      <w:r>
        <w:t xml:space="preserve"> [Slide bài giảng].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2: Tư duy KAM và chọn Key Account</dc:title>
  <dc:creator>EVM1110E</dc:creator>
  <cp:lastModifiedBy>Un-named</cp:lastModifiedBy>
  <cp:revision>1</cp:revision>
  <dcterms:created xsi:type="dcterms:W3CDTF">2026-10-05T01:39:11.947Z</dcterms:created>
  <dcterms:modified xsi:type="dcterms:W3CDTF">2026-10-05T01:39:11.947Z</dcterms:modified>
</cp:coreProperties>
</file>

<file path=docProps/custom.xml><?xml version="1.0" encoding="utf-8"?>
<Properties xmlns="http://schemas.openxmlformats.org/officeDocument/2006/custom-properties" xmlns:vt="http://schemas.openxmlformats.org/officeDocument/2006/docPropsVTypes"/>
</file>