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Buổi 3: Hiểu khách hàng và hành trình khách hàng</w:t>
      </w:r>
    </w:p>
    <w:p>
      <w:pPr>
        <w:pBdr>
          <w:bottom w:val="single" w:color="2E8B74" w:sz="8" w:space="6"/>
        </w:pBdr>
        <w:spacing w:after="240"/>
      </w:pPr>
      <w:r>
        <w:rPr>
          <w:color w:val="5A6478"/>
          <w:sz w:val="21"/>
          <w:szCs w:val="21"/>
        </w:rPr>
        <w:t xml:space="preserve">EVM1110E Quản trị mối quan hệ trong tổ chức sự kiện · Tài liệu tóm tắt kiến thức trọng tâm</w:t>
      </w:r>
    </w:p>
    <w:p>
      <w:pPr>
        <w:pBdr>
          <w:left w:val="single" w:color="2E8B74" w:sz="18" w:space="8"/>
        </w:pBdr>
        <w:shd w:fill="E8F4F0" w:color="auto" w:val="clear"/>
        <w:spacing w:after="160" w:before="80"/>
        <w:ind w:left="200" w:right="100"/>
      </w:pPr>
      <w:r>
        <w:rPr>
          <w:color w:val="333F55"/>
          <w:sz w:val="20"/>
          <w:szCs w:val="20"/>
        </w:rPr>
        <w:t xml:space="preserve">Tài liệu này giúp bạn ôn lại những ý chính của buổi học. Nó không thay thế việc tham dự lớp. Các tên “Nova Events”, “Ngân hàng An Phát” và nhân vật trong ví dụ là tình huống giả định của môn học; mọi con số trong tình huống đều là giả định, trừ khi ghi rõ nguồn.</w:t>
      </w:r>
    </w:p>
    <w:p>
      <w:pPr>
        <w:pStyle w:val="Heading1"/>
      </w:pPr>
      <w:r>
        <w:t xml:space="preserve">Sau buổi này, bạn cần nắm được</w:t>
      </w:r>
    </w:p>
    <w:p>
      <w:pPr>
        <w:pStyle w:val="ListParagraph"/>
        <w:numPr>
          <w:ilvl w:val="0"/>
          <w:numId w:val="2"/>
        </w:numPr>
        <w:spacing w:after="60"/>
      </w:pPr>
      <w:r>
        <w:t xml:space="preserve">Cách phân tích PESTEL và đối thủ </w:t>
      </w:r>
      <w:r>
        <w:rPr>
          <w:b/>
          <w:bCs/>
        </w:rPr>
        <w:t xml:space="preserve">của Key Account</w:t>
      </w:r>
      <w:r>
        <w:t xml:space="preserve"> để rút ra nhu cầu của họ.</w:t>
      </w:r>
    </w:p>
    <w:p>
      <w:pPr>
        <w:pStyle w:val="ListParagraph"/>
        <w:numPr>
          <w:ilvl w:val="0"/>
          <w:numId w:val="2"/>
        </w:numPr>
        <w:spacing w:after="60"/>
      </w:pPr>
      <w:r>
        <w:t xml:space="preserve">Cách vẽ hành trình khách hàng ba giai đoạn và phân loại bốn loại điểm chạm.</w:t>
      </w:r>
    </w:p>
    <w:p>
      <w:pPr>
        <w:pStyle w:val="ListParagraph"/>
        <w:numPr>
          <w:ilvl w:val="0"/>
          <w:numId w:val="2"/>
        </w:numPr>
        <w:spacing w:after="60"/>
      </w:pPr>
      <w:r>
        <w:t xml:space="preserve">Cách phân tích nhóm ra quyết định (DMU) của Key Account bằng GRASP.</w:t>
      </w:r>
    </w:p>
    <w:p>
      <w:pPr>
        <w:pStyle w:val="Heading1"/>
      </w:pPr>
      <w:r>
        <w:t xml:space="preserve">1. Bắt đầu từ thế giới của khách hàng</w:t>
      </w:r>
    </w:p>
    <w:p>
      <w:pPr>
        <w:spacing w:after="120"/>
      </w:pPr>
      <w:r>
        <w:t xml:space="preserve">Nghiên cứu ở Cranfield cho thấy phần bị làm kém nhất trong nhiều kế hoạch Key Account là </w:t>
      </w:r>
      <w:r>
        <w:rPr>
          <w:b/>
          <w:bCs/>
        </w:rPr>
        <w:t xml:space="preserve">hiểu thế giới của khách hàng</w:t>
      </w:r>
      <w:r>
        <w:t xml:space="preserve"> và chiến lược tương lai của họ (Marcos et al., 2018). Nhà cung cấp được khách hàng đánh giá cao là người có thể bàn với họ cách </w:t>
      </w:r>
      <w:r>
        <w:rPr>
          <w:b/>
          <w:bCs/>
        </w:rPr>
        <w:t xml:space="preserve">tạo lợi thế cạnh tranh</w:t>
      </w:r>
      <w:r>
        <w:t xml:space="preserve">, thay vì chỉ “bán, bán, bán”.</w:t>
      </w:r>
    </w:p>
    <w:p>
      <w:pPr>
        <w:spacing w:after="120"/>
      </w:pPr>
      <w:r>
        <w:rPr>
          <w:b/>
          <w:bCs/>
        </w:rPr>
        <w:t xml:space="preserve">Bánh xe hiểu khách hàng</w:t>
      </w:r>
      <w:r>
        <w:t xml:space="preserve"> (Wheel of Customer Understanding, Sue Holt, Cranfield) có mục tiêu ở trung tâm là </w:t>
      </w:r>
      <w:r>
        <w:rPr>
          <w:i/>
          <w:iCs/>
        </w:rPr>
        <w:t xml:space="preserve">hiểu khách hàng hơn chính họ</w:t>
      </w:r>
      <w:r>
        <w:t xml:space="preserve">, với tám nan:</w:t>
      </w:r>
    </w:p>
    <w:p>
      <w:pPr>
        <w:pStyle w:val="ListParagraph"/>
        <w:numPr>
          <w:ilvl w:val="0"/>
          <w:numId w:val="3"/>
        </w:numPr>
        <w:spacing w:after="60"/>
      </w:pPr>
      <w:r>
        <w:t xml:space="preserve">ngành và các động lực của ngành;</w:t>
      </w:r>
    </w:p>
    <w:p>
      <w:pPr>
        <w:pStyle w:val="ListParagraph"/>
        <w:numPr>
          <w:ilvl w:val="0"/>
          <w:numId w:val="3"/>
        </w:numPr>
        <w:spacing w:after="60"/>
      </w:pPr>
      <w:r>
        <w:t xml:space="preserve">chiến lược và mô hình kinh doanh của khách;</w:t>
      </w:r>
    </w:p>
    <w:p>
      <w:pPr>
        <w:pStyle w:val="ListParagraph"/>
        <w:numPr>
          <w:ilvl w:val="0"/>
          <w:numId w:val="3"/>
        </w:numPr>
        <w:spacing w:after="60"/>
      </w:pPr>
      <w:r>
        <w:t xml:space="preserve">đối thủ của khách;</w:t>
      </w:r>
    </w:p>
    <w:p>
      <w:pPr>
        <w:pStyle w:val="ListParagraph"/>
        <w:numPr>
          <w:ilvl w:val="0"/>
          <w:numId w:val="3"/>
        </w:numPr>
        <w:spacing w:after="60"/>
      </w:pPr>
      <w:r>
        <w:t xml:space="preserve">vận hành của khách;</w:t>
      </w:r>
    </w:p>
    <w:p>
      <w:pPr>
        <w:pStyle w:val="ListParagraph"/>
        <w:numPr>
          <w:ilvl w:val="0"/>
          <w:numId w:val="3"/>
        </w:numPr>
        <w:spacing w:after="60"/>
      </w:pPr>
      <w:r>
        <w:t xml:space="preserve">khách hàng và nhà cung cấp của họ;</w:t>
      </w:r>
    </w:p>
    <w:p>
      <w:pPr>
        <w:pStyle w:val="ListParagraph"/>
        <w:numPr>
          <w:ilvl w:val="0"/>
          <w:numId w:val="3"/>
        </w:numPr>
        <w:spacing w:after="60"/>
      </w:pPr>
      <w:r>
        <w:t xml:space="preserve">năng lực cốt lõi;</w:t>
      </w:r>
    </w:p>
    <w:p>
      <w:pPr>
        <w:pStyle w:val="ListParagraph"/>
        <w:numPr>
          <w:ilvl w:val="0"/>
          <w:numId w:val="3"/>
        </w:numPr>
        <w:spacing w:after="60"/>
      </w:pPr>
      <w:r>
        <w:t xml:space="preserve">địa bàn hoạt động;</w:t>
      </w:r>
    </w:p>
    <w:p>
      <w:pPr>
        <w:pStyle w:val="ListParagraph"/>
        <w:numPr>
          <w:ilvl w:val="0"/>
          <w:numId w:val="3"/>
        </w:numPr>
        <w:spacing w:after="60"/>
      </w:pPr>
      <w:r>
        <w:t xml:space="preserve">người chủ chốt, văn hóa, chính trị nội bộ.</w:t>
      </w:r>
    </w:p>
    <w:p>
      <w:pPr>
        <w:pStyle w:val="Heading1"/>
      </w:pPr>
      <w:r>
        <w:t xml:space="preserve">2. Ba công cụ phân tích: tất cả là của khách hàng</w:t>
      </w:r>
    </w:p>
    <w:p>
      <w:pPr>
        <w:spacing w:after="120"/>
      </w:pPr>
      <w:r>
        <w:t xml:space="preserve">Theo Value Planning Framework (Cranfield), bước đầu của kế hoạch Key Account dùng ba công cụ: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3"/>
        <w:gridCol w:w="6725"/>
      </w:tblGrid>
      <w:tr>
        <w:trPr>
          <w:tblHeader/>
        </w:trPr>
        <w:tc>
          <w:tcPr>
            <w:tcW w:type="dxa" w:w="291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Công cụ</w:t>
            </w:r>
          </w:p>
        </w:tc>
        <w:tc>
          <w:tcPr>
            <w:tcW w:type="dxa" w:w="672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Câu hỏi</w:t>
            </w:r>
          </w:p>
        </w:tc>
      </w:tr>
      <w:tr>
        <w:trPr>
          <w:tblHeader w:val="off"/>
        </w:trPr>
        <w:tc>
          <w:tcPr>
            <w:tcW w:type="dxa" w:w="29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PESTEL của khách hàng</w:t>
            </w:r>
          </w:p>
        </w:tc>
        <w:tc>
          <w:tcPr>
            <w:tcW w:type="dxa" w:w="67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Chính sách, kinh tế, xã hội, công nghệ, môi trường, pháp lý trong </w:t>
            </w:r>
            <w:r>
              <w:rPr>
                <w:sz w:val="20"/>
                <w:szCs w:val="20"/>
              </w:rPr>
              <w:t xml:space="preserve">ngành của khách</w:t>
            </w:r>
            <w:r>
              <w:rPr>
                <w:sz w:val="20"/>
                <w:szCs w:val="20"/>
              </w:rPr>
              <w:t xml:space="preserve"> đang thay đổi thế nào?</w:t>
            </w:r>
          </w:p>
        </w:tc>
      </w:tr>
      <w:tr>
        <w:trPr>
          <w:tblHeader w:val="off"/>
        </w:trPr>
        <w:tc>
          <w:tcPr>
            <w:tcW w:type="dxa" w:w="29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Đối thủ của khách hàng</w:t>
            </w:r>
          </w:p>
        </w:tc>
        <w:tc>
          <w:tcPr>
            <w:tcW w:type="dxa" w:w="67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Ai đang giành khách hàng của họ?</w:t>
            </w:r>
          </w:p>
        </w:tc>
      </w:tr>
      <w:tr>
        <w:trPr>
          <w:tblHeader w:val="off"/>
        </w:trPr>
        <w:tc>
          <w:tcPr>
            <w:tcW w:type="dxa" w:w="29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Nội bộ khách hàng</w:t>
            </w:r>
          </w:p>
        </w:tc>
        <w:tc>
          <w:tcPr>
            <w:tcW w:type="dxa" w:w="67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Chiến lược, mục tiêu, cơ cấu, người ra quyết định của họ là gì?</w:t>
            </w:r>
          </w:p>
        </w:tc>
      </w:tr>
    </w:tbl>
    <w:p>
      <w:pPr>
        <w:spacing w:after="80" w:before="0"/>
      </w:pPr>
    </w:p>
    <w:p>
      <w:pPr>
        <w:spacing w:after="120"/>
      </w:pPr>
      <w:r>
        <w:t xml:space="preserve">Ba lời khuyên: nghiên cứu </w:t>
      </w:r>
      <w:r>
        <w:rPr>
          <w:b/>
          <w:bCs/>
        </w:rPr>
        <w:t xml:space="preserve">tương xứng</w:t>
      </w:r>
      <w:r>
        <w:t xml:space="preserve"> với tầm quan trọng của khách; thiếu dữ liệu thì </w:t>
      </w:r>
      <w:r>
        <w:rPr>
          <w:b/>
          <w:bCs/>
        </w:rPr>
        <w:t xml:space="preserve">đặt giả định và ghi rõ</w:t>
      </w:r>
      <w:r>
        <w:t xml:space="preserve">; </w:t>
      </w:r>
      <w:r>
        <w:rPr>
          <w:b/>
          <w:bCs/>
        </w:rPr>
        <w:t xml:space="preserve">xác nhận lại</w:t>
      </w:r>
      <w:r>
        <w:t xml:space="preserve"> với khách hàng.</w:t>
      </w:r>
    </w:p>
    <w:p>
      <w:pPr>
        <w:spacing w:after="120"/>
      </w:pPr>
      <w:r>
        <w:rPr>
          <w:b/>
          <w:bCs/>
        </w:rPr>
        <w:t xml:space="preserve">Từ dữ kiện đến nhu cầu.</w:t>
      </w:r>
      <w:r>
        <w:t xml:space="preserve"> Dữ kiện chỉ có giá trị khi thành nhu cầu của khách hàng và cơ hội cho agency.</w:t>
      </w:r>
    </w:p>
    <w:p>
      <w:pPr>
        <w:spacing w:after="120"/>
      </w:pPr>
      <w:r>
        <w:rPr>
          <w:i/>
          <w:iCs/>
        </w:rPr>
        <w:t xml:space="preserve">Ví dụ.</w:t>
      </w:r>
      <w:r>
        <w:t xml:space="preserve"> Dữ kiện thật: Ngân hàng Nhà nước định hướng tín dụng toàn hệ thống tăng khoảng 15% năm 2026 và kiểm soát chặt tín dụng bất động sản (VnEconomy, 11/1/2026). Hệ quả cho một ngân hàng như An Phát (giả định): phải giữ khách doanh nghiệp tốt bằng dịch vụ và quan hệ, không chỉ bằng khoản vay. Nhu cầu: những sự kiện tạo giá trị thật cho khách doanh nghiệp, không chỉ một bữa tiệc. Cơ hội cho agency: đề xuất chương trình khách hàng cả năm.</w:t>
      </w:r>
    </w:p>
    <w:p>
      <w:pPr>
        <w:spacing w:after="120"/>
      </w:pPr>
      <w:r>
        <w:t xml:space="preserve">Mẫu câu: </w:t>
      </w:r>
      <w:r>
        <w:rPr>
          <w:i/>
          <w:iCs/>
        </w:rPr>
        <w:t xml:space="preserve">“Vì [dữ kiện 1] và [dữ kiện 2], khách hàng cần…”</w:t>
      </w:r>
    </w:p>
    <w:p>
      <w:pPr>
        <w:spacing w:after="120"/>
      </w:pPr>
      <w:r>
        <w:t xml:space="preserve">Lưu ý: </w:t>
      </w:r>
      <w:r>
        <w:rPr>
          <w:b/>
          <w:bCs/>
        </w:rPr>
        <w:t xml:space="preserve">đối thủ</w:t>
      </w:r>
      <w:r>
        <w:t xml:space="preserve"> ở đây là đối thủ của khách hàng (các ngân hàng khác), không phải các agency khác. Ngay bản brief khách gửi cho agency cũng thường có phần thông tin công ty, khách hàng và đối thủ của họ. Agency giỏi đọc kỹ phần này, không chỉ phần ngân sách và deadline.</w:t>
      </w:r>
    </w:p>
    <w:p>
      <w:pPr>
        <w:pStyle w:val="Heading1"/>
      </w:pPr>
      <w:r>
        <w:t xml:space="preserve">3. Hành trình khách hàng (customer journey)</w:t>
      </w:r>
    </w:p>
    <w:p>
      <w:pPr>
        <w:spacing w:after="120"/>
      </w:pPr>
      <w:r>
        <w:t xml:space="preserve">Lemon &amp; Verhoef (2016) chia hành trình thành ba giai đoạn: </w:t>
      </w:r>
      <w:r>
        <w:rPr>
          <w:b/>
          <w:bCs/>
        </w:rPr>
        <w:t xml:space="preserve">trước khi mua</w:t>
      </w:r>
      <w:r>
        <w:t xml:space="preserve"> (prepurchase), </w:t>
      </w:r>
      <w:r>
        <w:rPr>
          <w:b/>
          <w:bCs/>
        </w:rPr>
        <w:t xml:space="preserve">trong khi mua</w:t>
      </w:r>
      <w:r>
        <w:t xml:space="preserve"> (purchase), </w:t>
      </w:r>
      <w:r>
        <w:rPr>
          <w:b/>
          <w:bCs/>
        </w:rPr>
        <w:t xml:space="preserve">sau khi mua</w:t>
      </w:r>
      <w:r>
        <w:t xml:space="preserve"> (postpurchase). Việc đầu tiên là liệt kê đủ các điểm chạm và đánh giá tầm quan trọng tương đối của chúng.</w:t>
      </w:r>
    </w:p>
    <w:p>
      <w:pPr>
        <w:spacing w:after="120"/>
      </w:pPr>
      <w:r>
        <w:rPr>
          <w:b/>
          <w:bCs/>
        </w:rPr>
        <w:t xml:space="preserve">Bốn loại điểm chạm, theo ai sở hữu và kiểm soát: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42"/>
        <w:gridCol w:w="4161"/>
        <w:gridCol w:w="3835"/>
      </w:tblGrid>
      <w:tr>
        <w:trPr>
          <w:tblHeader/>
        </w:trPr>
        <w:tc>
          <w:tcPr>
            <w:tcW w:type="dxa" w:w="164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Loại</w:t>
            </w:r>
          </w:p>
        </w:tc>
        <w:tc>
          <w:tcPr>
            <w:tcW w:type="dxa" w:w="416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Ý nghĩa</w:t>
            </w:r>
          </w:p>
        </w:tc>
        <w:tc>
          <w:tcPr>
            <w:tcW w:type="dxa" w:w="383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Ví dụ (giả định)</w:t>
            </w:r>
          </w:p>
        </w:tc>
      </w:tr>
      <w:tr>
        <w:trPr>
          <w:tblHeader w:val="off"/>
        </w:trPr>
        <w:tc>
          <w:tcPr>
            <w:tcW w:type="dxa" w:w="16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Brand-owned</w:t>
            </w:r>
          </w:p>
        </w:tc>
        <w:tc>
          <w:tcPr>
            <w:tcW w:type="dxa" w:w="41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Do thương hiệu sở hữu</w:t>
            </w:r>
          </w:p>
        </w:tc>
        <w:tc>
          <w:tcPr>
            <w:tcW w:type="dxa" w:w="383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Thư mời của An Phát</w:t>
            </w:r>
          </w:p>
        </w:tc>
      </w:tr>
      <w:tr>
        <w:trPr>
          <w:tblHeader w:val="off"/>
        </w:trPr>
        <w:tc>
          <w:tcPr>
            <w:tcW w:type="dxa" w:w="16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Partner-owned</w:t>
            </w:r>
          </w:p>
        </w:tc>
        <w:tc>
          <w:tcPr>
            <w:tcW w:type="dxa" w:w="41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Do đối tác làm, kể cả agency marketing</w:t>
            </w:r>
          </w:p>
        </w:tc>
        <w:tc>
          <w:tcPr>
            <w:tcW w:type="dxa" w:w="383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Nova đón khách tại khách sạn</w:t>
            </w:r>
          </w:p>
        </w:tc>
      </w:tr>
      <w:tr>
        <w:trPr>
          <w:tblHeader w:val="off"/>
        </w:trPr>
        <w:tc>
          <w:tcPr>
            <w:tcW w:type="dxa" w:w="16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Customer-owned</w:t>
            </w:r>
          </w:p>
        </w:tc>
        <w:tc>
          <w:tcPr>
            <w:tcW w:type="dxa" w:w="41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tự làm</w:t>
            </w:r>
          </w:p>
        </w:tc>
        <w:tc>
          <w:tcPr>
            <w:tcW w:type="dxa" w:w="383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tự chụp ảnh, đăng mạng xã hội</w:t>
            </w:r>
          </w:p>
        </w:tc>
      </w:tr>
      <w:tr>
        <w:trPr>
          <w:tblHeader w:val="off"/>
        </w:trPr>
        <w:tc>
          <w:tcPr>
            <w:tcW w:type="dxa" w:w="16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Social/external</w:t>
            </w:r>
          </w:p>
        </w:tc>
        <w:tc>
          <w:tcPr>
            <w:tcW w:type="dxa" w:w="41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Người khác, báo chí, mạng xã hội</w:t>
            </w:r>
          </w:p>
        </w:tc>
        <w:tc>
          <w:tcPr>
            <w:tcW w:type="dxa" w:w="383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Đồng nghiệp kể về gala năm ngoái</w:t>
            </w:r>
          </w:p>
        </w:tc>
      </w:tr>
    </w:tbl>
    <w:p>
      <w:pPr>
        <w:spacing w:after="80" w:before="0"/>
      </w:pPr>
    </w:p>
    <w:p>
      <w:pPr>
        <w:spacing w:after="120"/>
      </w:pPr>
      <w:r>
        <w:rPr>
          <w:b/>
          <w:bCs/>
        </w:rPr>
        <w:t xml:space="preserve">Hai lớp hành trình của môn học:</w:t>
      </w:r>
    </w:p>
    <w:p>
      <w:pPr>
        <w:pStyle w:val="ListParagraph"/>
        <w:numPr>
          <w:ilvl w:val="0"/>
          <w:numId w:val="4"/>
        </w:numPr>
        <w:spacing w:after="60"/>
      </w:pPr>
      <w:r>
        <w:t xml:space="preserve">Hành trình của </w:t>
      </w:r>
      <w:r>
        <w:rPr>
          <w:b/>
          <w:bCs/>
        </w:rPr>
        <w:t xml:space="preserve">khách của Key Account</w:t>
      </w:r>
      <w:r>
        <w:t xml:space="preserve"> (ví dụ 600 lãnh đạo doanh nghiệp VIP của An Phát, từ lúc nhận thư mời đến sau sự kiện). Dùng ở Buổi 3, 5, 9, 11.</w:t>
      </w:r>
    </w:p>
    <w:p>
      <w:pPr>
        <w:pStyle w:val="ListParagraph"/>
        <w:numPr>
          <w:ilvl w:val="0"/>
          <w:numId w:val="4"/>
        </w:numPr>
        <w:spacing w:after="60"/>
      </w:pPr>
      <w:r>
        <w:t xml:space="preserve">Hành trình của </w:t>
      </w:r>
      <w:r>
        <w:rPr>
          <w:b/>
          <w:bCs/>
        </w:rPr>
        <w:t xml:space="preserve">chính Key Account</w:t>
      </w:r>
      <w:r>
        <w:t xml:space="preserve"> khi mua dịch vụ của agency: brief → đề xuất → hợp đồng → sự kiện → nghiệm thu. Dùng ở Buổi 10.</w:t>
      </w:r>
    </w:p>
    <w:p>
      <w:pPr>
        <w:spacing w:after="120"/>
      </w:pPr>
      <w:r>
        <w:rPr>
          <w:b/>
          <w:bCs/>
        </w:rPr>
        <w:t xml:space="preserve">Agency làm, nhưng khách thấy thương hiệu của khách hàng.</w:t>
      </w:r>
      <w:r>
        <w:t xml:space="preserve"> Agency thành công khi thương hiệu của Key Account tỏa sáng. Hệ quả: một điểm chạm hỏng do agency (livestream chậm, đón khách lộn xộn) là một điểm trừ cho Key Account trong mắt khách của họ.</w:t>
      </w:r>
    </w:p>
    <w:p>
      <w:pPr>
        <w:spacing w:after="120"/>
      </w:pPr>
      <w:r>
        <w:t xml:space="preserve">Điểm chạm social/external không kiểm soát trực tiếp được, nhưng có thể chuẩn bị: lời kể năm nay được tạo ra bởi trải nghiệm năm ngoái. Đó là lý do quan hệ dài hạn quan trọng.</w:t>
      </w:r>
    </w:p>
    <w:p>
      <w:pPr>
        <w:pStyle w:val="Heading1"/>
      </w:pPr>
      <w:r>
        <w:t xml:space="preserve">4. Kỳ vọng ở mỗi điểm chạm</w:t>
      </w:r>
    </w:p>
    <w:p>
      <w:pPr>
        <w:spacing w:after="120"/>
      </w:pPr>
      <w:r>
        <w:t xml:space="preserve">Theo lý thuyết bất xác nhận kỳ vọng (expectation disconfirmation), khách hàng so kết quả thực tế với kỳ vọng:</w:t>
      </w:r>
    </w:p>
    <w:p>
      <w:pPr>
        <w:pStyle w:val="ListParagraph"/>
        <w:numPr>
          <w:ilvl w:val="0"/>
          <w:numId w:val="3"/>
        </w:numPr>
        <w:spacing w:after="60"/>
      </w:pPr>
      <w:r>
        <w:t xml:space="preserve">vượt kỳ vọng → thích thú;</w:t>
      </w:r>
    </w:p>
    <w:p>
      <w:pPr>
        <w:pStyle w:val="ListParagraph"/>
        <w:numPr>
          <w:ilvl w:val="0"/>
          <w:numId w:val="3"/>
        </w:numPr>
        <w:spacing w:after="60"/>
      </w:pPr>
      <w:r>
        <w:t xml:space="preserve">bằng kỳ vọng → hài lòng;</w:t>
      </w:r>
    </w:p>
    <w:p>
      <w:pPr>
        <w:pStyle w:val="ListParagraph"/>
        <w:numPr>
          <w:ilvl w:val="0"/>
          <w:numId w:val="3"/>
        </w:numPr>
        <w:spacing w:after="60"/>
      </w:pPr>
      <w:r>
        <w:t xml:space="preserve">dưới kỳ vọng → không hài lòng.</w:t>
      </w:r>
    </w:p>
    <w:p>
      <w:pPr>
        <w:spacing w:after="120"/>
      </w:pPr>
      <w:r>
        <w:t xml:space="preserve">Kỳ vọng hình thành từ truyền miệng, nhu cầu riêng, trải nghiệm trước đây, và </w:t>
      </w:r>
      <w:r>
        <w:rPr>
          <w:b/>
          <w:bCs/>
        </w:rPr>
        <w:t xml:space="preserve">chính những gì agency đã hứa</w:t>
      </w:r>
      <w:r>
        <w:t xml:space="preserve">. Với dịch vụ sự kiện, kỳ vọng thường mờ và ngầm định, nên agency phải chủ động làm rõ:</w:t>
      </w:r>
    </w:p>
    <w:p>
      <w:pPr>
        <w:pStyle w:val="ListParagraph"/>
        <w:numPr>
          <w:ilvl w:val="0"/>
          <w:numId w:val="5"/>
        </w:numPr>
        <w:spacing w:after="60"/>
      </w:pPr>
      <w:r>
        <w:t xml:space="preserve">thu thập thông tin về kỳ vọng;</w:t>
      </w:r>
    </w:p>
    <w:p>
      <w:pPr>
        <w:pStyle w:val="ListParagraph"/>
        <w:numPr>
          <w:ilvl w:val="0"/>
          <w:numId w:val="5"/>
        </w:numPr>
        <w:spacing w:after="60"/>
      </w:pPr>
      <w:r>
        <w:t xml:space="preserve">phân tích mục tiêu, mong muốn, ưu tiên;</w:t>
      </w:r>
    </w:p>
    <w:p>
      <w:pPr>
        <w:pStyle w:val="ListParagraph"/>
        <w:numPr>
          <w:ilvl w:val="0"/>
          <w:numId w:val="5"/>
        </w:numPr>
        <w:spacing w:after="60"/>
      </w:pPr>
      <w:r>
        <w:t xml:space="preserve">xác định khả năng đáp ứng của mình;</w:t>
      </w:r>
    </w:p>
    <w:p>
      <w:pPr>
        <w:pStyle w:val="ListParagraph"/>
        <w:numPr>
          <w:ilvl w:val="0"/>
          <w:numId w:val="5"/>
        </w:numPr>
        <w:spacing w:after="60"/>
      </w:pPr>
      <w:r>
        <w:t xml:space="preserve">thống nhất kỳ vọng (tính năng, chất lượng, thời gian, phạm vi);</w:t>
      </w:r>
    </w:p>
    <w:p>
      <w:pPr>
        <w:pStyle w:val="ListParagraph"/>
        <w:numPr>
          <w:ilvl w:val="0"/>
          <w:numId w:val="5"/>
        </w:numPr>
        <w:spacing w:after="60"/>
      </w:pPr>
      <w:r>
        <w:t xml:space="preserve">giao tiếp và đồng thuận;</w:t>
      </w:r>
    </w:p>
    <w:p>
      <w:pPr>
        <w:pStyle w:val="ListParagraph"/>
        <w:numPr>
          <w:ilvl w:val="0"/>
          <w:numId w:val="5"/>
        </w:numPr>
        <w:spacing w:after="60"/>
      </w:pPr>
      <w:r>
        <w:t xml:space="preserve">ghi nhận và theo dõi;</w:t>
      </w:r>
    </w:p>
    <w:p>
      <w:pPr>
        <w:pStyle w:val="ListParagraph"/>
        <w:numPr>
          <w:ilvl w:val="0"/>
          <w:numId w:val="5"/>
        </w:numPr>
        <w:spacing w:after="60"/>
      </w:pPr>
      <w:r>
        <w:t xml:space="preserve">đánh giá sau cùng.</w:t>
      </w:r>
    </w:p>
    <w:p>
      <w:pPr>
        <w:pStyle w:val="Heading1"/>
      </w:pPr>
      <w:r>
        <w:t xml:space="preserve">5. Nhóm ra quyết định (DMU)</w:t>
      </w:r>
    </w:p>
    <w:p>
      <w:pPr>
        <w:spacing w:after="120"/>
      </w:pPr>
      <w:r>
        <w:t xml:space="preserve">Webster &amp; Wind (1972): hành vi mua của tổ chức là </w:t>
      </w:r>
      <w:r>
        <w:rPr>
          <w:b/>
          <w:bCs/>
        </w:rPr>
        <w:t xml:space="preserve">quá trình ra quyết định của tổ chức</w:t>
      </w:r>
      <w:r>
        <w:t xml:space="preserve">, không phải của một người. Nhóm người tham gia gọi là trung tâm mua (buying center) hay nhóm ra quyết định (DMU).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37"/>
        <w:gridCol w:w="4901"/>
      </w:tblGrid>
      <w:tr>
        <w:trPr>
          <w:tblHeader/>
        </w:trPr>
        <w:tc>
          <w:tcPr>
            <w:tcW w:type="dxa" w:w="473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Vai</w:t>
            </w:r>
          </w:p>
        </w:tc>
        <w:tc>
          <w:tcPr>
            <w:tcW w:type="dxa" w:w="490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Việc</w:t>
            </w:r>
          </w:p>
        </w:tc>
      </w:tr>
      <w:tr>
        <w:trPr>
          <w:tblHeader w:val="off"/>
        </w:trPr>
        <w:tc>
          <w:tcPr>
            <w:tcW w:type="dxa" w:w="47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Người khởi xướng</w:t>
            </w:r>
          </w:p>
        </w:tc>
        <w:tc>
          <w:tcPr>
            <w:tcW w:type="dxa" w:w="490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Nêu nhu cầu</w:t>
            </w:r>
          </w:p>
        </w:tc>
      </w:tr>
      <w:tr>
        <w:trPr>
          <w:tblHeader w:val="off"/>
        </w:trPr>
        <w:tc>
          <w:tcPr>
            <w:tcW w:type="dxa" w:w="47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Người dùng cuối</w:t>
            </w:r>
          </w:p>
        </w:tc>
        <w:tc>
          <w:tcPr>
            <w:tcW w:type="dxa" w:w="490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Dùng dịch vụ</w:t>
            </w:r>
          </w:p>
        </w:tc>
      </w:tr>
      <w:tr>
        <w:trPr>
          <w:tblHeader w:val="off"/>
        </w:trPr>
        <w:tc>
          <w:tcPr>
            <w:tcW w:type="dxa" w:w="47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Người ảnh hưởng</w:t>
            </w:r>
          </w:p>
        </w:tc>
        <w:tc>
          <w:tcPr>
            <w:tcW w:type="dxa" w:w="490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Góp ý, đánh giá</w:t>
            </w:r>
          </w:p>
        </w:tc>
      </w:tr>
      <w:tr>
        <w:trPr>
          <w:tblHeader w:val="off"/>
        </w:trPr>
        <w:tc>
          <w:tcPr>
            <w:tcW w:type="dxa" w:w="47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Người quyết định</w:t>
            </w:r>
          </w:p>
        </w:tc>
        <w:tc>
          <w:tcPr>
            <w:tcW w:type="dxa" w:w="490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Chọn nhà cung cấp</w:t>
            </w:r>
          </w:p>
        </w:tc>
      </w:tr>
      <w:tr>
        <w:trPr>
          <w:tblHeader w:val="off"/>
        </w:trPr>
        <w:tc>
          <w:tcPr>
            <w:tcW w:type="dxa" w:w="47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Người kiểm soát (gatekeeper)</w:t>
            </w:r>
          </w:p>
        </w:tc>
        <w:tc>
          <w:tcPr>
            <w:tcW w:type="dxa" w:w="490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Lọc thông tin, giữ lịch hẹn</w:t>
            </w:r>
          </w:p>
        </w:tc>
      </w:tr>
      <w:tr>
        <w:trPr>
          <w:tblHeader w:val="off"/>
        </w:trPr>
        <w:tc>
          <w:tcPr>
            <w:tcW w:type="dxa" w:w="47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Người thực hiện quy trình mua</w:t>
            </w:r>
          </w:p>
        </w:tc>
        <w:tc>
          <w:tcPr>
            <w:tcW w:type="dxa" w:w="490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Đấu thầu, hợp đồng, thanh toán</w:t>
            </w:r>
          </w:p>
        </w:tc>
      </w:tr>
    </w:tbl>
    <w:p>
      <w:pPr>
        <w:spacing w:after="80" w:before="0"/>
      </w:pPr>
    </w:p>
    <w:p>
      <w:pPr>
        <w:spacing w:after="120"/>
      </w:pPr>
      <w:r>
        <w:t xml:space="preserve">Một người có thể giữ nhiều vai. Giáo trình (Marcos et al., 2018) tách thêm vai </w:t>
      </w:r>
      <w:r>
        <w:rPr>
          <w:b/>
          <w:bCs/>
        </w:rPr>
        <w:t xml:space="preserve">người kiểm soát ngân sách</w:t>
      </w:r>
      <w:r>
        <w:t xml:space="preserve"> (controller).</w:t>
      </w:r>
    </w:p>
    <w:p>
      <w:pPr>
        <w:spacing w:after="120"/>
      </w:pPr>
      <w:r>
        <w:t xml:space="preserve">Ở phía khách hàng, agency thường làm việc hằng ngày với nhóm Event hoặc Executive, nhưng ngân sách và quyết định thường nằm ở cấp Director. </w:t>
      </w:r>
      <w:r>
        <w:rPr>
          <w:b/>
          <w:bCs/>
        </w:rPr>
        <w:t xml:space="preserve">Người liên hệ nhiều nhất chưa chắc là người quyết định.</w:t>
      </w:r>
    </w:p>
    <w:p>
      <w:pPr>
        <w:pStyle w:val="Heading1"/>
      </w:pPr>
      <w:r>
        <w:t xml:space="preserve">6. GRASP: năm câu hỏi về từng người trong DMU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7815"/>
      </w:tblGrid>
      <w:tr>
        <w:trPr>
          <w:tblHeader/>
        </w:trPr>
        <w:tc>
          <w:tcPr>
            <w:tcW w:type="dxa" w:w="182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Chữ</w:t>
            </w:r>
          </w:p>
        </w:tc>
        <w:tc>
          <w:tcPr>
            <w:tcW w:type="dxa" w:w="781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Câu hỏi</w:t>
            </w:r>
          </w:p>
        </w:tc>
      </w:tr>
      <w:tr>
        <w:trPr>
          <w:tblHeader w:val="off"/>
        </w:trPr>
        <w:tc>
          <w:tcPr>
            <w:tcW w:type="dxa" w:w="18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 – Goal</w:t>
            </w:r>
          </w:p>
        </w:tc>
        <w:tc>
          <w:tcPr>
            <w:tcW w:type="dxa" w:w="78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Mục tiêu và kế hoạch hành động </w:t>
            </w:r>
            <w:r>
              <w:rPr>
                <w:sz w:val="20"/>
                <w:szCs w:val="20"/>
              </w:rPr>
              <w:t xml:space="preserve">của chúng ta</w:t>
            </w:r>
            <w:r>
              <w:rPr>
                <w:sz w:val="20"/>
                <w:szCs w:val="20"/>
              </w:rPr>
              <w:t xml:space="preserve"> với người này là gì?</w:t>
            </w:r>
          </w:p>
        </w:tc>
      </w:tr>
      <w:tr>
        <w:trPr>
          <w:tblHeader w:val="off"/>
        </w:trPr>
        <w:tc>
          <w:tcPr>
            <w:tcW w:type="dxa" w:w="18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 – Role</w:t>
            </w:r>
          </w:p>
        </w:tc>
        <w:tc>
          <w:tcPr>
            <w:tcW w:type="dxa" w:w="78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Vai trò của người này trong DMU</w:t>
            </w:r>
          </w:p>
        </w:tc>
      </w:tr>
      <w:tr>
        <w:trPr>
          <w:tblHeader w:val="off"/>
        </w:trPr>
        <w:tc>
          <w:tcPr>
            <w:tcW w:type="dxa" w:w="18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 – Appeal</w:t>
            </w:r>
          </w:p>
        </w:tc>
        <w:tc>
          <w:tcPr>
            <w:tcW w:type="dxa" w:w="78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Điều gì hấp dẫn người này về phương án của ta?</w:t>
            </w:r>
          </w:p>
        </w:tc>
      </w:tr>
      <w:tr>
        <w:trPr>
          <w:tblHeader w:val="off"/>
        </w:trPr>
        <w:tc>
          <w:tcPr>
            <w:tcW w:type="dxa" w:w="18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 – State</w:t>
            </w:r>
          </w:p>
        </w:tc>
        <w:tc>
          <w:tcPr>
            <w:tcW w:type="dxa" w:w="78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Quan hệ của ta với người này hiện thế nào?</w:t>
            </w:r>
          </w:p>
        </w:tc>
      </w:tr>
      <w:tr>
        <w:trPr>
          <w:tblHeader w:val="off"/>
        </w:trPr>
        <w:tc>
          <w:tcPr>
            <w:tcW w:type="dxa" w:w="18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 – Power</w:t>
            </w:r>
          </w:p>
        </w:tc>
        <w:tc>
          <w:tcPr>
            <w:tcW w:type="dxa" w:w="78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Trình độ và quyền lực của người này</w:t>
            </w:r>
          </w:p>
        </w:tc>
      </w:tr>
    </w:tbl>
    <w:p>
      <w:pPr>
        <w:spacing w:after="80" w:before="0"/>
      </w:pPr>
    </w:p>
    <w:p>
      <w:pPr>
        <w:spacing w:after="120"/>
      </w:pPr>
      <w:r>
        <w:t xml:space="preserve">Giáo trình khuyên phân tích R, A, S, P trước, </w:t>
      </w:r>
      <w:r>
        <w:rPr>
          <w:b/>
          <w:bCs/>
        </w:rPr>
        <w:t xml:space="preserve">đặt G sau cùng</w:t>
      </w:r>
      <w:r>
        <w:t xml:space="preserve">.</w:t>
      </w:r>
    </w:p>
    <w:p>
      <w:pPr>
        <w:spacing w:after="120"/>
      </w:pPr>
      <w:r>
        <w:rPr>
          <w:i/>
          <w:iCs/>
        </w:rPr>
        <w:t xml:space="preserve">Ví dụ (giả định): Giám đốc Marketing của An Phát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9"/>
        <w:gridCol w:w="1532"/>
        <w:gridCol w:w="1653"/>
        <w:gridCol w:w="1975"/>
        <w:gridCol w:w="2059"/>
      </w:tblGrid>
      <w:tr>
        <w:trPr>
          <w:tblHeader/>
        </w:trPr>
        <w:tc>
          <w:tcPr>
            <w:tcW w:type="dxa" w:w="241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w:t>
            </w:r>
          </w:p>
        </w:tc>
        <w:tc>
          <w:tcPr>
            <w:tcW w:type="dxa" w:w="153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R</w:t>
            </w:r>
          </w:p>
        </w:tc>
        <w:tc>
          <w:tcPr>
            <w:tcW w:type="dxa" w:w="165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A</w:t>
            </w:r>
          </w:p>
        </w:tc>
        <w:tc>
          <w:tcPr>
            <w:tcW w:type="dxa" w:w="197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S</w:t>
            </w:r>
          </w:p>
        </w:tc>
        <w:tc>
          <w:tcPr>
            <w:tcW w:type="dxa" w:w="205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w:t>
            </w:r>
          </w:p>
        </w:tc>
      </w:tr>
      <w:tr>
        <w:trPr>
          <w:tblHeader w:val="off"/>
        </w:trPr>
        <w:tc>
          <w:tcPr>
            <w:tcW w:type="dxa" w:w="24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Đồng ý đưa đề xuất chương trình cả năm lên Phó Tổng Giám đốc qua một buổi họp riêng</w:t>
            </w:r>
          </w:p>
        </w:tc>
        <w:tc>
          <w:tcPr>
            <w:tcW w:type="dxa" w:w="153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Đầu mối chính; khởi xướng và ảnh hưởng</w:t>
            </w:r>
          </w:p>
        </w:tc>
        <w:tc>
          <w:tcPr>
            <w:tcW w:type="dxa" w:w="16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Ý tưởng mới nhưng an toàn cho thương hiệu</w:t>
            </w:r>
          </w:p>
        </w:tc>
        <w:tc>
          <w:tcPr>
            <w:tcW w:type="dxa" w:w="19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Tin agency sau bốn năm, nhưng chịu áp lực đổi mới</w:t>
            </w:r>
          </w:p>
        </w:tc>
        <w:tc>
          <w:tcPr>
            <w:tcW w:type="dxa" w:w="2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Cao ở khâu đề xuất, không phải người phê duyệt cuối</w:t>
            </w:r>
          </w:p>
        </w:tc>
      </w:tr>
    </w:tbl>
    <w:p>
      <w:pPr>
        <w:spacing w:after="80" w:before="0"/>
      </w:pPr>
    </w:p>
    <w:p>
      <w:pPr>
        <w:pStyle w:val="Heading1"/>
      </w:pPr>
      <w:r>
        <w:t xml:space="preserve">7. Đạo đức: hiểu sâu nhưng không moi thông tin</w:t>
      </w:r>
    </w:p>
    <w:p>
      <w:pPr>
        <w:spacing w:after="120"/>
      </w:pPr>
      <w:r>
        <w:t xml:space="preserve">Nên dùng báo cáo thường niên, tin tức, website, những gì khách chủ động chia sẻ, và hỏi lại khi không chắc. Không dò thông tin nội bộ qua người quen, không dùng danh sách khách mời ngoài mục đích được đồng ý, không kể chuyện của khách này cho khách khác. </w:t>
      </w:r>
      <w:r>
        <w:rPr>
          <w:b/>
          <w:bCs/>
        </w:rPr>
        <w:t xml:space="preserve">Dữ liệu khách mời là của Key Account.</w:t>
      </w:r>
    </w:p>
    <w:p>
      <w:pPr>
        <w:pStyle w:val="Heading1"/>
      </w:pPr>
      <w:r>
        <w:t xml:space="preserve">Thuật ngữ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39"/>
        <w:gridCol w:w="4299"/>
      </w:tblGrid>
      <w:tr>
        <w:trPr>
          <w:tblHeader/>
        </w:trPr>
        <w:tc>
          <w:tcPr>
            <w:tcW w:type="dxa" w:w="533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Thuật ngữ</w:t>
            </w:r>
          </w:p>
        </w:tc>
        <w:tc>
          <w:tcPr>
            <w:tcW w:type="dxa" w:w="429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Nghĩa</w:t>
            </w:r>
          </w:p>
        </w:tc>
      </w:tr>
      <w:tr>
        <w:trPr>
          <w:tblHeader w:val="off"/>
        </w:trPr>
        <w:tc>
          <w:tcPr>
            <w:tcW w:type="dxa" w:w="533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Customer journey</w:t>
            </w:r>
          </w:p>
        </w:tc>
        <w:tc>
          <w:tcPr>
            <w:tcW w:type="dxa" w:w="42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Hành trình khách hàng</w:t>
            </w:r>
          </w:p>
        </w:tc>
      </w:tr>
      <w:tr>
        <w:trPr>
          <w:tblHeader w:val="off"/>
        </w:trPr>
        <w:tc>
          <w:tcPr>
            <w:tcW w:type="dxa" w:w="533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Touchpoint</w:t>
            </w:r>
          </w:p>
        </w:tc>
        <w:tc>
          <w:tcPr>
            <w:tcW w:type="dxa" w:w="42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Điểm chạm</w:t>
            </w:r>
          </w:p>
        </w:tc>
      </w:tr>
      <w:tr>
        <w:trPr>
          <w:tblHeader w:val="off"/>
        </w:trPr>
        <w:tc>
          <w:tcPr>
            <w:tcW w:type="dxa" w:w="533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Prepurchase / purchase / postpurchase</w:t>
            </w:r>
          </w:p>
        </w:tc>
        <w:tc>
          <w:tcPr>
            <w:tcW w:type="dxa" w:w="42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Trước / trong / sau khi mua</w:t>
            </w:r>
          </w:p>
        </w:tc>
      </w:tr>
      <w:tr>
        <w:trPr>
          <w:tblHeader w:val="off"/>
        </w:trPr>
        <w:tc>
          <w:tcPr>
            <w:tcW w:type="dxa" w:w="533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DMU (decision-making unit), buying center</w:t>
            </w:r>
          </w:p>
        </w:tc>
        <w:tc>
          <w:tcPr>
            <w:tcW w:type="dxa" w:w="42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ra quyết định, trung tâm mua</w:t>
            </w:r>
          </w:p>
        </w:tc>
      </w:tr>
      <w:tr>
        <w:trPr>
          <w:tblHeader w:val="off"/>
        </w:trPr>
        <w:tc>
          <w:tcPr>
            <w:tcW w:type="dxa" w:w="533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Gatekeeper</w:t>
            </w:r>
          </w:p>
        </w:tc>
        <w:tc>
          <w:tcPr>
            <w:tcW w:type="dxa" w:w="42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Người kiểm soát thông tin</w:t>
            </w:r>
          </w:p>
        </w:tc>
      </w:tr>
      <w:tr>
        <w:trPr>
          <w:tblHeader w:val="off"/>
        </w:trPr>
        <w:tc>
          <w:tcPr>
            <w:tcW w:type="dxa" w:w="533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Expectation disconfirmation</w:t>
            </w:r>
          </w:p>
        </w:tc>
        <w:tc>
          <w:tcPr>
            <w:tcW w:type="dxa" w:w="42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Bất xác nhận kỳ vọng</w:t>
            </w:r>
          </w:p>
        </w:tc>
      </w:tr>
    </w:tbl>
    <w:p>
      <w:pPr>
        <w:spacing w:after="80" w:before="0"/>
      </w:pPr>
    </w:p>
    <w:p>
      <w:pPr>
        <w:pStyle w:val="Heading1"/>
      </w:pPr>
      <w:r>
        <w:t xml:space="preserve">Lỗi thường gặp</w:t>
      </w:r>
    </w:p>
    <w:p>
      <w:pPr>
        <w:pStyle w:val="ListParagraph"/>
        <w:numPr>
          <w:ilvl w:val="0"/>
          <w:numId w:val="3"/>
        </w:numPr>
        <w:spacing w:after="60"/>
      </w:pPr>
      <w:r>
        <w:t xml:space="preserve">Làm PESTEL của ngành sự kiện thay vì của khách hàng.</w:t>
      </w:r>
    </w:p>
    <w:p>
      <w:pPr>
        <w:pStyle w:val="ListParagraph"/>
        <w:numPr>
          <w:ilvl w:val="0"/>
          <w:numId w:val="3"/>
        </w:numPr>
        <w:spacing w:after="60"/>
      </w:pPr>
      <w:r>
        <w:t xml:space="preserve">Không có số liệu thì bỏ qua, hoặc tự bịa số. Đúng: ghi rõ giả định và kiểm chứng sau.</w:t>
      </w:r>
    </w:p>
    <w:p>
      <w:pPr>
        <w:pStyle w:val="ListParagraph"/>
        <w:numPr>
          <w:ilvl w:val="0"/>
          <w:numId w:val="3"/>
        </w:numPr>
        <w:spacing w:after="60"/>
      </w:pPr>
      <w:r>
        <w:t xml:space="preserve">Coi người liên hệ nhiều nhất là người quyết định.</w:t>
      </w:r>
    </w:p>
    <w:p>
      <w:pPr>
        <w:pStyle w:val="ListParagraph"/>
        <w:numPr>
          <w:ilvl w:val="0"/>
          <w:numId w:val="3"/>
        </w:numPr>
        <w:spacing w:after="60"/>
      </w:pPr>
      <w:r>
        <w:t xml:space="preserve">Chỉ làm hài lòng người quyết định, quên người dùng và gatekeeper.</w:t>
      </w:r>
    </w:p>
    <w:p>
      <w:pPr>
        <w:pStyle w:val="Heading1"/>
      </w:pPr>
      <w:r>
        <w:t xml:space="preserve">Liên hệ với kế hoạch cuối kỳ (SMP)</w:t>
      </w:r>
    </w:p>
    <w:p>
      <w:pPr>
        <w:spacing w:after="120"/>
      </w:pPr>
      <w:r>
        <w:t xml:space="preserve">PESTEL và đối thủ của khách hàng, hành trình của khách của khách hàng, DMU/GRASP là phần lõi của </w:t>
      </w:r>
      <w:r>
        <w:rPr>
          <w:b/>
          <w:bCs/>
        </w:rPr>
        <w:t xml:space="preserve">phần A (Value Insights)</w:t>
      </w:r>
      <w:r>
        <w:t xml:space="preserve"> trong SMP.</w:t>
      </w:r>
    </w:p>
    <w:p>
      <w:pPr>
        <w:pStyle w:val="Heading1"/>
      </w:pPr>
      <w:r>
        <w:t xml:space="preserve">Câu hỏi tự ôn</w:t>
      </w:r>
    </w:p>
    <w:p>
      <w:pPr>
        <w:pStyle w:val="ListParagraph"/>
        <w:numPr>
          <w:ilvl w:val="0"/>
          <w:numId w:val="6"/>
        </w:numPr>
        <w:spacing w:after="60"/>
      </w:pPr>
      <w:r>
        <w:t xml:space="preserve">Vì sao trong KAM, PESTEL phải là PESTEL của khách hàng? Cho một ví dụ dữ kiện → nhu cầu → cơ hội.</w:t>
      </w:r>
    </w:p>
    <w:p>
      <w:pPr>
        <w:pStyle w:val="ListParagraph"/>
        <w:numPr>
          <w:ilvl w:val="0"/>
          <w:numId w:val="6"/>
        </w:numPr>
        <w:spacing w:after="60"/>
      </w:pPr>
      <w:r>
        <w:t xml:space="preserve">Một khách VIP nghe đồng nghiệp khen sự kiện năm ngoái. Đây là loại điểm chạm nào? Agency có thể chuẩn bị gì?</w:t>
      </w:r>
    </w:p>
    <w:p>
      <w:pPr>
        <w:pStyle w:val="ListParagraph"/>
        <w:numPr>
          <w:ilvl w:val="0"/>
          <w:numId w:val="6"/>
        </w:numPr>
        <w:spacing w:after="60"/>
      </w:pPr>
      <w:r>
        <w:t xml:space="preserve">Phân biệt hai lớp hành trình của môn học.</w:t>
      </w:r>
    </w:p>
    <w:p>
      <w:pPr>
        <w:pStyle w:val="ListParagraph"/>
        <w:numPr>
          <w:ilvl w:val="0"/>
          <w:numId w:val="6"/>
        </w:numPr>
        <w:spacing w:after="60"/>
      </w:pPr>
      <w:r>
        <w:t xml:space="preserve">Vì sao chữ G trong GRASP nên được viết sau cùng?</w:t>
      </w:r>
    </w:p>
    <w:p>
      <w:pPr>
        <w:pStyle w:val="Heading1"/>
      </w:pPr>
      <w:r>
        <w:t xml:space="preserve">Tài liệu tham khảo</w:t>
      </w:r>
    </w:p>
    <w:p>
      <w:pPr>
        <w:pStyle w:val="ListParagraph"/>
        <w:numPr>
          <w:ilvl w:val="0"/>
          <w:numId w:val="3"/>
        </w:numPr>
        <w:spacing w:after="60"/>
      </w:pPr>
      <w:r>
        <w:t xml:space="preserve">Davies, M. (n.d.). </w:t>
      </w:r>
      <w:r>
        <w:rPr>
          <w:i/>
          <w:iCs/>
        </w:rPr>
        <w:t xml:space="preserve">The value planning framework for key accounts</w:t>
      </w:r>
      <w:r>
        <w:t xml:space="preserve">. Key Account Management Forum.</w:t>
      </w:r>
    </w:p>
    <w:p>
      <w:pPr>
        <w:pStyle w:val="ListParagraph"/>
        <w:numPr>
          <w:ilvl w:val="0"/>
          <w:numId w:val="3"/>
        </w:numPr>
        <w:spacing w:after="60"/>
      </w:pPr>
      <w:r>
        <w:t xml:space="preserve">Lemon, K. N., &amp; Verhoef, P. C. (2016). Understanding customer experience throughout the customer journey. </w:t>
      </w:r>
      <w:r>
        <w:rPr>
          <w:i/>
          <w:iCs/>
        </w:rPr>
        <w:t xml:space="preserve">Journal of Marketing, 80</w:t>
      </w:r>
      <w:r>
        <w:t xml:space="preserve">(6), 69–96.</w:t>
      </w:r>
    </w:p>
    <w:p>
      <w:pPr>
        <w:pStyle w:val="ListParagraph"/>
        <w:numPr>
          <w:ilvl w:val="0"/>
          <w:numId w:val="3"/>
        </w:numPr>
        <w:spacing w:after="60"/>
      </w:pPr>
      <w:r>
        <w:t xml:space="preserve">Marcos, J., Davies, M., Guesalaga, R., &amp; Holt, S. (2018). </w:t>
      </w:r>
      <w:r>
        <w:rPr>
          <w:i/>
          <w:iCs/>
        </w:rPr>
        <w:t xml:space="preserve">Implementing key account management: Designing customer-centric processes for mutual growth</w:t>
      </w:r>
      <w:r>
        <w:t xml:space="preserve">. Kogan Page.</w:t>
      </w:r>
    </w:p>
    <w:p>
      <w:pPr>
        <w:pStyle w:val="ListParagraph"/>
        <w:numPr>
          <w:ilvl w:val="0"/>
          <w:numId w:val="3"/>
        </w:numPr>
        <w:spacing w:after="60"/>
      </w:pPr>
      <w:r>
        <w:t xml:space="preserve">Trần Nguyễn Huỳnh Như. (2023). </w:t>
      </w:r>
      <w:r>
        <w:rPr>
          <w:i/>
          <w:iCs/>
        </w:rPr>
        <w:t xml:space="preserve">Chương 2: Khách hàng trọng yếu trong sự kiện</w:t>
      </w:r>
      <w:r>
        <w:t xml:space="preserve"> [Slide bài giảng].</w:t>
      </w:r>
    </w:p>
    <w:p>
      <w:pPr>
        <w:pStyle w:val="ListParagraph"/>
        <w:numPr>
          <w:ilvl w:val="0"/>
          <w:numId w:val="3"/>
        </w:numPr>
        <w:spacing w:after="60"/>
      </w:pPr>
      <w:r>
        <w:t xml:space="preserve">Trần Nguyễn Huỳnh Như. (2023). </w:t>
      </w:r>
      <w:r>
        <w:rPr>
          <w:i/>
          <w:iCs/>
        </w:rPr>
        <w:t xml:space="preserve">Chương 3: Xây dựng mối quan hệ với khách hàng trọng yếu</w:t>
      </w:r>
      <w:r>
        <w:t xml:space="preserve"> [Slide bài giảng].</w:t>
      </w:r>
    </w:p>
    <w:p>
      <w:pPr>
        <w:pStyle w:val="ListParagraph"/>
        <w:numPr>
          <w:ilvl w:val="0"/>
          <w:numId w:val="3"/>
        </w:numPr>
        <w:spacing w:after="60"/>
      </w:pPr>
      <w:r>
        <w:t xml:space="preserve">VnEconomy. (2026, January 11). </w:t>
      </w:r>
      <w:r>
        <w:rPr>
          <w:i/>
          <w:iCs/>
        </w:rPr>
        <w:t xml:space="preserve">Năm 2026, tín dụng dự kiến tăng thêm 2,79 triệu tỷ đồng, giảm 183.000 tỷ so với 2025</w:t>
      </w:r>
      <w:r>
        <w:t xml:space="preserve">.</w:t>
      </w:r>
    </w:p>
    <w:p>
      <w:pPr>
        <w:pStyle w:val="ListParagraph"/>
        <w:numPr>
          <w:ilvl w:val="0"/>
          <w:numId w:val="3"/>
        </w:numPr>
        <w:spacing w:after="60"/>
      </w:pPr>
      <w:r>
        <w:t xml:space="preserve">Webster, F. E., Jr., &amp; Wind, Y. (1972). A general model for understanding organizational buying behavior. </w:t>
      </w:r>
      <w:r>
        <w:rPr>
          <w:i/>
          <w:iCs/>
        </w:rPr>
        <w:t xml:space="preserve">Journal of Marketing, 36</w:t>
      </w:r>
      <w:r>
        <w:t xml:space="preserve">(2), 12–19.</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8"/>
        <w:sz w:val="16"/>
        <w:szCs w:val="16"/>
      </w:rPr>
      <w:t xml:space="preserve">EVM1110E · Tài liệu tóm tắt dành cho sinh viên · Trang </w:t>
    </w:r>
    <w:r>
      <w:rPr>
        <w:color w:val="5A64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Arial" w:cs="Arial" w:eastAsia="Arial" w:hAnsi="Arial"/>
      <w:b/>
      <w:bCs/>
      <w:color w:val="172849"/>
      <w:sz w:val="34"/>
      <w:szCs w:val="34"/>
    </w:rPr>
  </w:style>
  <w:style w:type="paragraph" w:styleId="Heading1">
    <w:name w:val="Heading 1"/>
    <w:basedOn w:val="Normal"/>
    <w:next w:val="Normal"/>
    <w:qFormat/>
    <w:pPr>
      <w:keepNext/>
      <w:spacing w:after="120" w:before="300"/>
      <w:outlineLvl w:val="0"/>
    </w:pPr>
    <w:rPr>
      <w:rFonts w:ascii="Arial" w:cs="Arial" w:eastAsia="Arial" w:hAnsi="Arial"/>
      <w:b/>
      <w:bCs/>
      <w:color w:val="172849"/>
      <w:sz w:val="27"/>
      <w:szCs w:val="27"/>
    </w:rPr>
  </w:style>
  <w:style w:type="paragraph" w:styleId="Heading2">
    <w:name w:val="Heading 2"/>
    <w:basedOn w:val="Normal"/>
    <w:next w:val="Normal"/>
    <w:qFormat/>
    <w:pPr>
      <w:keepNext/>
      <w:spacing w:after="100" w:before="200"/>
      <w:outlineLvl w:val="1"/>
    </w:pPr>
    <w:rPr>
      <w:rFonts w:ascii="Arial" w:cs="Arial" w:eastAsia="Arial" w:hAnsi="Arial"/>
      <w:b/>
      <w:bCs/>
      <w:color w:val="2E8B7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Buổi 3: Hiểu khách hàng và hành trình khách hàng</dc:title>
  <dc:creator>EVM1110E</dc:creator>
  <cp:lastModifiedBy>Un-named</cp:lastModifiedBy>
  <cp:revision>1</cp:revision>
  <dcterms:created xsi:type="dcterms:W3CDTF">2026-10-05T01:39:13.073Z</dcterms:created>
  <dcterms:modified xsi:type="dcterms:W3CDTF">2026-10-05T01:39:13.073Z</dcterms:modified>
</cp:coreProperties>
</file>

<file path=docProps/custom.xml><?xml version="1.0" encoding="utf-8"?>
<Properties xmlns="http://schemas.openxmlformats.org/officeDocument/2006/custom-properties" xmlns:vt="http://schemas.openxmlformats.org/officeDocument/2006/docPropsVTypes"/>
</file>