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Buổi 4: Đo lường chất lượng quan hệ</w:t>
      </w:r>
    </w:p>
    <w:p>
      <w:pPr>
        <w:pBdr>
          <w:bottom w:val="single" w:color="2E8B74" w:sz="8" w:space="6"/>
        </w:pBdr>
        <w:spacing w:after="240"/>
      </w:pPr>
      <w:r>
        <w:rPr>
          <w:color w:val="5A6478"/>
          <w:sz w:val="21"/>
          <w:szCs w:val="21"/>
        </w:rPr>
        <w:t xml:space="preserve">EVM1110E Quản trị mối quan hệ trong tổ chức sự kiện · Tài liệu tóm tắt kiến thức trọng tâm</w:t>
      </w:r>
    </w:p>
    <w:p>
      <w:pPr>
        <w:pBdr>
          <w:left w:val="single" w:color="2E8B74" w:sz="18" w:space="8"/>
        </w:pBdr>
        <w:shd w:fill="E8F4F0" w:color="auto" w:val="clear"/>
        <w:spacing w:after="160" w:before="80"/>
        <w:ind w:left="200" w:right="100"/>
      </w:pPr>
      <w:r>
        <w:rPr>
          <w:color w:val="333F55"/>
          <w:sz w:val="20"/>
          <w:szCs w:val="20"/>
        </w:rPr>
        <w:t xml:space="preserve">Tài liệu này giúp bạn ôn lại những ý chính của buổi học. Nó không thay thế việc tham dự lớp. Các tên “Nova Events”, “Ngân hàng An Phát” và nhân vật trong ví dụ là tình huống giả định của môn học; mọi con số trong tình huống đều là giả định.</w:t>
      </w:r>
    </w:p>
    <w:p>
      <w:pPr>
        <w:pStyle w:val="Heading1"/>
      </w:pPr>
      <w:r>
        <w:t xml:space="preserve">Sau buổi này, bạn cần nắm được</w:t>
      </w:r>
    </w:p>
    <w:p>
      <w:pPr>
        <w:pStyle w:val="ListParagraph"/>
        <w:numPr>
          <w:ilvl w:val="0"/>
          <w:numId w:val="2"/>
        </w:numPr>
        <w:spacing w:after="60"/>
      </w:pPr>
      <w:r>
        <w:t xml:space="preserve">Định nghĩa niềm tin (trust), cam kết (commitment), xung đột chức năng (functional conflict) và quan hệ giữa chúng.</w:t>
      </w:r>
    </w:p>
    <w:p>
      <w:pPr>
        <w:pStyle w:val="ListParagraph"/>
        <w:numPr>
          <w:ilvl w:val="0"/>
          <w:numId w:val="2"/>
        </w:numPr>
        <w:spacing w:after="60"/>
      </w:pPr>
      <w:r>
        <w:t xml:space="preserve">Cách chẩn đoán chất lượng quan hệ từ bằng chứng và đo bằng bộ câu hỏi hai chiều.</w:t>
      </w:r>
    </w:p>
    <w:p>
      <w:pPr>
        <w:pStyle w:val="ListParagraph"/>
        <w:numPr>
          <w:ilvl w:val="0"/>
          <w:numId w:val="2"/>
        </w:numPr>
        <w:spacing w:after="60"/>
      </w:pPr>
      <w:r>
        <w:t xml:space="preserve">Cách biến một bất đồng thành xung đột chức năng, và lộ trình từ giao dịch sang quan hệ đối tác.</w:t>
      </w:r>
    </w:p>
    <w:p>
      <w:pPr>
        <w:pStyle w:val="Heading1"/>
      </w:pPr>
      <w:r>
        <w:t xml:space="preserve">1. Mối quan hệ là gì?</w:t>
      </w:r>
    </w:p>
    <w:p>
      <w:pPr>
        <w:spacing w:after="120"/>
      </w:pPr>
      <w:r>
        <w:t xml:space="preserve">Ba cách nhìn bổ sung cho nhau:</w:t>
      </w:r>
    </w:p>
    <w:p>
      <w:pPr>
        <w:pStyle w:val="ListParagraph"/>
        <w:numPr>
          <w:ilvl w:val="0"/>
          <w:numId w:val="3"/>
        </w:numPr>
        <w:spacing w:after="60"/>
      </w:pPr>
      <w:r>
        <w:rPr>
          <w:b/>
          <w:bCs/>
        </w:rPr>
        <w:t xml:space="preserve">Czepiel:</w:t>
      </w:r>
      <w:r>
        <w:t xml:space="preserve"> sự công nhận lẫn nhau về một tình trạng đặc biệt giữa các bên trao đổi.</w:t>
      </w:r>
    </w:p>
    <w:p>
      <w:pPr>
        <w:pStyle w:val="ListParagraph"/>
        <w:numPr>
          <w:ilvl w:val="0"/>
          <w:numId w:val="3"/>
        </w:numPr>
        <w:spacing w:after="60"/>
      </w:pPr>
      <w:r>
        <w:rPr>
          <w:b/>
          <w:bCs/>
        </w:rPr>
        <w:t xml:space="preserve">Buttle:</w:t>
      </w:r>
      <w:r>
        <w:t xml:space="preserve"> một loạt giai đoạn tương tác giữa các bên theo thời gian.</w:t>
      </w:r>
    </w:p>
    <w:p>
      <w:pPr>
        <w:pStyle w:val="ListParagraph"/>
        <w:numPr>
          <w:ilvl w:val="0"/>
          <w:numId w:val="3"/>
        </w:numPr>
        <w:spacing w:after="60"/>
      </w:pPr>
      <w:r>
        <w:rPr>
          <w:b/>
          <w:bCs/>
        </w:rPr>
        <w:t xml:space="preserve">Marcos:</w:t>
      </w:r>
      <w:r>
        <w:t xml:space="preserve"> thể hiện qua mức độ phụ thuộc của mỗi bên.</w:t>
      </w:r>
    </w:p>
    <w:p>
      <w:pPr>
        <w:spacing w:after="120"/>
      </w:pPr>
      <w:r>
        <w:t xml:space="preserve">Gộp lại: quan hệ là khi hai bên công nhận nhau là đặc biệt, qua nhiều lần tương tác, với một mức phụ thuộc nhất định.</w:t>
      </w:r>
    </w:p>
    <w:p>
      <w:pPr>
        <w:spacing w:after="120"/>
      </w:pPr>
      <w:r>
        <w:rPr>
          <w:b/>
          <w:bCs/>
        </w:rPr>
        <w:t xml:space="preserve">Không phàn nàn chưa chắc là hài lòng.</w:t>
      </w:r>
      <w:r>
        <w:t xml:space="preserve"> Khách hàng im lặng có thể vì hài lòng, cũng có thể vì không đủ tin để nói thật. Cảm giác không đủ để phân biệt, nên phải đo.</w:t>
      </w:r>
    </w:p>
    <w:p>
      <w:pPr>
        <w:pStyle w:val="Heading1"/>
      </w:pPr>
      <w:r>
        <w:t xml:space="preserve">2. Ba trụ cột của chất lượng quan hệ</w:t>
      </w:r>
    </w:p>
    <w:p>
      <w:pPr>
        <w:spacing w:after="120"/>
      </w:pPr>
      <w:r>
        <w:t xml:space="preserve">Giáo trình (Marcos et al., 2018) gọi chất lượng quan hệ là đánh giá tình trạng hiện tại của quan hệ và kỳ vọng nó phát triển ra sao. Có ba chiều.</w:t>
      </w:r>
    </w:p>
    <w:p>
      <w:pPr>
        <w:pStyle w:val="Heading2"/>
      </w:pPr>
      <w:r>
        <w:t xml:space="preserve">Xung đột: hai mặt</w:t>
      </w:r>
    </w:p>
    <w:p>
      <w:pPr>
        <w:spacing w:after="120"/>
      </w:pPr>
      <w:r>
        <w:t xml:space="preserve">Xung đột là căng thẳng giữa khách hàng và agency do khác biệt thực tế hoặc nhận thức được.</w:t>
      </w:r>
    </w:p>
    <w:p>
      <w:pPr>
        <w:pStyle w:val="ListParagraph"/>
        <w:numPr>
          <w:ilvl w:val="0"/>
          <w:numId w:val="3"/>
        </w:numPr>
        <w:spacing w:after="60"/>
      </w:pPr>
      <w:r>
        <w:rPr>
          <w:b/>
          <w:bCs/>
        </w:rPr>
        <w:t xml:space="preserve">Xung đột rối loạn chức năng</w:t>
      </w:r>
      <w:r>
        <w:t xml:space="preserve"> (dysfunctional): tạo thù địch, cản trở ra quyết định, dẫn đến bóp méo hoặc che giấu thông tin.</w:t>
      </w:r>
    </w:p>
    <w:p>
      <w:pPr>
        <w:pStyle w:val="ListParagraph"/>
        <w:numPr>
          <w:ilvl w:val="0"/>
          <w:numId w:val="3"/>
        </w:numPr>
        <w:spacing w:after="60"/>
      </w:pPr>
      <w:r>
        <w:rPr>
          <w:b/>
          <w:bCs/>
        </w:rPr>
        <w:t xml:space="preserve">Xung đột chức năng</w:t>
      </w:r>
      <w:r>
        <w:t xml:space="preserve"> (functional): thúc đẩy thảo luận, sáng tạo, thích ứng. Morgan &amp; Hunt (1994) định nghĩa đây là bất đồng </w:t>
      </w:r>
      <w:r>
        <w:rPr>
          <w:b/>
          <w:bCs/>
        </w:rPr>
        <w:t xml:space="preserve">được giải quyết êm thấm</w:t>
      </w:r>
      <w:r>
        <w:t xml:space="preserve">; nó ngăn quan hệ trì trệ và là kênh để nêu vấn đề và tìm giải pháp. Đây là “một phần bình thường của kinh doanh”.</w:t>
      </w:r>
    </w:p>
    <w:p>
      <w:pPr>
        <w:spacing w:after="120"/>
      </w:pPr>
      <w:r>
        <w:t xml:space="preserve">Xung đột chức năng </w:t>
      </w:r>
      <w:r>
        <w:rPr>
          <w:b/>
          <w:bCs/>
        </w:rPr>
        <w:t xml:space="preserve">không phải là “ít xung đột”</w:t>
      </w:r>
      <w:r>
        <w:t xml:space="preserve">. Một quan hệ không có bất đồng nào có thể là quan hệ trì trệ.</w:t>
      </w:r>
    </w:p>
    <w:p>
      <w:pPr>
        <w:pStyle w:val="Heading2"/>
      </w:pPr>
      <w:r>
        <w:t xml:space="preserve">Niềm tin</w:t>
      </w:r>
    </w:p>
    <w:p>
      <w:pPr>
        <w:spacing w:after="120"/>
      </w:pPr>
      <w:r>
        <w:t xml:space="preserve">Morgan &amp; Hunt (1994): niềm tin tồn tại khi một bên tin vào </w:t>
      </w:r>
      <w:r>
        <w:rPr>
          <w:b/>
          <w:bCs/>
        </w:rPr>
        <w:t xml:space="preserve">độ tin cậy</w:t>
      </w:r>
      <w:r>
        <w:t xml:space="preserve"> và </w:t>
      </w:r>
      <w:r>
        <w:rPr>
          <w:b/>
          <w:bCs/>
        </w:rPr>
        <w:t xml:space="preserve">sự chính trực</w:t>
      </w:r>
      <w:r>
        <w:t xml:space="preserve"> của đối tác. Giáo trình tách thành hai phần:</w:t>
      </w:r>
    </w:p>
    <w:p>
      <w:pPr>
        <w:pStyle w:val="ListParagraph"/>
        <w:numPr>
          <w:ilvl w:val="0"/>
          <w:numId w:val="3"/>
        </w:numPr>
        <w:spacing w:after="60"/>
      </w:pPr>
      <w:r>
        <w:rPr>
          <w:b/>
          <w:bCs/>
        </w:rPr>
        <w:t xml:space="preserve">Niềm tin về chuyên môn:</w:t>
      </w:r>
      <w:r>
        <w:t xml:space="preserve"> bên kia đủ kiến thức, làm việc hiệu quả, chuyên nghiệp.</w:t>
      </w:r>
    </w:p>
    <w:p>
      <w:pPr>
        <w:pStyle w:val="ListParagraph"/>
        <w:numPr>
          <w:ilvl w:val="0"/>
          <w:numId w:val="3"/>
        </w:numPr>
        <w:spacing w:after="60"/>
      </w:pPr>
      <w:r>
        <w:rPr>
          <w:b/>
          <w:bCs/>
        </w:rPr>
        <w:t xml:space="preserve">Niềm tin về thiện chí:</w:t>
      </w:r>
      <w:r>
        <w:t xml:space="preserve"> bên kia có ý định và động cơ có lợi cho mình.</w:t>
      </w:r>
    </w:p>
    <w:p>
      <w:pPr>
        <w:spacing w:after="120"/>
      </w:pPr>
      <w:r>
        <w:t xml:space="preserve">Nhiều agency giống nhau về chuyên môn; khác biệt thường nằm ở </w:t>
      </w:r>
      <w:r>
        <w:rPr>
          <w:b/>
          <w:bCs/>
        </w:rPr>
        <w:t xml:space="preserve">thiện chí</w:t>
      </w:r>
      <w:r>
        <w:t xml:space="preserve">. Niềm tin giúp giảm cảm nhận rủi ro, giảm chi phí giao dịch (không cần văn bản hóa mọi thỏa thuận), và làm hai bên sẵn lòng đầu tư riêng cho quan hệ. Niềm tin xây rất lâu và có thể mất rất nhanh.</w:t>
      </w:r>
    </w:p>
    <w:p>
      <w:pPr>
        <w:pStyle w:val="Heading2"/>
      </w:pPr>
      <w:r>
        <w:t xml:space="preserve">Cam kết</w:t>
      </w:r>
    </w:p>
    <w:p>
      <w:pPr>
        <w:spacing w:after="120"/>
      </w:pPr>
      <w:r>
        <w:t xml:space="preserve">Morgan &amp; Hunt (1994): một bên tin rằng quan hệ quan trọng đến mức </w:t>
      </w:r>
      <w:r>
        <w:rPr>
          <w:b/>
          <w:bCs/>
        </w:rPr>
        <w:t xml:space="preserve">đáng nỗ lực tối đa để giữ</w:t>
      </w:r>
      <w:r>
        <w:t xml:space="preserve">, đáng vun đắp để kéo dài. Cam kết gồm mong muốn phát triển quan hệ ổn định và sẵn sàng hy sinh ngắn hạn để duy trì. Cam kết không chỉ là ý định mà là </w:t>
      </w:r>
      <w:r>
        <w:rPr>
          <w:b/>
          <w:bCs/>
        </w:rPr>
        <w:t xml:space="preserve">hành vi</w:t>
      </w:r>
      <w:r>
        <w:t xml:space="preserve">: đầu tư nguồn lực riêng cho khách hàng đó.</w:t>
      </w:r>
    </w:p>
    <w:p>
      <w:pPr>
        <w:pStyle w:val="Heading2"/>
      </w:pPr>
      <w:r>
        <w:t xml:space="preserve">Ba trụ cột liên hệ thế nào?</w:t>
      </w:r>
    </w:p>
    <w:p>
      <w:pPr>
        <w:pStyle w:val="ListParagraph"/>
        <w:numPr>
          <w:ilvl w:val="0"/>
          <w:numId w:val="3"/>
        </w:numPr>
        <w:spacing w:after="60"/>
      </w:pPr>
      <w:r>
        <w:t xml:space="preserve">Trong mô hình của Morgan &amp; Hunt, cam kết và niềm tin là hai biến trung gian then chốt. </w:t>
      </w:r>
      <w:r>
        <w:rPr>
          <w:b/>
          <w:bCs/>
        </w:rPr>
        <w:t xml:space="preserve">Hợp tác</w:t>
      </w:r>
      <w:r>
        <w:t xml:space="preserve"> phát sinh từ cả hai. </w:t>
      </w:r>
      <w:r>
        <w:rPr>
          <w:b/>
          <w:bCs/>
        </w:rPr>
        <w:t xml:space="preserve">Xung đột chức năng là kết quả của niềm tin</w:t>
      </w:r>
      <w:r>
        <w:t xml:space="preserve">: có niềm tin thì dám nói thẳng; nói thẳng mà giải quyết được thì niềm tin tăng.</w:t>
      </w:r>
    </w:p>
    <w:p>
      <w:pPr>
        <w:pStyle w:val="ListParagraph"/>
        <w:numPr>
          <w:ilvl w:val="0"/>
          <w:numId w:val="3"/>
        </w:numPr>
        <w:spacing w:after="60"/>
      </w:pPr>
      <w:r>
        <w:t xml:space="preserve">Anderson &amp; Narus (1990): </w:t>
      </w:r>
      <w:r>
        <w:rPr>
          <w:b/>
          <w:bCs/>
        </w:rPr>
        <w:t xml:space="preserve">hợp tác là tiền đề của niềm tin</w:t>
      </w:r>
      <w:r>
        <w:t xml:space="preserve">. Với khách hàng mới, hãy cùng làm tốt vài việc nhỏ và giữ đúng những lời hứa đầu tiên.</w:t>
      </w:r>
    </w:p>
    <w:p>
      <w:pPr>
        <w:pStyle w:val="ListParagraph"/>
        <w:numPr>
          <w:ilvl w:val="0"/>
          <w:numId w:val="3"/>
        </w:numPr>
        <w:spacing w:after="60"/>
      </w:pPr>
      <w:r>
        <w:t xml:space="preserve">Palmatier et al. (2006), tổng hợp nhiều nghiên cứu: hiệu quả của người bán chịu ảnh hưởng nhiều nhất từ </w:t>
      </w:r>
      <w:r>
        <w:rPr>
          <w:b/>
          <w:bCs/>
        </w:rPr>
        <w:t xml:space="preserve">chất lượng quan hệ</w:t>
      </w:r>
      <w:r>
        <w:t xml:space="preserve"> (thước đo tổng hợp). Marketing quan hệ hiệu quả hơn trong dịch vụ và thị trường doanh nghiệp. Quan hệ với một cá nhân mạnh, nhưng rủi ro khi người đó rời đi (sẽ học ở Buổi 8).</w:t>
      </w:r>
    </w:p>
    <w:p>
      <w:pPr>
        <w:spacing w:after="120"/>
      </w:pPr>
      <w:r>
        <w:rPr>
          <w:b/>
          <w:bCs/>
        </w:rPr>
        <w:t xml:space="preserve">Bối cảnh Việt Nam.</w:t>
      </w:r>
      <w:r>
        <w:t xml:space="preserve"> Pham &amp; Pham (2025) mô tả “quan hệ” trong kinh doanh Việt Nam gồm </w:t>
      </w:r>
      <w:r>
        <w:rPr>
          <w:b/>
          <w:bCs/>
        </w:rPr>
        <w:t xml:space="preserve">thể diện, có qua có lại, tình cảm</w:t>
      </w:r>
      <w:r>
        <w:t xml:space="preserve">. Hàm ý: bất đồng nên được nêu </w:t>
      </w:r>
      <w:r>
        <w:rPr>
          <w:b/>
          <w:bCs/>
        </w:rPr>
        <w:t xml:space="preserve">riêng, đúng người, đúng lúc</w:t>
      </w:r>
      <w:r>
        <w:t xml:space="preserve">; nêu trước đám đông dễ biến thành xung đột rối loạn chức năng.</w:t>
      </w:r>
    </w:p>
    <w:p>
      <w:pPr>
        <w:pStyle w:val="Heading1"/>
      </w:pPr>
      <w:r>
        <w:t xml:space="preserve">3. Đo chất lượng quan hệ</w:t>
      </w:r>
    </w:p>
    <w:p>
      <w:pPr>
        <w:spacing w:after="120"/>
      </w:pPr>
      <w:r>
        <w:t xml:space="preserve">Nguyên tắc: </w:t>
      </w:r>
      <w:r>
        <w:rPr>
          <w:b/>
          <w:bCs/>
        </w:rPr>
        <w:t xml:space="preserve">hỏi cả hai phía</w:t>
      </w:r>
      <w:r>
        <w:t xml:space="preserve"> (agency tự chấm và khách hàng chấm cùng bộ câu hỏi), thang 1–5, và xem </w:t>
      </w:r>
      <w:r>
        <w:rPr>
          <w:b/>
          <w:bCs/>
        </w:rPr>
        <w:t xml:space="preserve">khoảng cách</w:t>
      </w:r>
      <w:r>
        <w:t xml:space="preserve"> giữa hai phía. Khoảng cách lớn là tín hiệu cần nói chuyện, quan trọng hơn điểm trung bình.</w:t>
      </w:r>
    </w:p>
    <w:p>
      <w:pPr>
        <w:spacing w:after="120"/>
      </w:pPr>
      <w:r>
        <w:t xml:space="preserve">Bộ câu hỏi của môn (công cụ học tập, chưa phải thang đo đã kiểm định):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7414"/>
      </w:tblGrid>
      <w:tr>
        <w:trPr>
          <w:tblHeader/>
        </w:trPr>
        <w:tc>
          <w:tcPr>
            <w:tcW w:type="dxa" w:w="2224"/>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Trụ cột</w:t>
            </w:r>
          </w:p>
        </w:tc>
        <w:tc>
          <w:tcPr>
            <w:tcW w:type="dxa" w:w="7414"/>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Câu hỏi</w:t>
            </w:r>
          </w:p>
        </w:tc>
      </w:tr>
      <w:tr>
        <w:trPr>
          <w:tblHeader w:val="off"/>
        </w:trPr>
        <w:tc>
          <w:tcPr>
            <w:tcW w:type="dxa" w:w="222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Niềm tin</w:t>
            </w:r>
          </w:p>
        </w:tc>
        <w:tc>
          <w:tcPr>
            <w:tcW w:type="dxa" w:w="741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Bên kia làm đúng những gì đã cam kết · Khi có vấn đề, bên kia nói thật · Tôi có thể dựa vào bên kia mà không cần kiểm tra lại mọi thứ</w:t>
            </w:r>
          </w:p>
        </w:tc>
      </w:tr>
      <w:tr>
        <w:trPr>
          <w:tblHeader w:val="off"/>
        </w:trPr>
        <w:tc>
          <w:tcPr>
            <w:tcW w:type="dxa" w:w="222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Cam kết</w:t>
            </w:r>
          </w:p>
        </w:tc>
        <w:tc>
          <w:tcPr>
            <w:tcW w:type="dxa" w:w="741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Quan hệ này đáng để chúng tôi nỗ lực tối đa giữ gìn · Chúng tôi muốn tiếp tục làm việc cùng nhau nhiều năm · Chúng tôi sẵn sàng dành thời gian, nguồn lực riêng cho quan hệ này</w:t>
            </w:r>
          </w:p>
        </w:tc>
      </w:tr>
      <w:tr>
        <w:trPr>
          <w:tblHeader w:val="off"/>
        </w:trPr>
        <w:tc>
          <w:tcPr>
            <w:tcW w:type="dxa" w:w="222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Xung đột chức năng</w:t>
            </w:r>
          </w:p>
        </w:tc>
        <w:tc>
          <w:tcPr>
            <w:tcW w:type="dxa" w:w="741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Khi bất đồng, hai bên nói thẳng với nhau · Bất đồng thường được giải quyết êm thấm · Sau mỗi lần bất đồng, cách làm việc tốt hơn</w:t>
            </w:r>
          </w:p>
        </w:tc>
      </w:tr>
    </w:tbl>
    <w:p>
      <w:pPr>
        <w:spacing w:after="80" w:before="0"/>
      </w:pPr>
    </w:p>
    <w:p>
      <w:pPr>
        <w:spacing w:after="120"/>
      </w:pPr>
      <w:r>
        <w:rPr>
          <w:i/>
          <w:iCs/>
        </w:rPr>
        <w:t xml:space="preserve">Ví dụ (giả định):</w:t>
      </w:r>
      <w:r>
        <w:t xml:space="preserve"> agency tự chấm cam kết 4,5, khách hàng chấm 3,2; xung đột chức năng 4,0 và 2,6. Điểm của khách vẫn trên 3, nhưng khoảng cách cho thấy khách không thấy bất đồng được nói ra và giải quyết.</w:t>
      </w:r>
    </w:p>
    <w:p>
      <w:pPr>
        <w:spacing w:after="120"/>
      </w:pPr>
      <w:r>
        <w:rPr>
          <w:b/>
          <w:bCs/>
        </w:rPr>
        <w:t xml:space="preserve">Bốn động lực nâng chất lượng quan hệ</w:t>
      </w:r>
      <w:r>
        <w:t xml:space="preserve"> (Marcos et al., 2018): giá trị và mục tiêu chung; chia sẻ thông tin và giao tiếp; hợp tác và có đi có lại; gắn kết cá nhân và quan hệ xã hội.</w:t>
      </w:r>
    </w:p>
    <w:p>
      <w:pPr>
        <w:pStyle w:val="Heading1"/>
      </w:pPr>
      <w:r>
        <w:t xml:space="preserve">4. Năm bước biến bất đồng thành xung đột chức năng</w:t>
      </w:r>
    </w:p>
    <w:p>
      <w:pPr>
        <w:pStyle w:val="ListParagraph"/>
        <w:numPr>
          <w:ilvl w:val="0"/>
          <w:numId w:val="4"/>
        </w:numPr>
        <w:spacing w:after="60"/>
      </w:pPr>
      <w:r>
        <w:rPr>
          <w:b/>
          <w:bCs/>
        </w:rPr>
        <w:t xml:space="preserve">Nêu sớm</w:t>
      </w:r>
      <w:r>
        <w:t xml:space="preserve">, trước khi thành bức xúc.</w:t>
      </w:r>
    </w:p>
    <w:p>
      <w:pPr>
        <w:pStyle w:val="ListParagraph"/>
        <w:numPr>
          <w:ilvl w:val="0"/>
          <w:numId w:val="4"/>
        </w:numPr>
        <w:spacing w:after="60"/>
      </w:pPr>
      <w:r>
        <w:rPr>
          <w:b/>
          <w:bCs/>
        </w:rPr>
        <w:t xml:space="preserve">Nêu riêng, đúng người</w:t>
      </w:r>
      <w:r>
        <w:t xml:space="preserve">, giữ thể diện.</w:t>
      </w:r>
    </w:p>
    <w:p>
      <w:pPr>
        <w:pStyle w:val="ListParagraph"/>
        <w:numPr>
          <w:ilvl w:val="0"/>
          <w:numId w:val="4"/>
        </w:numPr>
        <w:spacing w:after="60"/>
      </w:pPr>
      <w:r>
        <w:rPr>
          <w:b/>
          <w:bCs/>
        </w:rPr>
        <w:t xml:space="preserve">Nói về vấn đề</w:t>
      </w:r>
      <w:r>
        <w:t xml:space="preserve">, không về con người.</w:t>
      </w:r>
    </w:p>
    <w:p>
      <w:pPr>
        <w:pStyle w:val="ListParagraph"/>
        <w:numPr>
          <w:ilvl w:val="0"/>
          <w:numId w:val="4"/>
        </w:numPr>
        <w:spacing w:after="60"/>
      </w:pPr>
      <w:r>
        <w:rPr>
          <w:b/>
          <w:bCs/>
        </w:rPr>
        <w:t xml:space="preserve">Cùng giải quyết</w:t>
      </w:r>
      <w:r>
        <w:t xml:space="preserve"> (joint problem solving).</w:t>
      </w:r>
    </w:p>
    <w:p>
      <w:pPr>
        <w:pStyle w:val="ListParagraph"/>
        <w:numPr>
          <w:ilvl w:val="0"/>
          <w:numId w:val="4"/>
        </w:numPr>
        <w:spacing w:after="60"/>
      </w:pPr>
      <w:r>
        <w:rPr>
          <w:b/>
          <w:bCs/>
        </w:rPr>
        <w:t xml:space="preserve">Ghi lại và theo dõi</w:t>
      </w:r>
      <w:r>
        <w:t xml:space="preserve"> việc đã thống nhất.</w:t>
      </w:r>
    </w:p>
    <w:p>
      <w:pPr>
        <w:spacing w:after="120"/>
      </w:pPr>
      <w:r>
        <w:t xml:space="preserve">Khi bất đồng không được giải quyết, cả mạng lưới cùng trả giá. Ví dụ được báo chí đưa tin: đêm nhạc “Về đây bốn cánh chim trời” (Hà Nội, 28/12/2025) không diễn ra do tranh chấp thanh toán giữa nghệ sĩ và nhà sản xuất; địa điểm, kỹ thuật, khán giả đều chịu thiệt.</w:t>
      </w:r>
    </w:p>
    <w:p>
      <w:pPr>
        <w:spacing w:after="120"/>
      </w:pPr>
      <w:r>
        <w:rPr>
          <w:b/>
          <w:bCs/>
        </w:rPr>
        <w:t xml:space="preserve">Khách hàng tha thứ cho sự cố dễ hơn tha thứ cho việc bị giấu.</w:t>
      </w:r>
      <w:r>
        <w:t xml:space="preserve"> Giấu thông tin (ví dụ nhà cung cấp đổi thiết bị mà không báo khách) làm yếu niềm tin, kể cả khi sự kiện vẫn chạy tốt.</w:t>
      </w:r>
    </w:p>
    <w:p>
      <w:pPr>
        <w:pStyle w:val="Heading1"/>
      </w:pPr>
      <w:r>
        <w:t xml:space="preserve">5. Từ giao dịch sang quan hệ đối tác</w:t>
      </w:r>
    </w:p>
    <w:p>
      <w:pPr>
        <w:spacing w:after="120"/>
      </w:pPr>
      <w:r>
        <w:t xml:space="preserve">Giáo trình xếp quan hệ người mua – nhà cung cấp theo hai trục: </w:t>
      </w:r>
      <w:r>
        <w:rPr>
          <w:b/>
          <w:bCs/>
        </w:rPr>
        <w:t xml:space="preserve">ai phụ thuộc ai</w:t>
      </w:r>
      <w:r>
        <w:t xml:space="preserve"> và </w:t>
      </w:r>
      <w:r>
        <w:rPr>
          <w:b/>
          <w:bCs/>
        </w:rPr>
        <w:t xml:space="preserve">giao dịch rời rạc hay trao đổi quan hệ</w:t>
      </w:r>
      <w:r>
        <w:t xml:space="preserve">, ra sáu kiểu. Quan hệ cân bằng thì hợp tác; không cân bằng thì giao dịch. Hướng đi thường gặp trong KAM: từ </w:t>
      </w:r>
      <w:r>
        <w:rPr>
          <w:b/>
          <w:bCs/>
        </w:rPr>
        <w:t xml:space="preserve">nhà cung cấp yếu thế</w:t>
      </w:r>
      <w:r>
        <w:t xml:space="preserve">, sang </w:t>
      </w:r>
      <w:r>
        <w:rPr>
          <w:b/>
          <w:bCs/>
        </w:rPr>
        <w:t xml:space="preserve">khách hàng mời hợp tác</w:t>
      </w:r>
      <w:r>
        <w:t xml:space="preserve">, đến </w:t>
      </w:r>
      <w:r>
        <w:rPr>
          <w:b/>
          <w:bCs/>
        </w:rPr>
        <w:t xml:space="preserve">đối tác hợp tác</w:t>
      </w:r>
      <w:r>
        <w:t xml:space="preserve"> (cùng phụ thuộc, cùng tìm thắng – thắng).</w:t>
      </w:r>
    </w:p>
    <w:p>
      <w:pPr>
        <w:spacing w:after="120"/>
      </w:pPr>
      <w:r>
        <w:t xml:space="preserve">Dwyer, Schurr &amp; Oh (1987): phần lớn chiến lược coi mua – bán là sự kiện rời rạc thay vì quan hệ liên tục. Quan hệ key account thường đi qua các giai đoạn: khám phá → cơ bản → hợp tác → phụ thuộc lẫn nhau → tích hợp (Marcos et al., 2018). Quá trình này mất thời gian, vì dựa trên quan hệ giữa người với người.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50"/>
        <w:gridCol w:w="6088"/>
      </w:tblGrid>
      <w:tr>
        <w:trPr>
          <w:tblHeader/>
        </w:trPr>
        <w:tc>
          <w:tcPr>
            <w:tcW w:type="dxa" w:w="3550"/>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Giao dịch</w:t>
            </w:r>
          </w:p>
        </w:tc>
        <w:tc>
          <w:tcPr>
            <w:tcW w:type="dxa" w:w="6088"/>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Quan hệ đối tác</w:t>
            </w:r>
          </w:p>
        </w:tc>
      </w:tr>
      <w:tr>
        <w:trPr>
          <w:tblHeader w:val="off"/>
        </w:trPr>
        <w:tc>
          <w:tcPr>
            <w:tcW w:type="dxa" w:w="355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Đấu thầu từng sự kiện</w:t>
            </w:r>
          </w:p>
        </w:tc>
        <w:tc>
          <w:tcPr>
            <w:tcW w:type="dxa" w:w="608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Hợp đồng khung nhiều năm</w:t>
            </w:r>
          </w:p>
        </w:tc>
      </w:tr>
      <w:tr>
        <w:trPr>
          <w:tblHeader w:val="off"/>
        </w:trPr>
        <w:tc>
          <w:tcPr>
            <w:tcW w:type="dxa" w:w="355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Brief → đề xuất → làm → xong</w:t>
            </w:r>
          </w:p>
        </w:tc>
        <w:tc>
          <w:tcPr>
            <w:tcW w:type="dxa" w:w="608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Cùng lập kế hoạch năm, đánh giá chung</w:t>
            </w:r>
          </w:p>
        </w:tc>
      </w:tr>
      <w:tr>
        <w:trPr>
          <w:tblHeader w:val="off"/>
        </w:trPr>
        <w:tc>
          <w:tcPr>
            <w:tcW w:type="dxa" w:w="355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Một đầu mối</w:t>
            </w:r>
          </w:p>
        </w:tc>
        <w:tc>
          <w:tcPr>
            <w:tcW w:type="dxa" w:w="608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Nhiều đầu mối, nhiều cấp</w:t>
            </w:r>
          </w:p>
        </w:tc>
      </w:tr>
      <w:tr>
        <w:trPr>
          <w:tblHeader w:val="off"/>
        </w:trPr>
        <w:tc>
          <w:tcPr>
            <w:tcW w:type="dxa" w:w="355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Thông tin tối thiểu</w:t>
            </w:r>
          </w:p>
        </w:tc>
        <w:tc>
          <w:tcPr>
            <w:tcW w:type="dxa" w:w="608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Chia sẻ mục tiêu, dữ liệu</w:t>
            </w:r>
          </w:p>
        </w:tc>
      </w:tr>
      <w:tr>
        <w:trPr>
          <w:tblHeader w:val="off"/>
        </w:trPr>
        <w:tc>
          <w:tcPr>
            <w:tcW w:type="dxa" w:w="355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Đo bằng “sự kiện suôn sẻ”</w:t>
            </w:r>
          </w:p>
        </w:tc>
        <w:tc>
          <w:tcPr>
            <w:tcW w:type="dxa" w:w="608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Đo bằng chất lượng quan hệ và kết quả kinh doanh</w:t>
            </w:r>
          </w:p>
        </w:tc>
      </w:tr>
    </w:tbl>
    <w:p>
      <w:pPr>
        <w:spacing w:after="80" w:before="0"/>
      </w:pPr>
    </w:p>
    <w:p>
      <w:pPr>
        <w:spacing w:after="120"/>
      </w:pPr>
      <w:r>
        <w:t xml:space="preserve">Bằng chứng Việt Nam: McMillan &amp; Woodruff (1999) thấy ở doanh nghiệp tư nhân thập niên 1990, quan hệ giao dịch càng lâu thì tín dụng thương mại cho khách càng lớn. Thời gian quan hệ tự nó có giá trị kinh tế.</w:t>
      </w:r>
    </w:p>
    <w:p>
      <w:pPr>
        <w:pStyle w:val="Heading1"/>
      </w:pPr>
      <w:r>
        <w:t xml:space="preserve">6. Đạo đức trong quan hệ</w:t>
      </w:r>
    </w:p>
    <w:p>
      <w:pPr>
        <w:spacing w:after="120"/>
      </w:pPr>
      <w:r>
        <w:t xml:space="preserve">Nên báo sự cố sớm kèm phương án, chia sẻ lợi ích và chi phí công bằng, tôn trọng quy định nội bộ của khách về quà tặng và tiếp khách. Không dùng thế mạnh để ép bên kia thiệt một chiều, không biến “có qua có lại” thành quà cáp để được chọn, không hứa riêng với một người điều công ty không làm được.</w:t>
      </w:r>
    </w:p>
    <w:p>
      <w:pPr>
        <w:pStyle w:val="Heading1"/>
      </w:pPr>
      <w:r>
        <w:t xml:space="preserve">Thuật ngữ chính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58"/>
        <w:gridCol w:w="5080"/>
      </w:tblGrid>
      <w:tr>
        <w:trPr>
          <w:tblHeader/>
        </w:trPr>
        <w:tc>
          <w:tcPr>
            <w:tcW w:type="dxa" w:w="4558"/>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Thuật ngữ</w:t>
            </w:r>
          </w:p>
        </w:tc>
        <w:tc>
          <w:tcPr>
            <w:tcW w:type="dxa" w:w="5080"/>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Nghĩa</w:t>
            </w:r>
          </w:p>
        </w:tc>
      </w:tr>
      <w:tr>
        <w:trPr>
          <w:tblHeader w:val="off"/>
        </w:trPr>
        <w:tc>
          <w:tcPr>
            <w:tcW w:type="dxa" w:w="455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Relationship quality</w:t>
            </w:r>
          </w:p>
        </w:tc>
        <w:tc>
          <w:tcPr>
            <w:tcW w:type="dxa" w:w="508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Chất lượng quan hệ</w:t>
            </w:r>
          </w:p>
        </w:tc>
      </w:tr>
      <w:tr>
        <w:trPr>
          <w:tblHeader w:val="off"/>
        </w:trPr>
        <w:tc>
          <w:tcPr>
            <w:tcW w:type="dxa" w:w="455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Trust (competence / goodwill)</w:t>
            </w:r>
          </w:p>
        </w:tc>
        <w:tc>
          <w:tcPr>
            <w:tcW w:type="dxa" w:w="508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Niềm tin (về chuyên môn / về thiện chí)</w:t>
            </w:r>
          </w:p>
        </w:tc>
      </w:tr>
      <w:tr>
        <w:trPr>
          <w:tblHeader w:val="off"/>
        </w:trPr>
        <w:tc>
          <w:tcPr>
            <w:tcW w:type="dxa" w:w="455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Commitment</w:t>
            </w:r>
          </w:p>
        </w:tc>
        <w:tc>
          <w:tcPr>
            <w:tcW w:type="dxa" w:w="508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Cam kết</w:t>
            </w:r>
          </w:p>
        </w:tc>
      </w:tr>
      <w:tr>
        <w:trPr>
          <w:tblHeader w:val="off"/>
        </w:trPr>
        <w:tc>
          <w:tcPr>
            <w:tcW w:type="dxa" w:w="455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Functional / dysfunctional conflict</w:t>
            </w:r>
          </w:p>
        </w:tc>
        <w:tc>
          <w:tcPr>
            <w:tcW w:type="dxa" w:w="508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Xung đột chức năng / rối loạn chức năng</w:t>
            </w:r>
          </w:p>
        </w:tc>
      </w:tr>
      <w:tr>
        <w:trPr>
          <w:tblHeader w:val="off"/>
        </w:trPr>
        <w:tc>
          <w:tcPr>
            <w:tcW w:type="dxa" w:w="455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Joint problem solving</w:t>
            </w:r>
          </w:p>
        </w:tc>
        <w:tc>
          <w:tcPr>
            <w:tcW w:type="dxa" w:w="508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Cùng giải quyết vấn đề</w:t>
            </w:r>
          </w:p>
        </w:tc>
      </w:tr>
      <w:tr>
        <w:trPr>
          <w:tblHeader w:val="off"/>
        </w:trPr>
        <w:tc>
          <w:tcPr>
            <w:tcW w:type="dxa" w:w="455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Discrete vs relational exchange</w:t>
            </w:r>
          </w:p>
        </w:tc>
        <w:tc>
          <w:tcPr>
            <w:tcW w:type="dxa" w:w="508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Trao đổi rời rạc và trao đổi quan hệ</w:t>
            </w:r>
          </w:p>
        </w:tc>
      </w:tr>
    </w:tbl>
    <w:p>
      <w:pPr>
        <w:spacing w:after="80" w:before="0"/>
      </w:pPr>
    </w:p>
    <w:p>
      <w:pPr>
        <w:pStyle w:val="Heading1"/>
      </w:pPr>
      <w:r>
        <w:t xml:space="preserve">Lỗi thường gặp</w:t>
      </w:r>
    </w:p>
    <w:p>
      <w:pPr>
        <w:pStyle w:val="ListParagraph"/>
        <w:numPr>
          <w:ilvl w:val="0"/>
          <w:numId w:val="3"/>
        </w:numPr>
        <w:spacing w:after="60"/>
      </w:pPr>
      <w:r>
        <w:t xml:space="preserve">Chỉ hỏi người mình gặp hằng ngày rồi kết luận quan hệ tốt. Hãy đo với cả nhóm ra quyết định.</w:t>
      </w:r>
    </w:p>
    <w:p>
      <w:pPr>
        <w:pStyle w:val="ListParagraph"/>
        <w:numPr>
          <w:ilvl w:val="0"/>
          <w:numId w:val="3"/>
        </w:numPr>
        <w:spacing w:after="60"/>
      </w:pPr>
      <w:r>
        <w:t xml:space="preserve">Giấu sự cố nhỏ để giữ hình ảnh, và mất niềm tin lớn.</w:t>
      </w:r>
    </w:p>
    <w:p>
      <w:pPr>
        <w:pStyle w:val="ListParagraph"/>
        <w:numPr>
          <w:ilvl w:val="0"/>
          <w:numId w:val="3"/>
        </w:numPr>
        <w:spacing w:after="60"/>
      </w:pPr>
      <w:r>
        <w:t xml:space="preserve">Gọi là Key Account nhưng không đầu tư gì riêng.</w:t>
      </w:r>
    </w:p>
    <w:p>
      <w:pPr>
        <w:pStyle w:val="ListParagraph"/>
        <w:numPr>
          <w:ilvl w:val="0"/>
          <w:numId w:val="3"/>
        </w:numPr>
        <w:spacing w:after="60"/>
      </w:pPr>
      <w:r>
        <w:t xml:space="preserve">Hiểu xung đột chức năng là “ít xung đột”.</w:t>
      </w:r>
    </w:p>
    <w:p>
      <w:pPr>
        <w:pStyle w:val="Heading1"/>
      </w:pPr>
      <w:r>
        <w:t xml:space="preserve">Liên hệ với kế hoạch cuối kỳ (SMP)</w:t>
      </w:r>
    </w:p>
    <w:p>
      <w:pPr>
        <w:spacing w:after="120"/>
      </w:pPr>
      <w:r>
        <w:t xml:space="preserve">Đánh giá nhanh ba trụ cột với khách hàng dự án cũ, </w:t>
      </w:r>
      <w:r>
        <w:rPr>
          <w:b/>
          <w:bCs/>
        </w:rPr>
        <w:t xml:space="preserve">có bằng chứng</w:t>
      </w:r>
      <w:r>
        <w:t xml:space="preserve">, là một phần của </w:t>
      </w:r>
      <w:r>
        <w:rPr>
          <w:b/>
          <w:bCs/>
        </w:rPr>
        <w:t xml:space="preserve">phần B (Value Opportunities)</w:t>
      </w:r>
      <w:r>
        <w:t xml:space="preserve">: chất lượng quan hệ hiện tại ra sao.</w:t>
      </w:r>
    </w:p>
    <w:p>
      <w:pPr>
        <w:pStyle w:val="Heading1"/>
      </w:pPr>
      <w:r>
        <w:t xml:space="preserve">Câu hỏi tự ôn</w:t>
      </w:r>
    </w:p>
    <w:p>
      <w:pPr>
        <w:pStyle w:val="ListParagraph"/>
        <w:numPr>
          <w:ilvl w:val="0"/>
          <w:numId w:val="5"/>
        </w:numPr>
        <w:spacing w:after="60"/>
      </w:pPr>
      <w:r>
        <w:t xml:space="preserve">Vì sao khách hàng không phàn nàn chưa chắc là hài lòng?</w:t>
      </w:r>
    </w:p>
    <w:p>
      <w:pPr>
        <w:pStyle w:val="ListParagraph"/>
        <w:numPr>
          <w:ilvl w:val="0"/>
          <w:numId w:val="5"/>
        </w:numPr>
        <w:spacing w:after="60"/>
      </w:pPr>
      <w:r>
        <w:t xml:space="preserve">Giải thích vì sao trong mô hình của Morgan &amp; Hunt, xung đột chức năng là kết quả của niềm tin.</w:t>
      </w:r>
    </w:p>
    <w:p>
      <w:pPr>
        <w:pStyle w:val="ListParagraph"/>
        <w:numPr>
          <w:ilvl w:val="0"/>
          <w:numId w:val="5"/>
        </w:numPr>
        <w:spacing w:after="60"/>
      </w:pPr>
      <w:r>
        <w:t xml:space="preserve">Nhà cung cấp đổi thiết bị sát ngày, agency không báo khách vì “sự kiện vẫn chạy”. Trụ cột nào bị ảnh hưởng? Vì sao?</w:t>
      </w:r>
    </w:p>
    <w:p>
      <w:pPr>
        <w:pStyle w:val="ListParagraph"/>
        <w:numPr>
          <w:ilvl w:val="0"/>
          <w:numId w:val="5"/>
        </w:numPr>
        <w:spacing w:after="60"/>
      </w:pPr>
      <w:r>
        <w:t xml:space="preserve">Vì sao khoảng cách giữa điểm agency tự chấm và điểm khách hàng chấm quan trọng hơn điểm trung bình?</w:t>
      </w:r>
    </w:p>
    <w:p>
      <w:pPr>
        <w:pStyle w:val="Heading1"/>
      </w:pPr>
      <w:r>
        <w:t xml:space="preserve">Tài liệu tham khảo</w:t>
      </w:r>
    </w:p>
    <w:p>
      <w:pPr>
        <w:pStyle w:val="ListParagraph"/>
        <w:numPr>
          <w:ilvl w:val="0"/>
          <w:numId w:val="3"/>
        </w:numPr>
        <w:spacing w:after="60"/>
      </w:pPr>
      <w:r>
        <w:t xml:space="preserve">Anderson, J. C., &amp; Narus, J. A. (1990). A model of distributor firm and manufacturer firm working partnerships. </w:t>
      </w:r>
      <w:r>
        <w:rPr>
          <w:i/>
          <w:iCs/>
        </w:rPr>
        <w:t xml:space="preserve">Journal of Marketing, 54</w:t>
      </w:r>
      <w:r>
        <w:t xml:space="preserve">(1), 42–58.</w:t>
      </w:r>
    </w:p>
    <w:p>
      <w:pPr>
        <w:pStyle w:val="ListParagraph"/>
        <w:numPr>
          <w:ilvl w:val="0"/>
          <w:numId w:val="3"/>
        </w:numPr>
        <w:spacing w:after="60"/>
      </w:pPr>
      <w:r>
        <w:t xml:space="preserve">Dwyer, F. R., Schurr, P. H., &amp; Oh, S. (1987). Developing buyer-seller relationships. </w:t>
      </w:r>
      <w:r>
        <w:rPr>
          <w:i/>
          <w:iCs/>
        </w:rPr>
        <w:t xml:space="preserve">Journal of Marketing, 51</w:t>
      </w:r>
      <w:r>
        <w:t xml:space="preserve">(2), 11–27.</w:t>
      </w:r>
    </w:p>
    <w:p>
      <w:pPr>
        <w:pStyle w:val="ListParagraph"/>
        <w:numPr>
          <w:ilvl w:val="0"/>
          <w:numId w:val="3"/>
        </w:numPr>
        <w:spacing w:after="60"/>
      </w:pPr>
      <w:r>
        <w:t xml:space="preserve">Marcos, J., Davies, M., Guesalaga, R., &amp; Holt, S. (2018). </w:t>
      </w:r>
      <w:r>
        <w:rPr>
          <w:i/>
          <w:iCs/>
        </w:rPr>
        <w:t xml:space="preserve">Implementing key account management: Designing customer-centric processes for mutual growth</w:t>
      </w:r>
      <w:r>
        <w:t xml:space="preserve">. Kogan Page.</w:t>
      </w:r>
    </w:p>
    <w:p>
      <w:pPr>
        <w:pStyle w:val="ListParagraph"/>
        <w:numPr>
          <w:ilvl w:val="0"/>
          <w:numId w:val="3"/>
        </w:numPr>
        <w:spacing w:after="60"/>
      </w:pPr>
      <w:r>
        <w:t xml:space="preserve">McMillan, J., &amp; Woodruff, C. (1999). Interfirm relationships and informal credit in Vietnam. </w:t>
      </w:r>
      <w:r>
        <w:rPr>
          <w:i/>
          <w:iCs/>
        </w:rPr>
        <w:t xml:space="preserve">The Quarterly Journal of Economics, 114</w:t>
      </w:r>
      <w:r>
        <w:t xml:space="preserve">(4), 1285–1320.</w:t>
      </w:r>
    </w:p>
    <w:p>
      <w:pPr>
        <w:pStyle w:val="ListParagraph"/>
        <w:numPr>
          <w:ilvl w:val="0"/>
          <w:numId w:val="3"/>
        </w:numPr>
        <w:spacing w:after="60"/>
      </w:pPr>
      <w:r>
        <w:t xml:space="preserve">Morgan, R. M., &amp; Hunt, S. D. (1994). The commitment-trust theory of relationship marketing. </w:t>
      </w:r>
      <w:r>
        <w:rPr>
          <w:i/>
          <w:iCs/>
        </w:rPr>
        <w:t xml:space="preserve">Journal of Marketing, 58</w:t>
      </w:r>
      <w:r>
        <w:t xml:space="preserve">(3), 20–38.</w:t>
      </w:r>
    </w:p>
    <w:p>
      <w:pPr>
        <w:pStyle w:val="ListParagraph"/>
        <w:numPr>
          <w:ilvl w:val="0"/>
          <w:numId w:val="3"/>
        </w:numPr>
        <w:spacing w:after="60"/>
      </w:pPr>
      <w:r>
        <w:t xml:space="preserve">Palmatier, R. W., Dant, R. P., Grewal, D., &amp; Evans, K. R. (2006). Factors influencing the effectiveness of relationship marketing: A meta-analysis. </w:t>
      </w:r>
      <w:r>
        <w:rPr>
          <w:i/>
          <w:iCs/>
        </w:rPr>
        <w:t xml:space="preserve">Journal of Marketing, 70</w:t>
      </w:r>
      <w:r>
        <w:t xml:space="preserve">(4), 136–153.</w:t>
      </w:r>
    </w:p>
    <w:p>
      <w:pPr>
        <w:pStyle w:val="ListParagraph"/>
        <w:numPr>
          <w:ilvl w:val="0"/>
          <w:numId w:val="3"/>
        </w:numPr>
        <w:spacing w:after="60"/>
      </w:pPr>
      <w:r>
        <w:t xml:space="preserve">Pham, H. H., &amp; Pham, N. C. (2025). Marketing insights from Quan He. </w:t>
      </w:r>
      <w:r>
        <w:rPr>
          <w:i/>
          <w:iCs/>
        </w:rPr>
        <w:t xml:space="preserve">BIMTECH Business Perspectives</w:t>
      </w:r>
      <w:r>
        <w:t xml:space="preserve">. https://doi.org/10.1177/25819542251364646</w:t>
      </w:r>
    </w:p>
    <w:p>
      <w:pPr>
        <w:pStyle w:val="ListParagraph"/>
        <w:numPr>
          <w:ilvl w:val="0"/>
          <w:numId w:val="3"/>
        </w:numPr>
        <w:spacing w:after="60"/>
      </w:pPr>
      <w:r>
        <w:t xml:space="preserve">Trần Nguyễn Huỳnh Như. (2023). </w:t>
      </w:r>
      <w:r>
        <w:rPr>
          <w:i/>
          <w:iCs/>
        </w:rPr>
        <w:t xml:space="preserve">Chương 3: Xây dựng mối quan hệ với khách hàng trọng yếu</w:t>
      </w:r>
      <w:r>
        <w:t xml:space="preserve"> [Slide bài giảng].</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478"/>
        <w:sz w:val="16"/>
        <w:szCs w:val="16"/>
      </w:rPr>
      <w:t xml:space="preserve">EVM1110E · Tài liệu tóm tắt dành cho sinh viên · Trang </w:t>
    </w:r>
    <w:r>
      <w:rPr>
        <w:color w:val="5A647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line="300"/>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80"/>
    </w:pPr>
    <w:rPr>
      <w:rFonts w:ascii="Arial" w:cs="Arial" w:eastAsia="Arial" w:hAnsi="Arial"/>
      <w:b/>
      <w:bCs/>
      <w:color w:val="172849"/>
      <w:sz w:val="34"/>
      <w:szCs w:val="34"/>
    </w:rPr>
  </w:style>
  <w:style w:type="paragraph" w:styleId="Heading1">
    <w:name w:val="Heading 1"/>
    <w:basedOn w:val="Normal"/>
    <w:next w:val="Normal"/>
    <w:qFormat/>
    <w:pPr>
      <w:keepNext/>
      <w:spacing w:after="120" w:before="300"/>
      <w:outlineLvl w:val="0"/>
    </w:pPr>
    <w:rPr>
      <w:rFonts w:ascii="Arial" w:cs="Arial" w:eastAsia="Arial" w:hAnsi="Arial"/>
      <w:b/>
      <w:bCs/>
      <w:color w:val="172849"/>
      <w:sz w:val="27"/>
      <w:szCs w:val="27"/>
    </w:rPr>
  </w:style>
  <w:style w:type="paragraph" w:styleId="Heading2">
    <w:name w:val="Heading 2"/>
    <w:basedOn w:val="Normal"/>
    <w:next w:val="Normal"/>
    <w:qFormat/>
    <w:pPr>
      <w:keepNext/>
      <w:spacing w:after="100" w:before="200"/>
      <w:outlineLvl w:val="1"/>
    </w:pPr>
    <w:rPr>
      <w:rFonts w:ascii="Arial" w:cs="Arial" w:eastAsia="Arial" w:hAnsi="Arial"/>
      <w:b/>
      <w:bCs/>
      <w:color w:val="2E8B74"/>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Buổi 4: Đo lường chất lượng quan hệ</dc:title>
  <dc:creator>EVM1110E</dc:creator>
  <cp:lastModifiedBy>Un-named</cp:lastModifiedBy>
  <cp:revision>1</cp:revision>
  <dcterms:created xsi:type="dcterms:W3CDTF">2026-10-05T01:39:14.011Z</dcterms:created>
  <dcterms:modified xsi:type="dcterms:W3CDTF">2026-10-05T01:39:14.012Z</dcterms:modified>
</cp:coreProperties>
</file>

<file path=docProps/custom.xml><?xml version="1.0" encoding="utf-8"?>
<Properties xmlns="http://schemas.openxmlformats.org/officeDocument/2006/custom-properties" xmlns:vt="http://schemas.openxmlformats.org/officeDocument/2006/docPropsVTypes"/>
</file>