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Buổi 5: Đề xuất giá trị (CVP) và đồng kiến tạo giá trị</w:t>
      </w:r>
    </w:p>
    <w:p>
      <w:pPr>
        <w:pBdr>
          <w:bottom w:val="single" w:color="2E8B74" w:sz="8" w:space="6"/>
        </w:pBdr>
        <w:spacing w:after="240"/>
      </w:pPr>
      <w:r>
        <w:rPr>
          <w:color w:val="5A6478"/>
          <w:sz w:val="21"/>
          <w:szCs w:val="21"/>
        </w:rPr>
        <w:t xml:space="preserve">EVM1110E Quản trị mối quan hệ trong tổ chức sự kiện · Tài liệu tóm tắt kiến thức trọng tâm</w:t>
      </w:r>
    </w:p>
    <w:p>
      <w:pPr>
        <w:pBdr>
          <w:left w:val="single" w:color="2E8B74" w:sz="18" w:space="8"/>
        </w:pBdr>
        <w:shd w:fill="E8F4F0" w:color="auto" w:val="clear"/>
        <w:spacing w:after="160" w:before="80"/>
        <w:ind w:left="200" w:right="100"/>
      </w:pPr>
      <w:r>
        <w:rPr>
          <w:color w:val="333F55"/>
          <w:sz w:val="20"/>
          <w:szCs w:val="20"/>
        </w:rPr>
        <w:t xml:space="preserve">Tài liệu này giúp bạn ôn lại những ý chính của buổi học. Nó không thay thế việc tham dự lớp. Các tên “Nova Events”, “Ngân hàng An Phát” và nhân vật trong ví dụ là tình huống giả định của môn học; mọi con số trong tình huống đều là giả định.</w:t>
      </w:r>
    </w:p>
    <w:p>
      <w:pPr>
        <w:pStyle w:val="Heading1"/>
      </w:pPr>
      <w:r>
        <w:t xml:space="preserve">Sau buổi này, bạn cần nắm được</w:t>
      </w:r>
    </w:p>
    <w:p>
      <w:pPr>
        <w:pStyle w:val="ListParagraph"/>
        <w:numPr>
          <w:ilvl w:val="0"/>
          <w:numId w:val="2"/>
        </w:numPr>
        <w:spacing w:after="60"/>
      </w:pPr>
      <w:r>
        <w:t xml:space="preserve">Cấu trúc một CVP: Future state – Offering (7P) – Value appraisal, với trọng tâm cộng hưởng.</w:t>
      </w:r>
    </w:p>
    <w:p>
      <w:pPr>
        <w:pStyle w:val="ListParagraph"/>
        <w:numPr>
          <w:ilvl w:val="0"/>
          <w:numId w:val="2"/>
        </w:numPr>
        <w:spacing w:after="60"/>
      </w:pPr>
      <w:r>
        <w:t xml:space="preserve">Năm nguồn giá trị: top line, bottom line, uy tín và tính liên tục (HSSEQ), advisory, khách của khách hàng.</w:t>
      </w:r>
    </w:p>
    <w:p>
      <w:pPr>
        <w:pStyle w:val="ListParagraph"/>
        <w:numPr>
          <w:ilvl w:val="0"/>
          <w:numId w:val="2"/>
        </w:numPr>
        <w:spacing w:after="60"/>
      </w:pPr>
      <w:r>
        <w:t xml:space="preserve">Các thực hành đồng kiến tạo: co-diagnosis, co-ideation, co-design, co-testing.</w:t>
      </w:r>
    </w:p>
    <w:p>
      <w:pPr>
        <w:pStyle w:val="Heading1"/>
      </w:pPr>
      <w:r>
        <w:t xml:space="preserve">1. Hồ sơ năng lực khác đề xuất giá trị</w:t>
      </w:r>
    </w:p>
    <w:p>
      <w:pPr>
        <w:spacing w:after="120"/>
      </w:pPr>
      <w:r>
        <w:rPr>
          <w:b/>
          <w:bCs/>
        </w:rPr>
        <w:t xml:space="preserve">Hồ sơ năng lực</w:t>
      </w:r>
      <w:r>
        <w:t xml:space="preserve"> nói về agency: chúng tôi là ai, làm được gì, đã làm bao nhiêu sự kiện. </w:t>
      </w:r>
      <w:r>
        <w:rPr>
          <w:b/>
          <w:bCs/>
        </w:rPr>
        <w:t xml:space="preserve">Đề xuất giá trị (CVP)</w:t>
      </w:r>
      <w:r>
        <w:t xml:space="preserve"> nói về khách hàng: khách hàng sẽ ở đâu sau một đến ba năm, nhờ cái gì, đo bằng con số nào.</w:t>
      </w:r>
    </w:p>
    <w:p>
      <w:pPr>
        <w:spacing w:after="120"/>
      </w:pPr>
      <w:r>
        <w:t xml:space="preserve">Ba định nghĩa:</w:t>
      </w:r>
    </w:p>
    <w:p>
      <w:pPr>
        <w:pStyle w:val="ListParagraph"/>
        <w:numPr>
          <w:ilvl w:val="0"/>
          <w:numId w:val="3"/>
        </w:numPr>
        <w:spacing w:after="60"/>
      </w:pPr>
      <w:r>
        <w:rPr>
          <w:b/>
          <w:bCs/>
        </w:rPr>
        <w:t xml:space="preserve">Slide bộ môn:</w:t>
      </w:r>
      <w:r>
        <w:t xml:space="preserve"> CVP mô tả giá trị nhà cung cấp đưa ra, kèm </w:t>
      </w:r>
      <w:r>
        <w:rPr>
          <w:b/>
          <w:bCs/>
        </w:rPr>
        <w:t xml:space="preserve">bằng chứng</w:t>
      </w:r>
      <w:r>
        <w:t xml:space="preserve"> chứng minh lời hứa về giá trị sẽ hiệu quả với khách hàng.</w:t>
      </w:r>
    </w:p>
    <w:p>
      <w:pPr>
        <w:pStyle w:val="ListParagraph"/>
        <w:numPr>
          <w:ilvl w:val="0"/>
          <w:numId w:val="3"/>
        </w:numPr>
        <w:spacing w:after="60"/>
      </w:pPr>
      <w:r>
        <w:rPr>
          <w:b/>
          <w:bCs/>
        </w:rPr>
        <w:t xml:space="preserve">Marcos et al. (2018):</w:t>
      </w:r>
      <w:r>
        <w:t xml:space="preserve"> CVP tóm tắt một </w:t>
      </w:r>
      <w:r>
        <w:rPr>
          <w:b/>
          <w:bCs/>
        </w:rPr>
        <w:t xml:space="preserve">viễn cảnh tương lai tốt hơn</w:t>
      </w:r>
      <w:r>
        <w:t xml:space="preserve"> mà nhà cung cấp đưa ra cho key account, mô tả sản phẩm, dịch vụ, tinh thần quan hệ, và chứng minh bằng bằng chứng.</w:t>
      </w:r>
    </w:p>
    <w:p>
      <w:pPr>
        <w:pStyle w:val="ListParagraph"/>
        <w:numPr>
          <w:ilvl w:val="0"/>
          <w:numId w:val="3"/>
        </w:numPr>
        <w:spacing w:after="60"/>
      </w:pPr>
      <w:r>
        <w:rPr>
          <w:b/>
          <w:bCs/>
        </w:rPr>
        <w:t xml:space="preserve">McDonald:</w:t>
      </w:r>
      <w:r>
        <w:t xml:space="preserve"> chuyển đề nghị của nhà cung cấp </w:t>
      </w:r>
      <w:r>
        <w:rPr>
          <w:b/>
          <w:bCs/>
        </w:rPr>
        <w:t xml:space="preserve">thành tiền</w:t>
      </w:r>
      <w:r>
        <w:t xml:space="preserve">, cho thấy đóng góp vào lợi nhuận của khách hàng.</w:t>
      </w:r>
    </w:p>
    <w:p>
      <w:pPr>
        <w:spacing w:after="120"/>
      </w:pPr>
      <w:r>
        <w:rPr>
          <w:b/>
          <w:bCs/>
        </w:rPr>
        <w:t xml:space="preserve">CVP là phần nổi của tảng băng:</w:t>
      </w:r>
      <w:r>
        <w:t xml:space="preserve"> một bản tóm tắt ngắn, sắc cho lãnh đạo (hai, ba đoạn). Phương án chi tiết nằm bên dưới.</w:t>
      </w:r>
    </w:p>
    <w:p>
      <w:pPr>
        <w:pStyle w:val="Heading1"/>
      </w:pPr>
      <w:r>
        <w:t xml:space="preserve">2. Ba kiểu CVP</w:t>
      </w:r>
    </w:p>
    <w:p>
      <w:pPr>
        <w:spacing w:after="120"/>
      </w:pPr>
      <w:r>
        <w:t xml:space="preserve">Anderson, Narus &amp; van Rossum (2006): phần lớn CVP tuyên bố lợi ích mà không chứng minh, nên khách coi là “marketing puffery” (quảng cáo thổi phồng).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3"/>
        <w:gridCol w:w="3913"/>
        <w:gridCol w:w="3552"/>
      </w:tblGrid>
      <w:tr>
        <w:trPr>
          <w:tblHeader/>
        </w:trPr>
        <w:tc>
          <w:tcPr>
            <w:tcW w:type="dxa" w:w="217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Kiểu</w:t>
            </w:r>
          </w:p>
        </w:tc>
        <w:tc>
          <w:tcPr>
            <w:tcW w:type="dxa" w:w="391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w:t>
            </w:r>
          </w:p>
        </w:tc>
        <w:tc>
          <w:tcPr>
            <w:tcW w:type="dxa" w:w="355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Vấn đề</w:t>
            </w:r>
          </w:p>
        </w:tc>
      </w:tr>
      <w:tr>
        <w:trPr>
          <w:tblHeader w:val="off"/>
        </w:trPr>
        <w:tc>
          <w:tcPr>
            <w:tcW w:type="dxa" w:w="21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All benefits</w:t>
            </w:r>
          </w:p>
        </w:tc>
        <w:tc>
          <w:tcPr>
            <w:tcW w:type="dxa" w:w="39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Liệt kê mọi lợi ích</w:t>
            </w:r>
          </w:p>
        </w:tc>
        <w:tc>
          <w:tcPr>
            <w:tcW w:type="dxa" w:w="35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Dễ hứa điều không có giá trị với khách hàng này</w:t>
            </w:r>
          </w:p>
        </w:tc>
      </w:tr>
      <w:tr>
        <w:trPr>
          <w:tblHeader w:val="off"/>
        </w:trPr>
        <w:tc>
          <w:tcPr>
            <w:tcW w:type="dxa" w:w="21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Favorable points of difference</w:t>
            </w:r>
          </w:p>
        </w:tc>
        <w:tc>
          <w:tcPr>
            <w:tcW w:type="dxa" w:w="39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Điểm khác biệt có lợi so với đối thủ</w:t>
            </w:r>
          </w:p>
        </w:tc>
        <w:tc>
          <w:tcPr>
            <w:tcW w:type="dxa" w:w="35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 biệt chưa chắc có giá trị với khách hàng này</w:t>
            </w:r>
          </w:p>
        </w:tc>
      </w:tr>
      <w:tr>
        <w:trPr>
          <w:tblHeader w:val="off"/>
        </w:trPr>
        <w:tc>
          <w:tcPr>
            <w:tcW w:type="dxa" w:w="21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Resonating focus</w:t>
            </w:r>
          </w:p>
        </w:tc>
        <w:tc>
          <w:tcPr>
            <w:tcW w:type="dxa" w:w="39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 điểm khác biệt tạo giá trị lớn nhất cho khách hàng</w:t>
            </w:r>
          </w:p>
        </w:tc>
        <w:tc>
          <w:tcPr>
            <w:tcW w:type="dxa" w:w="35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Cần hiểu sâu khách hàng. </w:t>
            </w:r>
            <w:r>
              <w:rPr>
                <w:sz w:val="20"/>
                <w:szCs w:val="20"/>
              </w:rPr>
              <w:t xml:space="preserve">Nên dùng</w:t>
            </w:r>
          </w:p>
        </w:tc>
      </w:tr>
    </w:tbl>
    <w:p>
      <w:pPr>
        <w:spacing w:after="80" w:before="0"/>
      </w:pPr>
    </w:p>
    <w:p>
      <w:pPr>
        <w:pStyle w:val="Heading1"/>
      </w:pPr>
      <w:r>
        <w:t xml:space="preserve">3. Ba phần của một CVP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3"/>
        <w:gridCol w:w="2956"/>
        <w:gridCol w:w="3549"/>
      </w:tblGrid>
      <w:tr>
        <w:trPr>
          <w:tblHeader/>
        </w:trPr>
        <w:tc>
          <w:tcPr>
            <w:tcW w:type="dxa" w:w="3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Phần</w:t>
            </w:r>
          </w:p>
        </w:tc>
        <w:tc>
          <w:tcPr>
            <w:tcW w:type="dxa" w:w="295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Câu hỏi</w:t>
            </w:r>
          </w:p>
        </w:tc>
        <w:tc>
          <w:tcPr>
            <w:tcW w:type="dxa" w:w="354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Lưu ý</w:t>
            </w:r>
          </w:p>
        </w:tc>
      </w:tr>
      <w:tr>
        <w:trPr>
          <w:tblHeader w:val="off"/>
        </w:trPr>
        <w:tc>
          <w:tcPr>
            <w:tcW w:type="dxa" w:w="3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Future state</w:t>
            </w:r>
            <w:r>
              <w:rPr>
                <w:sz w:val="20"/>
                <w:szCs w:val="20"/>
              </w:rPr>
              <w:t xml:space="preserve"> (mong muốn tương lai của khách hàng)</w:t>
            </w:r>
          </w:p>
        </w:tc>
        <w:tc>
          <w:tcPr>
            <w:tcW w:type="dxa" w:w="29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hàng có thể mong đợi gì?</w:t>
            </w:r>
          </w:p>
        </w:tc>
        <w:tc>
          <w:tcPr>
            <w:tcW w:type="dxa" w:w="35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Phần quan trọng nhất. Nói bằng ngôn ngữ của khách, về mục tiêu chiến lược của họ, về điều đối thủ khó đưa ra</w:t>
            </w:r>
          </w:p>
        </w:tc>
      </w:tr>
      <w:tr>
        <w:trPr>
          <w:tblHeader w:val="off"/>
        </w:trPr>
        <w:tc>
          <w:tcPr>
            <w:tcW w:type="dxa" w:w="3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Offering</w:t>
            </w:r>
            <w:r>
              <w:rPr>
                <w:sz w:val="20"/>
                <w:szCs w:val="20"/>
              </w:rPr>
              <w:t xml:space="preserve"> (phương án của agency, 7P)</w:t>
            </w:r>
          </w:p>
        </w:tc>
        <w:tc>
          <w:tcPr>
            <w:tcW w:type="dxa" w:w="29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Agency làm gì và làm thế nào?</w:t>
            </w:r>
          </w:p>
        </w:tc>
        <w:tc>
          <w:tcPr>
            <w:tcW w:type="dxa" w:w="35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Phải có minh chứng đáng tin</w:t>
            </w:r>
          </w:p>
        </w:tc>
      </w:tr>
      <w:tr>
        <w:trPr>
          <w:tblHeader w:val="off"/>
        </w:trPr>
        <w:tc>
          <w:tcPr>
            <w:tcW w:type="dxa" w:w="3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appraisal</w:t>
            </w:r>
            <w:r>
              <w:rPr>
                <w:sz w:val="20"/>
                <w:szCs w:val="20"/>
              </w:rPr>
              <w:t xml:space="preserve"> (đánh giá giá trị)</w:t>
            </w:r>
          </w:p>
        </w:tc>
        <w:tc>
          <w:tcPr>
            <w:tcW w:type="dxa" w:w="29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trả bao nhiêu, hoàn vốn ra sao, vì sao đáng?</w:t>
            </w:r>
          </w:p>
        </w:tc>
        <w:tc>
          <w:tcPr>
            <w:tcW w:type="dxa" w:w="35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Thường là phần khách đọc đầu tiên</w:t>
            </w:r>
          </w:p>
        </w:tc>
      </w:tr>
    </w:tbl>
    <w:p>
      <w:pPr>
        <w:spacing w:after="80" w:before="0"/>
      </w:pPr>
    </w:p>
    <w:p>
      <w:pPr>
        <w:spacing w:after="120"/>
      </w:pPr>
      <w:r>
        <w:rPr>
          <w:b/>
          <w:bCs/>
        </w:rPr>
        <w:t xml:space="preserve">7P của dịch vụ</w:t>
      </w:r>
      <w:r>
        <w:t xml:space="preserve"> (Booms &amp; Bitner, 1981): bốn P gốc là Product, Price (cả điều khoản, cam kết mức dịch vụ), Place, Promotion. Ba P mở rộng cho dịch vụ là </w:t>
      </w:r>
      <w:r>
        <w:rPr>
          <w:b/>
          <w:bCs/>
        </w:rPr>
        <w:t xml:space="preserve">People</w:t>
      </w:r>
      <w:r>
        <w:t xml:space="preserve"> (đội ngũ khách tiếp xúc), </w:t>
      </w:r>
      <w:r>
        <w:rPr>
          <w:b/>
          <w:bCs/>
        </w:rPr>
        <w:t xml:space="preserve">Process</w:t>
      </w:r>
      <w:r>
        <w:t xml:space="preserve"> (việc phức tạp diễn ra trơn tru), </w:t>
      </w:r>
      <w:r>
        <w:rPr>
          <w:b/>
          <w:bCs/>
        </w:rPr>
        <w:t xml:space="preserve">Physical evidence</w:t>
      </w:r>
      <w:r>
        <w:t xml:space="preserve"> (những gì làm cái vô hình thành hữu hình). Với dịch vụ, “con người trở thành sản phẩm”.</w:t>
      </w:r>
    </w:p>
    <w:p>
      <w:pPr>
        <w:spacing w:after="120"/>
      </w:pPr>
      <w:r>
        <w:rPr>
          <w:b/>
          <w:bCs/>
        </w:rPr>
        <w:t xml:space="preserve">Value appraisal</w:t>
      </w:r>
      <w:r>
        <w:t xml:space="preserve"> gồm chỉ số tài chính tổng quát (phí, thời gian hoàn vốn, thời gian đến khi có kết quả, so với chi tiêu hiện tại) và các chỉ số hiệu quả then chốt gắn với nguồn giá trị mà khách quan tâm.</w:t>
      </w:r>
    </w:p>
    <w:p>
      <w:pPr>
        <w:spacing w:after="120"/>
      </w:pPr>
      <w:r>
        <w:t xml:space="preserve">Bốn bước dựng CVP (Marcos et al., 2018): </w:t>
      </w:r>
      <w:r>
        <w:rPr>
          <w:b/>
          <w:bCs/>
        </w:rPr>
        <w:t xml:space="preserve">tương lai → phương án → bằng chứng → giá trị.</w:t>
      </w:r>
      <w:r>
        <w:t xml:space="preserve"> Phần giá trị phải thuyết phục được lãnh đạo, tài chính, pháp chế ở cả hai phía, nên cẩn thận với mọi lời hứa.</w:t>
      </w:r>
    </w:p>
    <w:p>
      <w:pPr>
        <w:spacing w:after="120"/>
      </w:pPr>
      <w:r>
        <w:rPr>
          <w:i/>
          <w:iCs/>
        </w:rPr>
        <w:t xml:space="preserve">Ví dụ (giả định): CVP của Nova cho An Phát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Phần</w:t>
            </w:r>
          </w:p>
        </w:tc>
        <w:tc>
          <w:tcPr>
            <w:tcW w:type="dxa" w:w="722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w:t>
            </w:r>
          </w:p>
        </w:tc>
      </w:tr>
      <w:tr>
        <w:trPr>
          <w:tblHeader w:val="off"/>
        </w:trPr>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Future state</w:t>
            </w:r>
          </w:p>
        </w:tc>
        <w:tc>
          <w:tcPr>
            <w:tcW w:type="dxa" w:w="72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 Phát giữ và mở rộng quan hệ với khách doanh nghiệp VIP khi cạnh tranh bằng lãi suất khó hơn</w:t>
            </w:r>
          </w:p>
        </w:tc>
      </w:tr>
      <w:tr>
        <w:trPr>
          <w:tblHeader w:val="off"/>
        </w:trPr>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Offering</w:t>
            </w:r>
          </w:p>
        </w:tc>
        <w:tc>
          <w:tcPr>
            <w:tcW w:type="dxa" w:w="72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Chương trình cả năm: bốn hội thảo quý về quản trị dòng tiền và một gala; livestream ổn định cho 80 chi nhánh; đội Nova cố định; quy trình duyệt và đánh giá chung</w:t>
            </w:r>
          </w:p>
        </w:tc>
      </w:tr>
      <w:tr>
        <w:trPr>
          <w:tblHeader w:val="off"/>
        </w:trPr>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Bằng chứng</w:t>
            </w:r>
          </w:p>
        </w:tc>
        <w:tc>
          <w:tcPr>
            <w:tcW w:type="dxa" w:w="72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Bốn năm làm gala cho An Phát, dữ liệu tham dự các năm</w:t>
            </w:r>
          </w:p>
        </w:tc>
      </w:tr>
      <w:tr>
        <w:trPr>
          <w:tblHeader w:val="off"/>
        </w:trPr>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appraisal</w:t>
            </w:r>
          </w:p>
        </w:tc>
        <w:tc>
          <w:tcPr>
            <w:tcW w:type="dxa" w:w="72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Tỷ lệ CEO đến trực tiếp; số cuộc hẹn kinh doanh sau sự kiện (An Phát báo); chi phí gộp so với từng sự kiện rời</w:t>
            </w:r>
          </w:p>
        </w:tc>
      </w:tr>
      <w:tr>
        <w:trPr>
          <w:tblHeader w:val="off"/>
        </w:trPr>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Trọng tâm cộng hưởng</w:t>
            </w:r>
          </w:p>
        </w:tc>
        <w:tc>
          <w:tcPr>
            <w:tcW w:type="dxa" w:w="72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Kiến thức quản trị dòng tiền; livestream không lỗi</w:t>
            </w:r>
          </w:p>
        </w:tc>
      </w:tr>
    </w:tbl>
    <w:p>
      <w:pPr>
        <w:spacing w:after="80" w:before="0"/>
      </w:pPr>
    </w:p>
    <w:p>
      <w:pPr>
        <w:spacing w:after="120"/>
      </w:pPr>
      <w:r>
        <w:rPr>
          <w:b/>
          <w:bCs/>
        </w:rPr>
        <w:t xml:space="preserve">Mẹo từ giáo trình:</w:t>
      </w:r>
      <w:r>
        <w:t xml:space="preserve"> CVP tốt dựa trên kế hoạch KAM nghiên cứu kỹ; mỗi Key Account cần CVP riêng; làm đúng điều đã hứa và cho cả tổ chức biết mình đã hứa gì; giữ CVP sắc nét. </w:t>
      </w:r>
      <w:r>
        <w:rPr>
          <w:b/>
          <w:bCs/>
        </w:rPr>
        <w:t xml:space="preserve">Giảm giá không phải là một nguồn giá trị.</w:t>
      </w:r>
    </w:p>
    <w:p>
      <w:pPr>
        <w:pStyle w:val="Heading1"/>
      </w:pPr>
      <w:r>
        <w:t xml:space="preserve">4. Năm nguồn giá trị</w:t>
      </w:r>
    </w:p>
    <w:p>
      <w:pPr>
        <w:spacing w:after="120"/>
      </w:pPr>
      <w:r>
        <w:t xml:space="preserve">Marcos et al. (2018, Hình 5.4) nêu năm nguồn giá trị: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142"/>
      </w:tblGrid>
      <w:tr>
        <w:trPr>
          <w:tblHeader/>
        </w:trPr>
        <w:tc>
          <w:tcPr>
            <w:tcW w:type="dxa" w:w="32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Nguồn</w:t>
            </w:r>
          </w:p>
        </w:tc>
        <w:tc>
          <w:tcPr>
            <w:tcW w:type="dxa" w:w="32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Nghĩa</w:t>
            </w:r>
          </w:p>
        </w:tc>
        <w:tc>
          <w:tcPr>
            <w:tcW w:type="dxa" w:w="314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 với An Phát (giả định)</w:t>
            </w:r>
          </w:p>
        </w:tc>
      </w:tr>
      <w:tr>
        <w:trPr>
          <w:tblHeader w:val="off"/>
        </w:trPr>
        <w:tc>
          <w:tcPr>
            <w:tcW w:type="dxa" w:w="32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Top line</w:t>
            </w:r>
          </w:p>
        </w:tc>
        <w:tc>
          <w:tcPr>
            <w:tcW w:type="dxa" w:w="32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Giúp khách </w:t>
            </w:r>
            <w:r>
              <w:rPr>
                <w:sz w:val="20"/>
                <w:szCs w:val="20"/>
              </w:rPr>
              <w:t xml:space="preserve">tăng doanh thu</w:t>
            </w:r>
            <w:r>
              <w:rPr>
                <w:sz w:val="20"/>
                <w:szCs w:val="20"/>
              </w:rPr>
              <w:t xml:space="preserve">, mở thị trường (với tổ chức phi lợi nhuận: tăng ngân sách)</w:t>
            </w:r>
          </w:p>
        </w:tc>
        <w:tc>
          <w:tcPr>
            <w:tcW w:type="dxa" w:w="3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doanh nghiệp gắn bó hơn, giao dịch với An Phát tăng</w:t>
            </w:r>
          </w:p>
        </w:tc>
      </w:tr>
      <w:tr>
        <w:trPr>
          <w:tblHeader w:val="off"/>
        </w:trPr>
        <w:tc>
          <w:tcPr>
            <w:tcW w:type="dxa" w:w="32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Bottom line</w:t>
            </w:r>
          </w:p>
        </w:tc>
        <w:tc>
          <w:tcPr>
            <w:tcW w:type="dxa" w:w="32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Giúp khách </w:t>
            </w:r>
            <w:r>
              <w:rPr>
                <w:sz w:val="20"/>
                <w:szCs w:val="20"/>
              </w:rPr>
              <w:t xml:space="preserve">giảm chi phí</w:t>
            </w:r>
            <w:r>
              <w:rPr>
                <w:sz w:val="20"/>
                <w:szCs w:val="20"/>
              </w:rPr>
              <w:t xml:space="preserve">, lãng phí</w:t>
            </w:r>
          </w:p>
        </w:tc>
        <w:tc>
          <w:tcPr>
            <w:tcW w:type="dxa" w:w="3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Gộp sự kiện cả năm, đàm phán nhà cung cấp</w:t>
            </w:r>
          </w:p>
        </w:tc>
      </w:tr>
      <w:tr>
        <w:trPr>
          <w:tblHeader w:val="off"/>
        </w:trPr>
        <w:tc>
          <w:tcPr>
            <w:tcW w:type="dxa" w:w="32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Uy tín và tính liên tục (</w:t>
            </w:r>
            <w:r>
              <w:rPr>
                <w:sz w:val="20"/>
                <w:szCs w:val="20"/>
              </w:rPr>
              <w:t xml:space="preserve">HSSEQ</w:t>
            </w:r>
            <w:r>
              <w:rPr>
                <w:sz w:val="20"/>
                <w:szCs w:val="20"/>
              </w:rPr>
              <w:t xml:space="preserve">: sức khỏe, an toàn, an ninh, môi trường, chất lượng)</w:t>
            </w:r>
          </w:p>
        </w:tc>
        <w:tc>
          <w:tcPr>
            <w:tcW w:type="dxa" w:w="32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Bảo vệ thương hiệu và hoạt động liên tục của khách</w:t>
            </w:r>
          </w:p>
        </w:tc>
        <w:tc>
          <w:tcPr>
            <w:tcW w:type="dxa" w:w="3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Bảo vệ dữ liệu khách mời, sự kiện xanh, chất lượng ổn định</w:t>
            </w:r>
          </w:p>
        </w:tc>
      </w:tr>
      <w:tr>
        <w:trPr>
          <w:tblHeader w:val="off"/>
        </w:trPr>
        <w:tc>
          <w:tcPr>
            <w:tcW w:type="dxa" w:w="32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 Advisory (chiến lược, tổ chức, tư vấn)</w:t>
            </w:r>
          </w:p>
        </w:tc>
        <w:tc>
          <w:tcPr>
            <w:tcW w:type="dxa" w:w="32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Agency có chuyên môn thì tư vấn được như một công ty tư vấn</w:t>
            </w:r>
          </w:p>
        </w:tc>
        <w:tc>
          <w:tcPr>
            <w:tcW w:type="dxa" w:w="3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Báo cáo insight từ khảo sát khách mời các năm</w:t>
            </w:r>
          </w:p>
        </w:tc>
      </w:tr>
      <w:tr>
        <w:trPr>
          <w:tblHeader w:val="off"/>
        </w:trPr>
        <w:tc>
          <w:tcPr>
            <w:tcW w:type="dxa" w:w="32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 Khách của khách hàng</w:t>
            </w:r>
          </w:p>
        </w:tc>
        <w:tc>
          <w:tcPr>
            <w:tcW w:type="dxa" w:w="32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trị cho người dùng cuối của khách hàng</w:t>
            </w:r>
          </w:p>
        </w:tc>
        <w:tc>
          <w:tcPr>
            <w:tcW w:type="dxa" w:w="3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600 khách VIP được kiến thức, kết nối, trải nghiệm</w:t>
            </w:r>
          </w:p>
        </w:tc>
      </w:tr>
    </w:tbl>
    <w:p>
      <w:pPr>
        <w:spacing w:after="80" w:before="0"/>
      </w:pPr>
    </w:p>
    <w:p>
      <w:pPr>
        <w:spacing w:after="120"/>
      </w:pPr>
      <w:r>
        <w:rPr>
          <w:b/>
          <w:bCs/>
        </w:rPr>
        <w:t xml:space="preserve">Advisory</w:t>
      </w:r>
      <w:r>
        <w:t xml:space="preserve"> là nguồn giá trị agency hay quên nhất. Chia sẻ insight biến agency từ người thực hiện thành người đáng hỏi ý kiến. Dữ liệu khảo sát chỉ dùng ở mức tổng hợp, không lộ thông tin cá nhân của khách mời.</w:t>
      </w:r>
    </w:p>
    <w:p>
      <w:pPr>
        <w:spacing w:after="120"/>
      </w:pPr>
      <w:r>
        <w:rPr>
          <w:i/>
          <w:iCs/>
        </w:rPr>
        <w:t xml:space="preserve">Ví dụ thật về giá trị cho khách của khách hàng:</w:t>
      </w:r>
      <w:r>
        <w:t xml:space="preserve"> VPBank, nhà tài trợ danh vị của G-DRAGON 2025 World Tour tại Hà Nội, dành cho chủ thẻ VPBank Mastercard quyền mua vé sớm. Giá trị được tạo cho khách của ngân hàng (VnExpress, 2025).</w:t>
      </w:r>
    </w:p>
    <w:p>
      <w:pPr>
        <w:pStyle w:val="Heading1"/>
      </w:pPr>
      <w:r>
        <w:t xml:space="preserve">5. Đồng kiến tạo giá trị (value co-creation)</w:t>
      </w:r>
    </w:p>
    <w:p>
      <w:pPr>
        <w:spacing w:after="120"/>
      </w:pPr>
      <w:r>
        <w:rPr>
          <w:b/>
          <w:bCs/>
        </w:rPr>
        <w:t xml:space="preserve">Giá trị không nằm sẵn trong sản phẩm.</w:t>
      </w:r>
      <w:r>
        <w:t xml:space="preserve"> Giáo trình mô tả bước chuyển từ </w:t>
      </w:r>
      <w:r>
        <w:rPr>
          <w:i/>
          <w:iCs/>
        </w:rPr>
        <w:t xml:space="preserve">value in exchange</w:t>
      </w:r>
      <w:r>
        <w:t xml:space="preserve"> (giá trị nằm trong sản phẩm, trao tay là xong) sang </w:t>
      </w:r>
      <w:r>
        <w:rPr>
          <w:i/>
          <w:iCs/>
        </w:rPr>
        <w:t xml:space="preserve">value in use</w:t>
      </w:r>
      <w:r>
        <w:t xml:space="preserve"> (giá trị được tạo ra khi khách hàng sử dụng). Với sự kiện, giá trị của gala nằm trong trải nghiệm của khách mời, không nằm trong hợp đồng. Đồng kiến tạo là làm việc trong </w:t>
      </w:r>
      <w:r>
        <w:rPr>
          <w:b/>
          <w:bCs/>
        </w:rPr>
        <w:t xml:space="preserve">vùng chung</w:t>
      </w:r>
      <w:r>
        <w:t xml:space="preserve"> khi hai bên tương tác.</w:t>
      </w:r>
    </w:p>
    <w:p>
      <w:pPr>
        <w:spacing w:after="120"/>
      </w:pPr>
      <w:r>
        <w:t xml:space="preserve">Marcos-Cuevas et al. (2016) gọi cơ chế chung là </w:t>
      </w:r>
      <w:r>
        <w:rPr>
          <w:b/>
          <w:bCs/>
        </w:rPr>
        <w:t xml:space="preserve">“sustained purposeful engagement”</w:t>
      </w:r>
      <w:r>
        <w:t xml:space="preserve">: gắn kết có mục đích và bền bỉ. Đồng kiến tạo là </w:t>
      </w:r>
      <w:r>
        <w:rPr>
          <w:b/>
          <w:bCs/>
        </w:rPr>
        <w:t xml:space="preserve">khách hàng cùng làm, không chỉ duyệt.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4047"/>
        <w:gridCol w:w="4435"/>
      </w:tblGrid>
      <w:tr>
        <w:trPr>
          <w:tblHeader/>
        </w:trPr>
        <w:tc>
          <w:tcPr>
            <w:tcW w:type="dxa" w:w="115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Thực hành</w:t>
            </w:r>
          </w:p>
        </w:tc>
        <w:tc>
          <w:tcPr>
            <w:tcW w:type="dxa" w:w="404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Định nghĩa</w:t>
            </w:r>
          </w:p>
        </w:tc>
        <w:tc>
          <w:tcPr>
            <w:tcW w:type="dxa" w:w="443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 với An Phát (giả định)</w:t>
            </w:r>
          </w:p>
        </w:tc>
      </w:tr>
      <w:tr>
        <w:trPr>
          <w:tblHeader w:val="off"/>
        </w:trPr>
        <w:tc>
          <w:tcPr>
            <w:tcW w:type="dxa" w:w="11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Co-diagnosis</w:t>
            </w:r>
          </w:p>
        </w:tc>
        <w:tc>
          <w:tcPr>
            <w:tcW w:type="dxa" w:w="40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Thu thập và sắp xếp thông tin để cùng dùng</w:t>
            </w:r>
          </w:p>
        </w:tc>
        <w:tc>
          <w:tcPr>
            <w:tcW w:type="dxa" w:w="44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Cùng đọc khảo sát khách mời ba năm</w:t>
            </w:r>
          </w:p>
        </w:tc>
      </w:tr>
      <w:tr>
        <w:trPr>
          <w:tblHeader w:val="off"/>
        </w:trPr>
        <w:tc>
          <w:tcPr>
            <w:tcW w:type="dxa" w:w="11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Co-ideation</w:t>
            </w:r>
          </w:p>
        </w:tc>
        <w:tc>
          <w:tcPr>
            <w:tcW w:type="dxa" w:w="40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Tạo, đề xuất, chia sẻ ý tưởng</w:t>
            </w:r>
          </w:p>
        </w:tc>
        <w:tc>
          <w:tcPr>
            <w:tcW w:type="dxa" w:w="44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Workshop ý tưởng với đội thương hiệu</w:t>
            </w:r>
          </w:p>
        </w:tc>
      </w:tr>
      <w:tr>
        <w:trPr>
          <w:tblHeader w:val="off"/>
        </w:trPr>
        <w:tc>
          <w:tcPr>
            <w:tcW w:type="dxa" w:w="11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Co-design</w:t>
            </w:r>
          </w:p>
        </w:tc>
        <w:tc>
          <w:tcPr>
            <w:tcW w:type="dxa" w:w="40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Phát triển khái niệm và tri thức</w:t>
            </w:r>
          </w:p>
        </w:tc>
        <w:tc>
          <w:tcPr>
            <w:tcW w:type="dxa" w:w="44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Cùng thiết kế hành trình khách VIP</w:t>
            </w:r>
          </w:p>
        </w:tc>
      </w:tr>
      <w:tr>
        <w:trPr>
          <w:tblHeader w:val="off"/>
        </w:trPr>
        <w:tc>
          <w:tcPr>
            <w:tcW w:type="dxa" w:w="11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Co-testing</w:t>
            </w:r>
          </w:p>
        </w:tc>
        <w:tc>
          <w:tcPr>
            <w:tcW w:type="dxa" w:w="40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Làm mẫu thử, cải tiến, góp ý</w:t>
            </w:r>
          </w:p>
        </w:tc>
        <w:tc>
          <w:tcPr>
            <w:tcW w:type="dxa" w:w="44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Thí điểm một hội thảo quý; chạy thử livestream</w:t>
            </w:r>
          </w:p>
        </w:tc>
      </w:tr>
    </w:tbl>
    <w:p>
      <w:pPr>
        <w:spacing w:after="80" w:before="0"/>
      </w:pPr>
    </w:p>
    <w:p>
      <w:pPr>
        <w:spacing w:after="120"/>
      </w:pPr>
      <w:r>
        <w:t xml:space="preserve">Các thực hành nằm trong ba nhóm, không nhất thiết theo thứ tự:</w:t>
      </w:r>
    </w:p>
    <w:p>
      <w:pPr>
        <w:pStyle w:val="ListParagraph"/>
        <w:numPr>
          <w:ilvl w:val="0"/>
          <w:numId w:val="3"/>
        </w:numPr>
        <w:spacing w:after="60"/>
      </w:pPr>
      <w:r>
        <w:rPr>
          <w:b/>
          <w:bCs/>
        </w:rPr>
        <w:t xml:space="preserve">Kết nối:</w:t>
      </w:r>
      <w:r>
        <w:t xml:space="preserve"> co-diagnosis, co-ideation, co-evaluation.</w:t>
      </w:r>
    </w:p>
    <w:p>
      <w:pPr>
        <w:pStyle w:val="ListParagraph"/>
        <w:numPr>
          <w:ilvl w:val="0"/>
          <w:numId w:val="3"/>
        </w:numPr>
        <w:spacing w:after="60"/>
      </w:pPr>
      <w:r>
        <w:rPr>
          <w:b/>
          <w:bCs/>
        </w:rPr>
        <w:t xml:space="preserve">Phát triển:</w:t>
      </w:r>
      <w:r>
        <w:t xml:space="preserve"> co-design, co-testing, co-launching.</w:t>
      </w:r>
    </w:p>
    <w:p>
      <w:pPr>
        <w:pStyle w:val="ListParagraph"/>
        <w:numPr>
          <w:ilvl w:val="0"/>
          <w:numId w:val="3"/>
        </w:numPr>
        <w:spacing w:after="60"/>
      </w:pPr>
      <w:r>
        <w:rPr>
          <w:b/>
          <w:bCs/>
        </w:rPr>
        <w:t xml:space="preserve">Củng cố:</w:t>
      </w:r>
      <w:r>
        <w:t xml:space="preserve"> embedding, tức xây quy tắc để đồng kiến tạo thành cách làm việc.</w:t>
      </w:r>
    </w:p>
    <w:p>
      <w:pPr>
        <w:spacing w:after="120"/>
      </w:pPr>
      <w:r>
        <w:rPr>
          <w:b/>
          <w:bCs/>
        </w:rPr>
        <w:t xml:space="preserve">Sáu năng lực tương tác</w:t>
      </w:r>
      <w:r>
        <w:t xml:space="preserve"> (Marcos et al., 2018):</w:t>
      </w:r>
    </w:p>
    <w:p>
      <w:pPr>
        <w:pStyle w:val="ListParagraph"/>
        <w:numPr>
          <w:ilvl w:val="0"/>
          <w:numId w:val="3"/>
        </w:numPr>
        <w:spacing w:after="60"/>
      </w:pPr>
      <w:r>
        <w:rPr>
          <w:b/>
          <w:bCs/>
        </w:rPr>
        <w:t xml:space="preserve">individuated:</w:t>
      </w:r>
      <w:r>
        <w:t xml:space="preserve"> hiểu nhu cầu nói ra và nhu cầu ẩn;</w:t>
      </w:r>
    </w:p>
    <w:p>
      <w:pPr>
        <w:pStyle w:val="ListParagraph"/>
        <w:numPr>
          <w:ilvl w:val="0"/>
          <w:numId w:val="3"/>
        </w:numPr>
        <w:spacing w:after="60"/>
      </w:pPr>
      <w:r>
        <w:rPr>
          <w:b/>
          <w:bCs/>
        </w:rPr>
        <w:t xml:space="preserve">relational:</w:t>
      </w:r>
      <w:r>
        <w:t xml:space="preserve"> gắn kết với người ra quyết định;</w:t>
      </w:r>
    </w:p>
    <w:p>
      <w:pPr>
        <w:pStyle w:val="ListParagraph"/>
        <w:numPr>
          <w:ilvl w:val="0"/>
          <w:numId w:val="3"/>
        </w:numPr>
        <w:spacing w:after="60"/>
      </w:pPr>
      <w:r>
        <w:rPr>
          <w:b/>
          <w:bCs/>
        </w:rPr>
        <w:t xml:space="preserve">ethical:</w:t>
      </w:r>
      <w:r>
        <w:t xml:space="preserve"> quy trình công bằng;</w:t>
      </w:r>
    </w:p>
    <w:p>
      <w:pPr>
        <w:pStyle w:val="ListParagraph"/>
        <w:numPr>
          <w:ilvl w:val="0"/>
          <w:numId w:val="3"/>
        </w:numPr>
        <w:spacing w:after="60"/>
      </w:pPr>
      <w:r>
        <w:rPr>
          <w:b/>
          <w:bCs/>
        </w:rPr>
        <w:t xml:space="preserve">empowered:</w:t>
      </w:r>
      <w:r>
        <w:t xml:space="preserve"> khách được tác động đến cách tạo giá trị;</w:t>
      </w:r>
    </w:p>
    <w:p>
      <w:pPr>
        <w:pStyle w:val="ListParagraph"/>
        <w:numPr>
          <w:ilvl w:val="0"/>
          <w:numId w:val="3"/>
        </w:numPr>
        <w:spacing w:after="60"/>
      </w:pPr>
      <w:r>
        <w:rPr>
          <w:b/>
          <w:bCs/>
        </w:rPr>
        <w:t xml:space="preserve">developmental:</w:t>
      </w:r>
      <w:r>
        <w:t xml:space="preserve"> xây tri thức chung;</w:t>
      </w:r>
    </w:p>
    <w:p>
      <w:pPr>
        <w:pStyle w:val="ListParagraph"/>
        <w:numPr>
          <w:ilvl w:val="0"/>
          <w:numId w:val="3"/>
        </w:numPr>
        <w:spacing w:after="60"/>
      </w:pPr>
      <w:r>
        <w:rPr>
          <w:b/>
          <w:bCs/>
        </w:rPr>
        <w:t xml:space="preserve">concerted:</w:t>
      </w:r>
      <w:r>
        <w:t xml:space="preserve"> điều phối nhiều phòng ban và đối tác.</w:t>
      </w:r>
    </w:p>
    <w:p>
      <w:pPr>
        <w:spacing w:after="120"/>
      </w:pPr>
      <w:r>
        <w:rPr>
          <w:i/>
          <w:iCs/>
        </w:rPr>
        <w:t xml:space="preserve">Ca trong giáo trình:</w:t>
      </w:r>
      <w:r>
        <w:t xml:space="preserve"> Unilever Food Solutions chuyển từ nhà sản xuất thực phẩm sang nhà cung cấp giải pháp. Đầu bếp của họ làm việc cùng đội của khách hàng để hiểu khách của nhà hàng, thiết kế thực đơn, tối ưu vận hành bếp.</w:t>
      </w:r>
    </w:p>
    <w:p>
      <w:pPr>
        <w:spacing w:after="120"/>
      </w:pPr>
      <w:r>
        <w:rPr>
          <w:b/>
          <w:bCs/>
        </w:rPr>
        <w:t xml:space="preserve">Điều kiện:</w:t>
      </w:r>
    </w:p>
    <w:p>
      <w:pPr>
        <w:pStyle w:val="ListParagraph"/>
        <w:numPr>
          <w:ilvl w:val="0"/>
          <w:numId w:val="3"/>
        </w:numPr>
        <w:spacing w:after="60"/>
      </w:pPr>
      <w:r>
        <w:rPr>
          <w:b/>
          <w:bCs/>
        </w:rPr>
        <w:t xml:space="preserve">cùng mục đích;</w:t>
      </w:r>
    </w:p>
    <w:p>
      <w:pPr>
        <w:pStyle w:val="ListParagraph"/>
        <w:numPr>
          <w:ilvl w:val="0"/>
          <w:numId w:val="3"/>
        </w:numPr>
        <w:spacing w:after="60"/>
      </w:pPr>
      <w:r>
        <w:t xml:space="preserve">có một sự kiện thúc đẩy (compelling event);</w:t>
      </w:r>
    </w:p>
    <w:p>
      <w:pPr>
        <w:pStyle w:val="ListParagraph"/>
        <w:numPr>
          <w:ilvl w:val="0"/>
          <w:numId w:val="3"/>
        </w:numPr>
        <w:spacing w:after="60"/>
      </w:pPr>
      <w:r>
        <w:t xml:space="preserve">có thỏa thuận chia sẻ rủi ro và lợi ích khi đầu tư lớn;</w:t>
      </w:r>
    </w:p>
    <w:p>
      <w:pPr>
        <w:pStyle w:val="ListParagraph"/>
        <w:numPr>
          <w:ilvl w:val="0"/>
          <w:numId w:val="3"/>
        </w:numPr>
        <w:spacing w:after="60"/>
      </w:pPr>
      <w:r>
        <w:t xml:space="preserve">có niềm tin, nhưng niềm tin chưa đủ nếu thiếu thực hành cụ thể.</w:t>
      </w:r>
    </w:p>
    <w:p>
      <w:pPr>
        <w:spacing w:after="120"/>
      </w:pPr>
      <w:r>
        <w:t xml:space="preserve">Ví dụ Việt Nam: Techcombank từ nhà tài trợ trở thành nhà đồng đầu tư các concert năm 2025 (Znews, 2025). Đồng kiến tạo tốn công, nên dành cho Key Account.</w:t>
      </w:r>
    </w:p>
    <w:p>
      <w:pPr>
        <w:spacing w:after="120"/>
      </w:pPr>
      <w:r>
        <w:rPr>
          <w:b/>
          <w:bCs/>
        </w:rPr>
        <w:t xml:space="preserve">Đạo đức:</w:t>
      </w:r>
      <w:r>
        <w:t xml:space="preserve"> hỏi khách hàng trước khi liên hệ khách của họ; dùng dữ liệu ở mức tổng hợp; thống nhất từ đầu ý tưởng làm chung thuộc về ai. Không mang ý tưởng làm cùng khách này sang bán cho đối thủ của họ.</w:t>
      </w:r>
    </w:p>
    <w:p>
      <w:pPr>
        <w:pStyle w:val="Heading1"/>
      </w:pPr>
      <w: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42"/>
        <w:gridCol w:w="5296"/>
      </w:tblGrid>
      <w:tr>
        <w:trPr>
          <w:tblHeader/>
        </w:trPr>
        <w:tc>
          <w:tcPr>
            <w:tcW w:type="dxa" w:w="434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Thuật ngữ</w:t>
            </w:r>
          </w:p>
        </w:tc>
        <w:tc>
          <w:tcPr>
            <w:tcW w:type="dxa" w:w="529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Nghĩa</w:t>
            </w:r>
          </w:p>
        </w:tc>
      </w:tr>
      <w:tr>
        <w:trPr>
          <w:tblHeader w:val="off"/>
        </w:trPr>
        <w:tc>
          <w:tcPr>
            <w:tcW w:type="dxa" w:w="43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Customer value proposition (CVP)</w:t>
            </w:r>
          </w:p>
        </w:tc>
        <w:tc>
          <w:tcPr>
            <w:tcW w:type="dxa" w:w="52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Đề xuất giá trị cho khách hàng</w:t>
            </w:r>
          </w:p>
        </w:tc>
      </w:tr>
      <w:tr>
        <w:trPr>
          <w:tblHeader w:val="off"/>
        </w:trPr>
        <w:tc>
          <w:tcPr>
            <w:tcW w:type="dxa" w:w="43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Resonating focus</w:t>
            </w:r>
          </w:p>
        </w:tc>
        <w:tc>
          <w:tcPr>
            <w:tcW w:type="dxa" w:w="52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Trọng tâm cộng hưởng</w:t>
            </w:r>
          </w:p>
        </w:tc>
      </w:tr>
      <w:tr>
        <w:trPr>
          <w:tblHeader w:val="off"/>
        </w:trPr>
        <w:tc>
          <w:tcPr>
            <w:tcW w:type="dxa" w:w="43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Future state / offering / value appraisal</w:t>
            </w:r>
          </w:p>
        </w:tc>
        <w:tc>
          <w:tcPr>
            <w:tcW w:type="dxa" w:w="52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Tương lai mong muốn / phương án / đánh giá giá trị</w:t>
            </w:r>
          </w:p>
        </w:tc>
      </w:tr>
      <w:tr>
        <w:trPr>
          <w:tblHeader w:val="off"/>
        </w:trPr>
        <w:tc>
          <w:tcPr>
            <w:tcW w:type="dxa" w:w="43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HSSEQ</w:t>
            </w:r>
          </w:p>
        </w:tc>
        <w:tc>
          <w:tcPr>
            <w:tcW w:type="dxa" w:w="52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Sức khỏe, an toàn, an ninh, môi trường, chất lượng</w:t>
            </w:r>
          </w:p>
        </w:tc>
      </w:tr>
      <w:tr>
        <w:trPr>
          <w:tblHeader w:val="off"/>
        </w:trPr>
        <w:tc>
          <w:tcPr>
            <w:tcW w:type="dxa" w:w="43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in exchange / value in use</w:t>
            </w:r>
          </w:p>
        </w:tc>
        <w:tc>
          <w:tcPr>
            <w:tcW w:type="dxa" w:w="52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trị trong trao đổi / giá trị khi sử dụng</w:t>
            </w:r>
          </w:p>
        </w:tc>
      </w:tr>
      <w:tr>
        <w:trPr>
          <w:tblHeader w:val="off"/>
        </w:trPr>
        <w:tc>
          <w:tcPr>
            <w:tcW w:type="dxa" w:w="43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co-creation</w:t>
            </w:r>
          </w:p>
        </w:tc>
        <w:tc>
          <w:tcPr>
            <w:tcW w:type="dxa" w:w="52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kiến tạo giá trị</w:t>
            </w:r>
          </w:p>
        </w:tc>
      </w:tr>
    </w:tbl>
    <w:p>
      <w:pPr>
        <w:spacing w:after="80" w:before="0"/>
      </w:pPr>
    </w:p>
    <w:p>
      <w:pPr>
        <w:pStyle w:val="Heading1"/>
      </w:pPr>
      <w:r>
        <w:t xml:space="preserve">Lỗi thường gặp</w:t>
      </w:r>
    </w:p>
    <w:p>
      <w:pPr>
        <w:pStyle w:val="ListParagraph"/>
        <w:numPr>
          <w:ilvl w:val="0"/>
          <w:numId w:val="3"/>
        </w:numPr>
        <w:spacing w:after="60"/>
      </w:pPr>
      <w:r>
        <w:t xml:space="preserve">Future state là giải pháp của agency (“một gala hoành tráng”) thay vì mục tiêu kinh doanh của khách.</w:t>
      </w:r>
    </w:p>
    <w:p>
      <w:pPr>
        <w:pStyle w:val="ListParagraph"/>
        <w:numPr>
          <w:ilvl w:val="0"/>
          <w:numId w:val="3"/>
        </w:numPr>
        <w:spacing w:after="60"/>
      </w:pPr>
      <w:r>
        <w:t xml:space="preserve">Value appraisal chỉ có “khách hài lòng”, không có con số.</w:t>
      </w:r>
    </w:p>
    <w:p>
      <w:pPr>
        <w:pStyle w:val="ListParagraph"/>
        <w:numPr>
          <w:ilvl w:val="0"/>
          <w:numId w:val="3"/>
        </w:numPr>
        <w:spacing w:after="60"/>
      </w:pPr>
      <w:r>
        <w:t xml:space="preserve">Gọi là đồng kiến tạo nhưng khách chỉ duyệt.</w:t>
      </w:r>
    </w:p>
    <w:p>
      <w:pPr>
        <w:pStyle w:val="ListParagraph"/>
        <w:numPr>
          <w:ilvl w:val="0"/>
          <w:numId w:val="3"/>
        </w:numPr>
        <w:spacing w:after="60"/>
      </w:pPr>
      <w:r>
        <w:t xml:space="preserve">Hứa con số mà agency không kiểm soát được.</w:t>
      </w:r>
    </w:p>
    <w:p>
      <w:pPr>
        <w:pStyle w:val="Heading1"/>
      </w:pPr>
      <w:r>
        <w:t xml:space="preserve">Liên hệ với kế hoạch cuối kỳ (SMP)</w:t>
      </w:r>
    </w:p>
    <w:p>
      <w:pPr>
        <w:spacing w:after="120"/>
      </w:pPr>
      <w:r>
        <w:t xml:space="preserve">Đây là </w:t>
      </w:r>
      <w:r>
        <w:rPr>
          <w:b/>
          <w:bCs/>
        </w:rPr>
        <w:t xml:space="preserve">phần C (Value Propositions)</w:t>
      </w:r>
      <w:r>
        <w:t xml:space="preserve">. Rubric yêu cầu CVP theo cấu trúc Future state – Offering 7P – Value appraisal, nêu nguồn giá trị (trong năm nguồn) và kế hoạch đồng kiến tạo.</w:t>
      </w:r>
    </w:p>
    <w:p>
      <w:pPr>
        <w:pStyle w:val="Heading1"/>
      </w:pPr>
      <w:r>
        <w:t xml:space="preserve">Câu hỏi tự ôn</w:t>
      </w:r>
    </w:p>
    <w:p>
      <w:pPr>
        <w:pStyle w:val="ListParagraph"/>
        <w:numPr>
          <w:ilvl w:val="0"/>
          <w:numId w:val="4"/>
        </w:numPr>
        <w:spacing w:after="60"/>
      </w:pPr>
      <w:r>
        <w:t xml:space="preserve">Ba phần của một CVP là gì? Phần nào quan trọng nhất, vì sao?</w:t>
      </w:r>
    </w:p>
    <w:p>
      <w:pPr>
        <w:pStyle w:val="ListParagraph"/>
        <w:numPr>
          <w:ilvl w:val="0"/>
          <w:numId w:val="4"/>
        </w:numPr>
        <w:spacing w:after="60"/>
      </w:pPr>
      <w:r>
        <w:t xml:space="preserve">Nguồn giá trị nào chứa HSSEQ? Cho một ví dụ HSSEQ khi khách hàng là ngân hàng.</w:t>
      </w:r>
    </w:p>
    <w:p>
      <w:pPr>
        <w:pStyle w:val="ListParagraph"/>
        <w:numPr>
          <w:ilvl w:val="0"/>
          <w:numId w:val="4"/>
        </w:numPr>
        <w:spacing w:after="60"/>
      </w:pPr>
      <w:r>
        <w:t xml:space="preserve">Agency gửi khách hàng một báo cáo insight từ khảo sát khách mời nhiều năm. Đây là nguồn giá trị nào?</w:t>
      </w:r>
    </w:p>
    <w:p>
      <w:pPr>
        <w:pStyle w:val="ListParagraph"/>
        <w:numPr>
          <w:ilvl w:val="0"/>
          <w:numId w:val="4"/>
        </w:numPr>
        <w:spacing w:after="60"/>
      </w:pPr>
      <w:r>
        <w:t xml:space="preserve">Phân biệt “khách duyệt” với “khách cùng làm” trong đồng kiến tạo, qua một ví dụ.</w:t>
      </w:r>
    </w:p>
    <w:p>
      <w:pPr>
        <w:pStyle w:val="Heading1"/>
      </w:pPr>
      <w:r>
        <w:t xml:space="preserve">Tài liệu tham khảo</w:t>
      </w:r>
    </w:p>
    <w:p>
      <w:pPr>
        <w:pStyle w:val="ListParagraph"/>
        <w:numPr>
          <w:ilvl w:val="0"/>
          <w:numId w:val="3"/>
        </w:numPr>
        <w:spacing w:after="60"/>
      </w:pPr>
      <w:r>
        <w:t xml:space="preserve">Anderson, J. C., Narus, J. A., &amp; van Rossum, W. (2006). Customer value propositions in business markets. </w:t>
      </w:r>
      <w:r>
        <w:rPr>
          <w:i/>
          <w:iCs/>
        </w:rPr>
        <w:t xml:space="preserve">Harvard Business Review, 84</w:t>
      </w:r>
      <w:r>
        <w:t xml:space="preserve">(3), 90–99.</w:t>
      </w:r>
    </w:p>
    <w:p>
      <w:pPr>
        <w:pStyle w:val="ListParagraph"/>
        <w:numPr>
          <w:ilvl w:val="0"/>
          <w:numId w:val="3"/>
        </w:numPr>
        <w:spacing w:after="60"/>
      </w:pPr>
      <w:r>
        <w:t xml:space="preserve">Booms, B. H., &amp; Bitner, M. J. (1981). Marketing strategies and organization structures for service firms. In J. H. Donnelly &amp; W. R. George (Eds.), </w:t>
      </w:r>
      <w:r>
        <w:rPr>
          <w:i/>
          <w:iCs/>
        </w:rPr>
        <w:t xml:space="preserve">Marketing of services</w:t>
      </w:r>
      <w:r>
        <w:t xml:space="preserve"> (pp. 47–51). American Marketing Association.</w:t>
      </w:r>
    </w:p>
    <w:p>
      <w:pPr>
        <w:pStyle w:val="ListParagraph"/>
        <w:numPr>
          <w:ilvl w:val="0"/>
          <w:numId w:val="3"/>
        </w:numPr>
        <w:spacing w:after="60"/>
      </w:pPr>
      <w:r>
        <w:t xml:space="preserve">Marcos, J., Davies, M., Guesalaga, R., &amp; Holt, S. (2018). </w:t>
      </w:r>
      <w:r>
        <w:rPr>
          <w:i/>
          <w:iCs/>
        </w:rPr>
        <w:t xml:space="preserve">Implementing key account management: Designing customer-centric processes for mutual growth</w:t>
      </w:r>
      <w:r>
        <w:t xml:space="preserve">. Kogan Page.</w:t>
      </w:r>
    </w:p>
    <w:p>
      <w:pPr>
        <w:pStyle w:val="ListParagraph"/>
        <w:numPr>
          <w:ilvl w:val="0"/>
          <w:numId w:val="3"/>
        </w:numPr>
        <w:spacing w:after="60"/>
      </w:pPr>
      <w:r>
        <w:t xml:space="preserve">Marcos-Cuevas, J., Nätti, S., Palo, T., &amp; Baumann, J. (2016). Value co-creation practices and capabilities: Sustained purposeful engagement across B2B systems. </w:t>
      </w:r>
      <w:r>
        <w:rPr>
          <w:i/>
          <w:iCs/>
        </w:rPr>
        <w:t xml:space="preserve">Industrial Marketing Management, 56</w:t>
      </w:r>
      <w:r>
        <w:t xml:space="preserve">, 97–107.</w:t>
      </w:r>
    </w:p>
    <w:p>
      <w:pPr>
        <w:pStyle w:val="ListParagraph"/>
        <w:numPr>
          <w:ilvl w:val="0"/>
          <w:numId w:val="3"/>
        </w:numPr>
        <w:spacing w:after="60"/>
      </w:pPr>
      <w:r>
        <w:t xml:space="preserve">McDonald, M. (n.d.). </w:t>
      </w:r>
      <w:r>
        <w:rPr>
          <w:i/>
          <w:iCs/>
        </w:rPr>
        <w:t xml:space="preserve">How to create financially quantified value propositions in six (actionable!) steps</w:t>
      </w:r>
      <w:r>
        <w:t xml:space="preserve">. Strategic Account Management Association.</w:t>
      </w:r>
    </w:p>
    <w:p>
      <w:pPr>
        <w:pStyle w:val="ListParagraph"/>
        <w:numPr>
          <w:ilvl w:val="0"/>
          <w:numId w:val="3"/>
        </w:numPr>
        <w:spacing w:after="60"/>
      </w:pPr>
      <w:r>
        <w:t xml:space="preserve">Trần Nguyễn Huỳnh Như. (2023). </w:t>
      </w:r>
      <w:r>
        <w:rPr>
          <w:i/>
          <w:iCs/>
        </w:rPr>
        <w:t xml:space="preserve">Chương 4: Customer value propositions (CVP)</w:t>
      </w:r>
      <w:r>
        <w:t xml:space="preserve"> [Slide bài giảng].</w:t>
      </w:r>
    </w:p>
    <w:p>
      <w:pPr>
        <w:pStyle w:val="ListParagraph"/>
        <w:numPr>
          <w:ilvl w:val="0"/>
          <w:numId w:val="3"/>
        </w:numPr>
        <w:spacing w:after="60"/>
      </w:pPr>
      <w:r>
        <w:t xml:space="preserve">VnExpress. (2025, October 5). </w:t>
      </w:r>
      <w:r>
        <w:rPr>
          <w:i/>
          <w:iCs/>
        </w:rPr>
        <w:t xml:space="preserve">Cơ hội mua vé sớm concert G-Dragon khi mở thẻ VPBank Mastercard</w:t>
      </w:r>
      <w:r>
        <w:t xml:space="preserve"> [Nội dung được tài trợ].</w:t>
      </w:r>
    </w:p>
    <w:p>
      <w:pPr>
        <w:pStyle w:val="ListParagraph"/>
        <w:numPr>
          <w:ilvl w:val="0"/>
          <w:numId w:val="3"/>
        </w:numPr>
        <w:spacing w:after="60"/>
      </w:pPr>
      <w:r>
        <w:t xml:space="preserve">Znews. (2025, January 20). </w:t>
      </w:r>
      <w:r>
        <w:rPr>
          <w:i/>
          <w:iCs/>
        </w:rPr>
        <w:t xml:space="preserve">Techcombank lại rót tiền cho concert mới của các anh trai</w:t>
      </w:r>
      <w: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Tài liệu tóm tắt dành cho sinh viên · Trang </w:t>
    </w:r>
    <w:r>
      <w:rPr>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5: Đề xuất giá trị (CVP) và đồng kiến tạo giá trị</dc:title>
  <dc:creator>EVM1110E</dc:creator>
  <cp:lastModifiedBy>Un-named</cp:lastModifiedBy>
  <cp:revision>1</cp:revision>
  <dcterms:created xsi:type="dcterms:W3CDTF">2026-10-05T01:39:14.898Z</dcterms:created>
  <dcterms:modified xsi:type="dcterms:W3CDTF">2026-10-05T01:39:14.898Z</dcterms:modified>
</cp:coreProperties>
</file>

<file path=docProps/custom.xml><?xml version="1.0" encoding="utf-8"?>
<Properties xmlns="http://schemas.openxmlformats.org/officeDocument/2006/custom-properties" xmlns:vt="http://schemas.openxmlformats.org/officeDocument/2006/docPropsVTypes"/>
</file>