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8: Quản trị quan hệ với Key Account và đo lường hiệu quả đa chiều</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và nhân vật trong ví dụ là tình huống giả định của môn học.</w:t>
      </w:r>
    </w:p>
    <w:p>
      <w:pPr>
        <w:pStyle w:val="Heading1"/>
      </w:pPr>
      <w:r>
        <w:t xml:space="preserve">Sau buổi này, bạn cần nắm được</w:t>
      </w:r>
    </w:p>
    <w:p>
      <w:pPr>
        <w:pStyle w:val="ListParagraph"/>
        <w:numPr>
          <w:ilvl w:val="0"/>
          <w:numId w:val="2"/>
        </w:numPr>
        <w:spacing w:after="60"/>
      </w:pPr>
      <w:r>
        <w:t xml:space="preserve">Sự khác nhau giữa Bow-tie và Diamond, và vì sao Bow-tie → Diamond là lộ trình theo giai đoạn quan hệ.</w:t>
      </w:r>
    </w:p>
    <w:p>
      <w:pPr>
        <w:pStyle w:val="ListParagraph"/>
        <w:numPr>
          <w:ilvl w:val="0"/>
          <w:numId w:val="2"/>
        </w:numPr>
        <w:spacing w:after="60"/>
      </w:pPr>
      <w:r>
        <w:t xml:space="preserve">Cách thiết kế sơ đồ tiếp xúc nhiều cấp cho một Key Account.</w:t>
      </w:r>
    </w:p>
    <w:p>
      <w:pPr>
        <w:pStyle w:val="ListParagraph"/>
        <w:numPr>
          <w:ilvl w:val="0"/>
          <w:numId w:val="2"/>
        </w:numPr>
        <w:spacing w:after="60"/>
      </w:pPr>
      <w:r>
        <w:t xml:space="preserve">Cách xây bộ chỉ số kết quả và chỉ số quá trình; khung ROI 6 cấp bản rút gọn.</w:t>
      </w:r>
    </w:p>
    <w:p>
      <w:pPr>
        <w:pStyle w:val="ListParagraph"/>
        <w:numPr>
          <w:ilvl w:val="0"/>
          <w:numId w:val="2"/>
        </w:numPr>
        <w:spacing w:after="60"/>
      </w:pPr>
      <w:r>
        <w:t xml:space="preserve">Cách dẫn một buổi đánh giá chung hai chiều và nhận diện dấu hiệu cảnh báo sớm.</w:t>
      </w:r>
    </w:p>
    <w:p>
      <w:pPr>
        <w:pStyle w:val="Heading1"/>
      </w:pPr>
      <w:r>
        <w:t xml:space="preserve">1. Vì sao một đầu mối là rủi ro?</w:t>
      </w:r>
    </w:p>
    <w:p>
      <w:pPr>
        <w:spacing w:after="120"/>
      </w:pPr>
      <w:r>
        <w:t xml:space="preserve">Nếu toàn bộ quan hệ nằm trong một sợi dây (ví dụ KAMer của agency và Giám đốc Marketing của khách hàng), sợi dây đứt là có thể mất khách. Theo ANA và 4As (2025), quan hệ khách hàng – agency tại Mỹ kéo dài trung bình khoảng 7 năm. Nhiệm kỳ trung bình của giám đốc marketing tại Fortune 500 năm 2024 là 4,3 năm (Spencer Stuart, 2025). Một quan hệ dài có thể đi qua hai, ba người ở cùng một ghế. (Số liệu Mỹ, doanh nghiệp rất lớn; không suy rộng nguyên xi cho Việt Nam.)</w:t>
      </w:r>
    </w:p>
    <w:p>
      <w:pPr>
        <w:pStyle w:val="Heading1"/>
      </w:pPr>
      <w:r>
        <w:t xml:space="preserve">2. Bow-tie và Diamond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4448"/>
        <w:gridCol w:w="4449"/>
      </w:tblGrid>
      <w:tr>
        <w:trPr>
          <w:tblHeader/>
        </w:trPr>
        <w:tc>
          <w:tcPr>
            <w:tcW w:type="dxa" w:w="74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4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Bow-tie (nơ bướm)</w:t>
            </w:r>
          </w:p>
        </w:tc>
        <w:tc>
          <w:tcPr>
            <w:tcW w:type="dxa" w:w="44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Diamond (kim cương)</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ảnh</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Hai tổ chức chạm nhau ở một điểm (KAMer – người mua); mọi thông tin đi qua đó</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Các bộ phận tương ứng hai bên làm việc trực tiếp; KAMer điều phối</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Ưu điểm</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Đơn giản, KAMer kiểm soát được nhiều</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sâu, hiểu khách hơn, không phụ thuộc một người</w:t>
            </w:r>
          </w:p>
        </w:tc>
      </w:tr>
      <w:tr>
        <w:trPr>
          <w:tblHeader w:val="off"/>
        </w:trPr>
        <w:tc>
          <w:tcPr>
            <w:tcW w:type="dxa" w:w="7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Nhược điểm</w:t>
            </w:r>
          </w:p>
        </w:tc>
        <w:tc>
          <w:tcPr>
            <w:tcW w:type="dxa" w:w="44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chủ chốt ở bất kỳ bên nào rời đi là có thể mất quan hệ</w:t>
            </w:r>
          </w:p>
        </w:tc>
        <w:tc>
          <w:tcPr>
            <w:tcW w:type="dxa" w:w="4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Tốn nguồn lực; nhiều quyết định nằm ngoài tầm kiểm soát của KAMer</w:t>
            </w:r>
          </w:p>
        </w:tc>
      </w:tr>
    </w:tbl>
    <w:p>
      <w:pPr>
        <w:spacing w:after="80" w:before="0"/>
      </w:pPr>
    </w:p>
    <w:p>
      <w:pPr>
        <w:spacing w:after="120"/>
      </w:pPr>
      <w:r>
        <w:t xml:space="preserve">Quan hệ key account thường đi qua các giai đoạn khám phá → cơ bản → hợp tác → phụ thuộc lẫn nhau → tích hợp (Marcos et al., 2018; McDonald et al., 1997). </w:t>
      </w:r>
      <w:r>
        <w:rPr>
          <w:b/>
          <w:bCs/>
        </w:rPr>
        <w:t xml:space="preserve">Bow-tie không sai; nó là điểm xuất phát.</w:t>
      </w:r>
      <w:r>
        <w:t xml:space="preserve"> Diamond là đích đến khi quan hệ đủ sâu và Key Account đáng đầu tư.</w:t>
      </w:r>
    </w:p>
    <w:p>
      <w:pPr>
        <w:spacing w:after="120"/>
      </w:pPr>
      <w:r>
        <w:rPr>
          <w:b/>
          <w:bCs/>
        </w:rPr>
        <w:t xml:space="preserve">Bối cảnh Việt Nam (nhận định).</w:t>
      </w:r>
      <w:r>
        <w:t xml:space="preserve"> “Quan hệ” (thể diện, có qua có lại, tình cảm) làm Bow-tie vừa bền vừa mong manh: tình cảm gắn với con người, không gắn với tổ chức. Khi đầu mối rời đi, người mới có thể coi agency là “người của sếp cũ”. Diamond chuyển một phần quan hệ cá nhân thành quan hệ giữa hai tổ chức.</w:t>
      </w:r>
    </w:p>
    <w:p>
      <w:pPr>
        <w:spacing w:after="120"/>
      </w:pPr>
      <w:r>
        <w:rPr>
          <w:b/>
          <w:bCs/>
        </w:rPr>
        <w:t xml:space="preserve">Vẽ Diamond theo thực tế.</w:t>
      </w:r>
      <w:r>
        <w:t xml:space="preserve"> Khách hàng thường lớn hơn agency rất nhiều. Hãy vẽ kích thước hai bên theo </w:t>
      </w:r>
      <w:r>
        <w:rPr>
          <w:b/>
          <w:bCs/>
        </w:rPr>
        <w:t xml:space="preserve">giá trị agency thực sự tạo ra</w:t>
      </w:r>
      <w:r>
        <w:t xml:space="preserve">, không theo mong muốn.</w:t>
      </w:r>
    </w:p>
    <w:p>
      <w:pPr>
        <w:spacing w:after="120"/>
      </w:pPr>
      <w:r>
        <w:rPr>
          <w:b/>
          <w:bCs/>
        </w:rPr>
        <w:t xml:space="preserve">Vai trò của KAMer trong Diamond:</w:t>
      </w:r>
      <w:r>
        <w:t xml:space="preserve"> vẫn là đầu mối chính, nhưng phải nói chuyện được ở mọi cấp. Bên trong agency, KAMer điều phối sản xuất, sáng tạo, tài chính và báo cáo lãnh đạo. Với khách hàng, KAMer liên hệ chặt với đầu mối, kết nối các bộ phận khác khi cần, và nếu được thì tiếp xúc lãnh đạo khách hàng.</w:t>
      </w:r>
    </w:p>
    <w:p>
      <w:pPr>
        <w:spacing w:after="120"/>
      </w:pPr>
      <w:r>
        <w:rPr>
          <w:i/>
          <w:iCs/>
        </w:rPr>
        <w:t xml:space="preserve">Ví dụ (giả định): Diamond của Nova – An Phát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6"/>
        <w:gridCol w:w="2994"/>
        <w:gridCol w:w="2808"/>
      </w:tblGrid>
      <w:tr>
        <w:trPr>
          <w:tblHeader/>
        </w:trPr>
        <w:tc>
          <w:tcPr>
            <w:tcW w:type="dxa" w:w="383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Cặp đối ứng</w:t>
            </w:r>
          </w:p>
        </w:tc>
        <w:tc>
          <w:tcPr>
            <w:tcW w:type="dxa" w:w="29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Mục đích</w:t>
            </w:r>
          </w:p>
        </w:tc>
        <w:tc>
          <w:tcPr>
            <w:tcW w:type="dxa" w:w="280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Nhịp gặp</w:t>
            </w:r>
          </w:p>
        </w:tc>
      </w:tr>
      <w:tr>
        <w:trPr>
          <w:tblHeader w:val="off"/>
        </w:trPr>
        <w:tc>
          <w:tcPr>
            <w:tcW w:type="dxa" w:w="38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CEO Nova – Phó TGĐ khối Marketing</w:t>
            </w:r>
          </w:p>
        </w:tc>
        <w:tc>
          <w:tcPr>
            <w:tcW w:type="dxa" w:w="2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hướng hợp tác nhiều năm</w:t>
            </w:r>
          </w:p>
        </w:tc>
        <w:tc>
          <w:tcPr>
            <w:tcW w:type="dxa" w:w="28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 lần/năm và các sự kiện lớn</w:t>
            </w:r>
          </w:p>
        </w:tc>
      </w:tr>
      <w:tr>
        <w:trPr>
          <w:tblHeader w:val="off"/>
        </w:trPr>
        <w:tc>
          <w:tcPr>
            <w:tcW w:type="dxa" w:w="38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KAMer – Giám đốc Marketing</w:t>
            </w:r>
          </w:p>
        </w:tc>
        <w:tc>
          <w:tcPr>
            <w:tcW w:type="dxa" w:w="2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hoạch năm, ngân sách, ưu tiên</w:t>
            </w:r>
          </w:p>
        </w:tc>
        <w:tc>
          <w:tcPr>
            <w:tcW w:type="dxa" w:w="28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Hằng tháng và đánh giá định kỳ</w:t>
            </w:r>
          </w:p>
        </w:tc>
      </w:tr>
      <w:tr>
        <w:trPr>
          <w:tblHeader w:val="off"/>
        </w:trPr>
        <w:tc>
          <w:tcPr>
            <w:tcW w:type="dxa" w:w="38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Producer – trưởng ban truyền thông nội bộ</w:t>
            </w:r>
          </w:p>
        </w:tc>
        <w:tc>
          <w:tcPr>
            <w:tcW w:type="dxa" w:w="2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Kịch bản, tiến độ, chất lượng</w:t>
            </w:r>
          </w:p>
        </w:tc>
        <w:tc>
          <w:tcPr>
            <w:tcW w:type="dxa" w:w="28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từng sự kiện</w:t>
            </w:r>
          </w:p>
        </w:tc>
      </w:tr>
      <w:tr>
        <w:trPr>
          <w:tblHeader w:val="off"/>
        </w:trPr>
        <w:tc>
          <w:tcPr>
            <w:tcW w:type="dxa" w:w="38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Creative Lead – nhóm thương hiệu</w:t>
            </w:r>
          </w:p>
        </w:tc>
        <w:tc>
          <w:tcPr>
            <w:tcW w:type="dxa" w:w="2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Ý tưởng, nhận diện</w:t>
            </w:r>
          </w:p>
        </w:tc>
        <w:tc>
          <w:tcPr>
            <w:tcW w:type="dxa" w:w="28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từng sự kiện</w:t>
            </w:r>
          </w:p>
        </w:tc>
      </w:tr>
      <w:tr>
        <w:trPr>
          <w:tblHeader w:val="off"/>
        </w:trPr>
        <w:tc>
          <w:tcPr>
            <w:tcW w:type="dxa" w:w="38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 toán dự án – tài chính, mua sắm</w:t>
            </w:r>
          </w:p>
        </w:tc>
        <w:tc>
          <w:tcPr>
            <w:tcW w:type="dxa" w:w="29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Hợp đồng, thanh toán</w:t>
            </w:r>
          </w:p>
        </w:tc>
        <w:tc>
          <w:tcPr>
            <w:tcW w:type="dxa" w:w="28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từng sự kiện</w:t>
            </w:r>
          </w:p>
        </w:tc>
      </w:tr>
    </w:tbl>
    <w:p>
      <w:pPr>
        <w:spacing w:after="80" w:before="0"/>
      </w:pPr>
    </w:p>
    <w:p>
      <w:pPr>
        <w:spacing w:after="120"/>
      </w:pPr>
      <w:r>
        <w:rPr>
          <w:b/>
          <w:bCs/>
        </w:rPr>
        <w:t xml:space="preserve">Lãnh đạo agency</w:t>
      </w:r>
      <w:r>
        <w:t xml:space="preserve"> nên chuyển từ “đứng tên” (executive sponsorship) sang </w:t>
      </w:r>
      <w:r>
        <w:rPr>
          <w:b/>
          <w:bCs/>
        </w:rPr>
        <w:t xml:space="preserve">là thành viên có trách nhiệm của đội khách hàng</w:t>
      </w:r>
      <w:r>
        <w:t xml:space="preserve"> (executive engagement) (Côté, 2021). Nhưng lãnh đạo phải được brief trước khi gặp khách; lãnh đạo không nắm chuyện hằng ngày có thể làm agency mất uy tín.</w:t>
      </w:r>
    </w:p>
    <w:p>
      <w:pPr>
        <w:pStyle w:val="Heading1"/>
      </w:pPr>
      <w:r>
        <w:t xml:space="preserve">3. Đo lường: chỉ số kết quả và chỉ số quá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5"/>
        <w:gridCol w:w="4701"/>
        <w:gridCol w:w="4232"/>
      </w:tblGrid>
      <w:tr>
        <w:trPr>
          <w:tblHeader/>
        </w:trPr>
        <w:tc>
          <w:tcPr>
            <w:tcW w:type="dxa" w:w="7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70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Chỉ số kết quả (results-driven)</w:t>
            </w:r>
          </w:p>
        </w:tc>
        <w:tc>
          <w:tcPr>
            <w:tcW w:type="dxa" w:w="423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Chỉ số quá trình (process-driven)</w:t>
            </w:r>
          </w:p>
        </w:tc>
      </w:tr>
      <w:tr>
        <w:trPr>
          <w:tblHeader w:val="off"/>
        </w:trPr>
        <w:tc>
          <w:tcPr>
            <w:tcW w:type="dxa" w:w="7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Đo gì</w:t>
            </w:r>
          </w:p>
        </w:tc>
        <w:tc>
          <w:tcPr>
            <w:tcW w:type="dxa" w:w="4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chính: doanh thu, lợi nhuận, CLV. Quan hệ: hài lòng, trung thành, chất lượng quan hệ</w:t>
            </w:r>
          </w:p>
        </w:tc>
        <w:tc>
          <w:tcPr>
            <w:tcW w:type="dxa" w:w="42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Phục vụ khách, cùng phát triển, trải nghiệm khách hàng</w:t>
            </w:r>
          </w:p>
        </w:tc>
      </w:tr>
      <w:tr>
        <w:trPr>
          <w:tblHeader w:val="off"/>
        </w:trPr>
        <w:tc>
          <w:tcPr>
            <w:tcW w:type="dxa" w:w="7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Tính chất</w:t>
            </w:r>
          </w:p>
        </w:tc>
        <w:tc>
          <w:tcPr>
            <w:tcW w:type="dxa" w:w="4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số trễ: biết khi đã xảy ra</w:t>
            </w:r>
          </w:p>
        </w:tc>
        <w:tc>
          <w:tcPr>
            <w:tcW w:type="dxa" w:w="42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trước kết quả</w:t>
            </w:r>
          </w:p>
        </w:tc>
      </w:tr>
      <w:tr>
        <w:trPr>
          <w:tblHeader w:val="off"/>
        </w:trPr>
        <w:tc>
          <w:tcPr>
            <w:tcW w:type="dxa" w:w="7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ảnh</w:t>
            </w:r>
          </w:p>
        </w:tc>
        <w:tc>
          <w:tcPr>
            <w:tcW w:type="dxa" w:w="47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cây số</w:t>
            </w:r>
          </w:p>
        </w:tc>
        <w:tc>
          <w:tcPr>
            <w:tcW w:type="dxa" w:w="42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Đèn báo trên taplô</w:t>
            </w:r>
          </w:p>
        </w:tc>
      </w:tr>
    </w:tbl>
    <w:p>
      <w:pPr>
        <w:spacing w:after="80" w:before="0"/>
      </w:pPr>
    </w:p>
    <w:p>
      <w:pPr>
        <w:spacing w:after="120"/>
      </w:pPr>
      <w:r>
        <w:t xml:space="preserve">Ba kết quả về quan hệ (Marcos et al., 2018):</w:t>
      </w:r>
    </w:p>
    <w:p>
      <w:pPr>
        <w:pStyle w:val="ListParagraph"/>
        <w:numPr>
          <w:ilvl w:val="0"/>
          <w:numId w:val="3"/>
        </w:numPr>
        <w:spacing w:after="60"/>
      </w:pPr>
      <w:r>
        <w:rPr>
          <w:b/>
          <w:bCs/>
        </w:rPr>
        <w:t xml:space="preserve">Hài lòng:</w:t>
      </w:r>
      <w:r>
        <w:t xml:space="preserve"> với dịch vụ, giao tiếp, nhân sự, xử lý khiếu nại, giá trị tài chính.</w:t>
      </w:r>
    </w:p>
    <w:p>
      <w:pPr>
        <w:pStyle w:val="ListParagraph"/>
        <w:numPr>
          <w:ilvl w:val="0"/>
          <w:numId w:val="3"/>
        </w:numPr>
        <w:spacing w:after="60"/>
      </w:pPr>
      <w:r>
        <w:rPr>
          <w:b/>
          <w:bCs/>
        </w:rPr>
        <w:t xml:space="preserve">Trung thành:</w:t>
      </w:r>
      <w:r>
        <w:t xml:space="preserve"> có hai thành phần. Thái độ: ý định mua lại, giới thiệu. Hành vi: mua thêm, tỷ trọng chi tiêu dành cho mình.</w:t>
      </w:r>
    </w:p>
    <w:p>
      <w:pPr>
        <w:pStyle w:val="ListParagraph"/>
        <w:numPr>
          <w:ilvl w:val="0"/>
          <w:numId w:val="3"/>
        </w:numPr>
        <w:spacing w:after="60"/>
      </w:pPr>
      <w:r>
        <w:rPr>
          <w:b/>
          <w:bCs/>
        </w:rPr>
        <w:t xml:space="preserve">Chất lượng quan hệ:</w:t>
      </w:r>
      <w:r>
        <w:t xml:space="preserve"> ba trụ cột của Buổi 4, nên đo cả hai phía.</w:t>
      </w:r>
    </w:p>
    <w:p>
      <w:pPr>
        <w:spacing w:after="120"/>
      </w:pPr>
      <w:r>
        <w:t xml:space="preserve">Nghiên cứu cho thấy thực hành KAM ảnh hưởng đến hiệu quả </w:t>
      </w:r>
      <w:r>
        <w:rPr>
          <w:b/>
          <w:bCs/>
        </w:rPr>
        <w:t xml:space="preserve">thông qua</w:t>
      </w:r>
      <w:r>
        <w:t xml:space="preserve"> năng lực quan hệ và kết quả quan hệ (Tzempelikos &amp; Gounaris, 2015). Sự hài lòng của Key Account bổ trợ lợi thế khác biệt hóa, làm tăng hiệu quả tài chính (Fakhreddin et al., 2025).</w:t>
      </w:r>
    </w:p>
    <w:p>
      <w:pPr>
        <w:spacing w:after="120"/>
      </w:pPr>
      <w:r>
        <w:rPr>
          <w:i/>
          <w:iCs/>
        </w:rPr>
        <w:t xml:space="preserve">Ví dụ bộ chỉ số (giả định).</w:t>
      </w:r>
      <w:r>
        <w:t xml:space="preserve"> Kết quả: doanh thu từ khách mỗi năm; biên lợi nhuận; tỷ trọng ngân sách sự kiện của khách mà agency nắm; số năm quan hệ, tái ký. Quá trình: số đầu mối và số cấp agency có quan hệ; nhịp gặp lãnh đạo; số buổi đánh giá đúng hạn; thời gian phản hồi; agency có được mời vào họp kế hoạch năm không.</w:t>
      </w:r>
    </w:p>
    <w:p>
      <w:pPr>
        <w:pStyle w:val="Heading1"/>
      </w:pPr>
      <w:r>
        <w:t xml:space="preserve">4. Đo từng sự kiện: khung ROI</w:t>
      </w:r>
    </w:p>
    <w:p>
      <w:pPr>
        <w:spacing w:after="120"/>
      </w:pPr>
      <w:r>
        <w:t xml:space="preserve">ROI Methodology (Phillips et al., 2008) phát triển từ mô hình đánh giá đào tạo của Kirkpatrick: </w:t>
      </w:r>
      <w:r>
        <w:rPr>
          <w:b/>
          <w:bCs/>
        </w:rPr>
        <w:t xml:space="preserve">đặt mục tiêu từ trên xuống, đo từ dưới lên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Cấp</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 gì</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Đúng người tham dự</w:t>
            </w:r>
            <w:r>
              <w:rPr>
                <w:sz w:val="20"/>
                <w:szCs w:val="20"/>
              </w:rPr>
              <w:t xml:space="preserve"> (khung 6 cấp)</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Phản ứng (hài lòng)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Học được gì, kể cả học về quan hệ</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Áp dụng: người tham dự làm điều gì khác đi</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Tác động đến kết quả kinh doanh (tách riêng phần do sự kiện)</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 với sự kiện hiệp hội, nhà nước: sứ mệnh thay cho ROI</w:t>
            </w:r>
          </w:p>
        </w:tc>
      </w:tr>
    </w:tbl>
    <w:p>
      <w:pPr>
        <w:spacing w:after="80" w:before="0"/>
      </w:pPr>
    </w:p>
    <w:p>
      <w:pPr>
        <w:spacing w:after="120"/>
      </w:pPr>
      <w:r>
        <w:t xml:space="preserve">Khách hài lòng 4,5/5 mới chỉ là </w:t>
      </w:r>
      <w:r>
        <w:rPr>
          <w:b/>
          <w:bCs/>
        </w:rPr>
        <w:t xml:space="preserve">cấp 1</w:t>
      </w:r>
      <w:r>
        <w:t xml:space="preserve">. Sự kiện thành công khi người tham dự </w:t>
      </w:r>
      <w:r>
        <w:rPr>
          <w:b/>
          <w:bCs/>
        </w:rPr>
        <w:t xml:space="preserve">làm điều gì đó khác đi</w:t>
      </w:r>
      <w:r>
        <w:t xml:space="preserve">.</w:t>
      </w:r>
    </w:p>
    <w:p>
      <w:pPr>
        <w:spacing w:after="120"/>
      </w:pPr>
      <w:r>
        <w:rPr>
          <w:b/>
          <w:bCs/>
        </w:rPr>
        <w:t xml:space="preserve">Bản rút gọn cho agency Việt Nam (nhận định của môn):</w:t>
      </w:r>
      <w:r>
        <w:t xml:space="preserve"> khung 6 cấp hợp với bối cảnh có khoảng cách quyền lực cao (lãnh đạo khách quyết định danh sách mời → cấp 0 đo được), coi trọng quan hệ (cấp 2 có học về quan hệ), và nhiều sự kiện nhà nước, hiệp hội (sứ mệnh thay ROI). Dùng vài KPI then chốt thay vì bộ đo nặng.</w:t>
      </w:r>
    </w:p>
    <w:p>
      <w:pPr>
        <w:spacing w:after="120"/>
      </w:pPr>
      <w:r>
        <w:rPr>
          <w:b/>
          <w:bCs/>
        </w:rPr>
        <w:t xml:space="preserve">Cách dùng:</w:t>
      </w:r>
      <w:r>
        <w:t xml:space="preserve"> agency </w:t>
      </w:r>
      <w:r>
        <w:rPr>
          <w:b/>
          <w:bCs/>
        </w:rPr>
        <w:t xml:space="preserve">cam kết và báo cáo cấp 0–3</w:t>
      </w:r>
      <w:r>
        <w:t xml:space="preserve"> (kiểm soát được nhiều); cấp 4–5 nằm trong dữ liệu của khách, chỉ đo khi khách đồng ý chia sẻ, và </w:t>
      </w:r>
      <w:r>
        <w:rPr>
          <w:b/>
          <w:bCs/>
        </w:rPr>
        <w:t xml:space="preserve">thống nhất từ đầu</w:t>
      </w:r>
      <w:r>
        <w:t xml:space="preserve"> trong buổi đánh giá chung.</w:t>
      </w:r>
    </w:p>
    <w:p>
      <w:pPr>
        <w:pStyle w:val="Heading1"/>
      </w:pPr>
      <w:r>
        <w:t xml:space="preserve">5. Đánh giá chung định kỳ (joint review)</w:t>
      </w:r>
    </w:p>
    <w:p>
      <w:pPr>
        <w:spacing w:after="120"/>
      </w:pPr>
      <w:r>
        <w:t xml:space="preserve">Đánh giá chung là </w:t>
      </w:r>
      <w:r>
        <w:rPr>
          <w:b/>
          <w:bCs/>
        </w:rPr>
        <w:t xml:space="preserve">họp hai bên</w:t>
      </w:r>
      <w:r>
        <w:t xml:space="preserve">, không phải khách chấm điểm agency. Nhịp theo quý hoặc theo mùa sự kiện của Key Account. Chương trình năm phần:</w:t>
      </w:r>
    </w:p>
    <w:p>
      <w:pPr>
        <w:pStyle w:val="ListParagraph"/>
        <w:numPr>
          <w:ilvl w:val="0"/>
          <w:numId w:val="4"/>
        </w:numPr>
        <w:spacing w:after="60"/>
      </w:pPr>
      <w:r>
        <w:t xml:space="preserve">hỏi thăm quan hệ;</w:t>
      </w:r>
    </w:p>
    <w:p>
      <w:pPr>
        <w:pStyle w:val="ListParagraph"/>
        <w:numPr>
          <w:ilvl w:val="0"/>
          <w:numId w:val="4"/>
        </w:numPr>
        <w:spacing w:after="60"/>
      </w:pPr>
      <w:r>
        <w:t xml:space="preserve">đã hứa gì, đã làm gì;</w:t>
      </w:r>
    </w:p>
    <w:p>
      <w:pPr>
        <w:pStyle w:val="ListParagraph"/>
        <w:numPr>
          <w:ilvl w:val="0"/>
          <w:numId w:val="4"/>
        </w:numPr>
        <w:spacing w:after="60"/>
      </w:pPr>
      <w:r>
        <w:t xml:space="preserve">kết quả theo chỉ số đã thống nhất;</w:t>
      </w:r>
    </w:p>
    <w:p>
      <w:pPr>
        <w:pStyle w:val="ListParagraph"/>
        <w:numPr>
          <w:ilvl w:val="0"/>
          <w:numId w:val="4"/>
        </w:numPr>
        <w:spacing w:after="60"/>
      </w:pPr>
      <w:r>
        <w:t xml:space="preserve">đánh giá </w:t>
      </w:r>
      <w:r>
        <w:rPr>
          <w:b/>
          <w:bCs/>
        </w:rPr>
        <w:t xml:space="preserve">hai chiều</w:t>
      </w:r>
      <w:r>
        <w:t xml:space="preserve">;</w:t>
      </w:r>
    </w:p>
    <w:p>
      <w:pPr>
        <w:pStyle w:val="ListParagraph"/>
        <w:numPr>
          <w:ilvl w:val="0"/>
          <w:numId w:val="4"/>
        </w:numPr>
        <w:spacing w:after="60"/>
      </w:pPr>
      <w:r>
        <w:t xml:space="preserve">đề xuất kỳ tới và đặt lịch buổi sau ngay tại chỗ.</w:t>
      </w:r>
    </w:p>
    <w:p>
      <w:pPr>
        <w:spacing w:after="120"/>
      </w:pPr>
      <w:r>
        <w:t xml:space="preserve">Đánh giá hai chiều cho agency dịp chính thức để nói những điều khách làm khiến chất lượng giảm (duyệt chậm, đổi brief sát ngày) mà không làm ai mất thể diện. Đây chính là xung đột chức năng ở Buổi 4.</w:t>
      </w:r>
    </w:p>
    <w:p>
      <w:pPr>
        <w:spacing w:after="120"/>
      </w:pPr>
      <w:r>
        <w:rPr>
          <w:b/>
          <w:bCs/>
        </w:rPr>
        <w:t xml:space="preserve">Mỗi sự kiện một báo cáo; nhiều báo cáo là trí nhớ của quan hệ.</w:t>
      </w:r>
      <w:r>
        <w:t xml:space="preserve"> Agency có thể mượn logic của mẫu APEX Post-Event Report: họp ngay sau sự kiện, hoàn thành báo cáo trong thời hạn thống nhất. Khi đầu mối thay người, các báo cáo này giúp người mới hiểu quan hệ đã tạo ra gì.</w:t>
      </w:r>
    </w:p>
    <w:p>
      <w:pPr>
        <w:spacing w:after="120"/>
      </w:pPr>
      <w:r>
        <w:rPr>
          <w:b/>
          <w:bCs/>
        </w:rPr>
        <w:t xml:space="preserve">Năm dấu hiệu cảnh báo sớm:</w:t>
      </w:r>
    </w:p>
    <w:p>
      <w:pPr>
        <w:pStyle w:val="ListParagraph"/>
        <w:numPr>
          <w:ilvl w:val="0"/>
          <w:numId w:val="5"/>
        </w:numPr>
        <w:spacing w:after="60"/>
      </w:pPr>
      <w:r>
        <w:t xml:space="preserve">khách trả lời chậm hơn;</w:t>
      </w:r>
    </w:p>
    <w:p>
      <w:pPr>
        <w:pStyle w:val="ListParagraph"/>
        <w:numPr>
          <w:ilvl w:val="0"/>
          <w:numId w:val="5"/>
        </w:numPr>
        <w:spacing w:after="60"/>
      </w:pPr>
      <w:r>
        <w:t xml:space="preserve">bỏ buổi đánh giá;</w:t>
      </w:r>
    </w:p>
    <w:p>
      <w:pPr>
        <w:pStyle w:val="ListParagraph"/>
        <w:numPr>
          <w:ilvl w:val="0"/>
          <w:numId w:val="5"/>
        </w:numPr>
        <w:spacing w:after="60"/>
      </w:pPr>
      <w:r>
        <w:t xml:space="preserve">giao quan hệ cho người cấp thấp hơn;</w:t>
      </w:r>
    </w:p>
    <w:p>
      <w:pPr>
        <w:pStyle w:val="ListParagraph"/>
        <w:numPr>
          <w:ilvl w:val="0"/>
          <w:numId w:val="5"/>
        </w:numPr>
        <w:spacing w:after="60"/>
      </w:pPr>
      <w:r>
        <w:t xml:space="preserve">thanh toán chậm;</w:t>
      </w:r>
    </w:p>
    <w:p>
      <w:pPr>
        <w:pStyle w:val="ListParagraph"/>
        <w:numPr>
          <w:ilvl w:val="0"/>
          <w:numId w:val="5"/>
        </w:numPr>
        <w:spacing w:after="60"/>
      </w:pPr>
      <w:r>
        <w:t xml:space="preserve">đầu mối phía khách thay người.</w:t>
      </w:r>
    </w:p>
    <w:p>
      <w:pPr>
        <w:spacing w:after="120"/>
      </w:pPr>
      <w:r>
        <w:rPr>
          <w:b/>
          <w:bCs/>
        </w:rPr>
        <w:t xml:space="preserve">Đạo đức:</w:t>
      </w:r>
      <w:r>
        <w:t xml:space="preserve"> mở rộng quan hệ phải minh bạch. Báo đầu mối trước khi gặp sếp hoặc bộ phận khác của khách; báo cáo số liệu cả tốt lẫn xấu; giữ bí mật dữ liệu khách chia sẻ. Không vượt mặt đầu mối, không chọn lọc phiếu khảo sát cho điểm đẹp. Diamond xây bằng sự đồng ý của khách.</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98"/>
        <w:gridCol w:w="5640"/>
      </w:tblGrid>
      <w:tr>
        <w:trPr>
          <w:tblHeader/>
        </w:trPr>
        <w:tc>
          <w:tcPr>
            <w:tcW w:type="dxa" w:w="399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564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39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Bow-tie / Diamond</w:t>
            </w:r>
          </w:p>
        </w:tc>
        <w:tc>
          <w:tcPr>
            <w:tcW w:type="dxa" w:w="5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Mô hình quan hệ qua một điểm / nhiều cặp đối ứng</w:t>
            </w:r>
          </w:p>
        </w:tc>
      </w:tr>
      <w:tr>
        <w:trPr>
          <w:tblHeader w:val="off"/>
        </w:trPr>
        <w:tc>
          <w:tcPr>
            <w:tcW w:type="dxa" w:w="39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Executive engagement</w:t>
            </w:r>
          </w:p>
        </w:tc>
        <w:tc>
          <w:tcPr>
            <w:tcW w:type="dxa" w:w="5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Lãnh đạo tham gia có trách nhiệm vào quan hệ khách hàng</w:t>
            </w:r>
          </w:p>
        </w:tc>
      </w:tr>
      <w:tr>
        <w:trPr>
          <w:tblHeader w:val="off"/>
        </w:trPr>
        <w:tc>
          <w:tcPr>
            <w:tcW w:type="dxa" w:w="39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Results-driven / process-driven metrics</w:t>
            </w:r>
          </w:p>
        </w:tc>
        <w:tc>
          <w:tcPr>
            <w:tcW w:type="dxa" w:w="5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số kết quả / chỉ số quá trình</w:t>
            </w:r>
          </w:p>
        </w:tc>
      </w:tr>
      <w:tr>
        <w:trPr>
          <w:tblHeader w:val="off"/>
        </w:trPr>
        <w:tc>
          <w:tcPr>
            <w:tcW w:type="dxa" w:w="39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ROI Methodology</w:t>
            </w:r>
          </w:p>
        </w:tc>
        <w:tc>
          <w:tcPr>
            <w:tcW w:type="dxa" w:w="5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Phương pháp đo ROI theo cấp</w:t>
            </w:r>
          </w:p>
        </w:tc>
      </w:tr>
      <w:tr>
        <w:trPr>
          <w:tblHeader w:val="off"/>
        </w:trPr>
        <w:tc>
          <w:tcPr>
            <w:tcW w:type="dxa" w:w="39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Joint review, QBR</w:t>
            </w:r>
          </w:p>
        </w:tc>
        <w:tc>
          <w:tcPr>
            <w:tcW w:type="dxa" w:w="56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Đánh giá chung định kỳ</w:t>
            </w:r>
          </w:p>
        </w:tc>
      </w:tr>
    </w:tbl>
    <w:p>
      <w:pPr>
        <w:spacing w:after="80" w:before="0"/>
      </w:pPr>
    </w:p>
    <w:p>
      <w:pPr>
        <w:pStyle w:val="Heading1"/>
      </w:pPr>
      <w:r>
        <w:t xml:space="preserve">Lỗi thường gặp</w:t>
      </w:r>
    </w:p>
    <w:p>
      <w:pPr>
        <w:pStyle w:val="ListParagraph"/>
        <w:numPr>
          <w:ilvl w:val="0"/>
          <w:numId w:val="3"/>
        </w:numPr>
        <w:spacing w:after="60"/>
      </w:pPr>
      <w:r>
        <w:t xml:space="preserve">Nghĩ quan hệ tốt với sếp của khách là đủ. Nếu mọi việc khác vẫn qua một người, đó vẫn là Bow-tie, chỉ ở tầng cao hơn.</w:t>
      </w:r>
    </w:p>
    <w:p>
      <w:pPr>
        <w:pStyle w:val="ListParagraph"/>
        <w:numPr>
          <w:ilvl w:val="0"/>
          <w:numId w:val="3"/>
        </w:numPr>
        <w:spacing w:after="60"/>
      </w:pPr>
      <w:r>
        <w:t xml:space="preserve">Nghĩ Diamond là càng nhiều người gặp khách càng tốt. Mỗi cặp cần mục đích và nhịp gặp.</w:t>
      </w:r>
    </w:p>
    <w:p>
      <w:pPr>
        <w:pStyle w:val="ListParagraph"/>
        <w:numPr>
          <w:ilvl w:val="0"/>
          <w:numId w:val="3"/>
        </w:numPr>
        <w:spacing w:after="60"/>
      </w:pPr>
      <w:r>
        <w:t xml:space="preserve">Áp dụng Diamond cho mọi khách hàng.</w:t>
      </w:r>
    </w:p>
    <w:p>
      <w:pPr>
        <w:pStyle w:val="ListParagraph"/>
        <w:numPr>
          <w:ilvl w:val="0"/>
          <w:numId w:val="3"/>
        </w:numPr>
        <w:spacing w:after="60"/>
      </w:pPr>
      <w:r>
        <w:t xml:space="preserve">Chỉ đo “hài lòng”.</w:t>
      </w:r>
    </w:p>
    <w:p>
      <w:pPr>
        <w:pStyle w:val="Heading1"/>
      </w:pPr>
      <w:r>
        <w:t xml:space="preserve">Liên hệ với kế hoạch cuối kỳ (SMP)</w:t>
      </w:r>
    </w:p>
    <w:p>
      <w:pPr>
        <w:spacing w:after="120"/>
      </w:pPr>
      <w:r>
        <w:t xml:space="preserve">Sơ đồ tiếp xúc nhiều cấp, bộ chỉ số kết quả – quá trình, khung ROI 6 cấp và lịch đánh giá chung thuộc </w:t>
      </w:r>
      <w:r>
        <w:rPr>
          <w:b/>
          <w:bCs/>
        </w:rPr>
        <w:t xml:space="preserve">phần D (Value Delivery)</w:t>
      </w:r>
      <w:r>
        <w:t xml:space="preserve">, mảng quan hệ với Key Account (rubric tiêu chí 5). Mỗi lời hứa ở phần C cần một chỉ số đo ở đây.</w:t>
      </w:r>
    </w:p>
    <w:p>
      <w:pPr>
        <w:pStyle w:val="Heading1"/>
      </w:pPr>
      <w:r>
        <w:t xml:space="preserve">Câu hỏi tự ôn</w:t>
      </w:r>
    </w:p>
    <w:p>
      <w:pPr>
        <w:pStyle w:val="ListParagraph"/>
        <w:numPr>
          <w:ilvl w:val="0"/>
          <w:numId w:val="6"/>
        </w:numPr>
        <w:spacing w:after="60"/>
      </w:pPr>
      <w:r>
        <w:t xml:space="preserve">CEO agency chơi golf hằng tháng với Phó TGĐ của khách, còn mọi việc khác vẫn qua KAMer và một đầu mối. Đây là Bow-tie hay Diamond? Vì sao?</w:t>
      </w:r>
    </w:p>
    <w:p>
      <w:pPr>
        <w:pStyle w:val="ListParagraph"/>
        <w:numPr>
          <w:ilvl w:val="0"/>
          <w:numId w:val="6"/>
        </w:numPr>
        <w:spacing w:after="60"/>
      </w:pPr>
      <w:r>
        <w:t xml:space="preserve">Phân biệt chỉ số kết quả và chỉ số quá trình bằng một ví dụ cho mỗi loại.</w:t>
      </w:r>
    </w:p>
    <w:p>
      <w:pPr>
        <w:pStyle w:val="ListParagraph"/>
        <w:numPr>
          <w:ilvl w:val="0"/>
          <w:numId w:val="6"/>
        </w:numPr>
        <w:spacing w:after="60"/>
      </w:pPr>
      <w:r>
        <w:t xml:space="preserve">Vì sao agency nên cam kết cấp 0–3 mà không tự cam kết cấp 4–5?</w:t>
      </w:r>
    </w:p>
    <w:p>
      <w:pPr>
        <w:pStyle w:val="ListParagraph"/>
        <w:numPr>
          <w:ilvl w:val="0"/>
          <w:numId w:val="6"/>
        </w:numPr>
        <w:spacing w:after="60"/>
      </w:pPr>
      <w:r>
        <w:t xml:space="preserve">Nêu năm dấu hiệu cảnh báo sớm. Dấu hiệu nào nguy hiểm nhất với quan hệ Bow-tie?</w:t>
      </w:r>
    </w:p>
    <w:p>
      <w:pPr>
        <w:pStyle w:val="Heading1"/>
      </w:pPr>
      <w:r>
        <w:t xml:space="preserve">Tài liệu tham khảo</w:t>
      </w:r>
    </w:p>
    <w:p>
      <w:pPr>
        <w:pStyle w:val="ListParagraph"/>
        <w:numPr>
          <w:ilvl w:val="0"/>
          <w:numId w:val="3"/>
        </w:numPr>
        <w:spacing w:after="60"/>
      </w:pPr>
      <w:r>
        <w:t xml:space="preserve">Association of National Advertisers. (2025, April). </w:t>
      </w:r>
      <w:r>
        <w:rPr>
          <w:i/>
          <w:iCs/>
        </w:rPr>
        <w:t xml:space="preserve">New ANA and 4As report reveals client-agency relationship tenure has doubled since 2016</w:t>
      </w:r>
      <w:r>
        <w:t xml:space="preserve"> [Press release].</w:t>
      </w:r>
    </w:p>
    <w:p>
      <w:pPr>
        <w:pStyle w:val="ListParagraph"/>
        <w:numPr>
          <w:ilvl w:val="0"/>
          <w:numId w:val="3"/>
        </w:numPr>
        <w:spacing w:after="60"/>
      </w:pPr>
      <w:r>
        <w:t xml:space="preserve">Côté, D. (2021, October 26). </w:t>
      </w:r>
      <w:r>
        <w:rPr>
          <w:i/>
          <w:iCs/>
        </w:rPr>
        <w:t xml:space="preserve">From executive sponsorship to executive engagement</w:t>
      </w:r>
      <w:r>
        <w:t xml:space="preserve">. Strategic Account Management Association.</w:t>
      </w:r>
    </w:p>
    <w:p>
      <w:pPr>
        <w:pStyle w:val="ListParagraph"/>
        <w:numPr>
          <w:ilvl w:val="0"/>
          <w:numId w:val="3"/>
        </w:numPr>
        <w:spacing w:after="60"/>
      </w:pPr>
      <w:r>
        <w:t xml:space="preserve">Fakhreddin, F., Foroudi, P., &amp; Kooli, K. (2025). The influence of key account management on competitive advantage and firm performance. </w:t>
      </w:r>
      <w:r>
        <w:rPr>
          <w:i/>
          <w:iCs/>
        </w:rPr>
        <w:t xml:space="preserve">Industrial Marketing Management, 124</w:t>
      </w:r>
      <w:r>
        <w:t xml:space="preserve">, 266–286.</w:t>
      </w:r>
    </w:p>
    <w:p>
      <w:pPr>
        <w:pStyle w:val="ListParagraph"/>
        <w:numPr>
          <w:ilvl w:val="0"/>
          <w:numId w:val="3"/>
        </w:numPr>
        <w:spacing w:after="60"/>
      </w:pPr>
      <w:r>
        <w:t xml:space="preserve">Marcos, J., Davies, M., Guesalaga, R., &amp; Holt, S. (2018). </w:t>
      </w:r>
      <w:r>
        <w:rPr>
          <w:i/>
          <w:iCs/>
        </w:rPr>
        <w:t xml:space="preserve">Implementing key account management: Designing customer-centric processes for mutual growth</w:t>
      </w:r>
      <w:r>
        <w:t xml:space="preserve">. Kogan Page.</w:t>
      </w:r>
    </w:p>
    <w:p>
      <w:pPr>
        <w:pStyle w:val="ListParagraph"/>
        <w:numPr>
          <w:ilvl w:val="0"/>
          <w:numId w:val="3"/>
        </w:numPr>
        <w:spacing w:after="60"/>
      </w:pPr>
      <w:r>
        <w:t xml:space="preserve">McDonald, M., Millman, T., &amp; Rogers, B. (1997). Key account management: Theory, practice and challenges. </w:t>
      </w:r>
      <w:r>
        <w:rPr>
          <w:i/>
          <w:iCs/>
        </w:rPr>
        <w:t xml:space="preserve">Journal of Marketing Management, 13</w:t>
      </w:r>
      <w:r>
        <w:t xml:space="preserve">(8), 737–757.</w:t>
      </w:r>
    </w:p>
    <w:p>
      <w:pPr>
        <w:pStyle w:val="ListParagraph"/>
        <w:numPr>
          <w:ilvl w:val="0"/>
          <w:numId w:val="3"/>
        </w:numPr>
        <w:spacing w:after="60"/>
      </w:pPr>
      <w:r>
        <w:t xml:space="preserve">Phillips, J. J., Breining, M. T., &amp; Phillips, P. P. (2008). </w:t>
      </w:r>
      <w:r>
        <w:rPr>
          <w:i/>
          <w:iCs/>
        </w:rPr>
        <w:t xml:space="preserve">Return on investment in meetings and events</w:t>
      </w:r>
      <w:r>
        <w:t xml:space="preserve">. Elsevier/Butterworth-Heinemann.</w:t>
      </w:r>
    </w:p>
    <w:p>
      <w:pPr>
        <w:pStyle w:val="ListParagraph"/>
        <w:numPr>
          <w:ilvl w:val="0"/>
          <w:numId w:val="3"/>
        </w:numPr>
        <w:spacing w:after="60"/>
      </w:pPr>
      <w:r>
        <w:t xml:space="preserve">Spencer Stuart. (2025). </w:t>
      </w:r>
      <w:r>
        <w:rPr>
          <w:i/>
          <w:iCs/>
        </w:rPr>
        <w:t xml:space="preserve">CMO tenure study 2025: The evolution of marketing leadership</w:t>
      </w:r>
      <w:r>
        <w:t xml:space="preserve">.</w:t>
      </w:r>
    </w:p>
    <w:p>
      <w:pPr>
        <w:pStyle w:val="ListParagraph"/>
        <w:numPr>
          <w:ilvl w:val="0"/>
          <w:numId w:val="3"/>
        </w:numPr>
        <w:spacing w:after="60"/>
      </w:pPr>
      <w:r>
        <w:t xml:space="preserve">Tzempelikos, N., &amp; Gounaris, S. (2015). Linking key account management practices to performance outcomes. </w:t>
      </w:r>
      <w:r>
        <w:rPr>
          <w:i/>
          <w:iCs/>
        </w:rPr>
        <w:t xml:space="preserve">Industrial Marketing Management, 45</w:t>
      </w:r>
      <w:r>
        <w:t xml:space="preserve">, 22–34.</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8: Quản trị quan hệ với Key Account và đo lường hiệu quả đa chiều</dc:title>
  <dc:creator>EVM1110E</dc:creator>
  <cp:lastModifiedBy>Un-named</cp:lastModifiedBy>
  <cp:revision>1</cp:revision>
  <dcterms:created xsi:type="dcterms:W3CDTF">2026-10-05T01:39:17.665Z</dcterms:created>
  <dcterms:modified xsi:type="dcterms:W3CDTF">2026-10-05T01:39:17.665Z</dcterms:modified>
</cp:coreProperties>
</file>

<file path=docProps/custom.xml><?xml version="1.0" encoding="utf-8"?>
<Properties xmlns="http://schemas.openxmlformats.org/officeDocument/2006/custom-properties" xmlns:vt="http://schemas.openxmlformats.org/officeDocument/2006/docPropsVTypes"/>
</file>