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9: Kết nối nguồn lực: nhà đầu tư và nhà tài trợ</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“Bảo hiểm Bình An”, “GlobalCard” và mọi con số trong ví dụ là tình huống giả định của môn học, trừ khi ghi rõ nguồn.</w:t>
      </w:r>
    </w:p>
    <w:p>
      <w:pPr>
        <w:pStyle w:val="Heading1"/>
      </w:pPr>
      <w:r>
        <w:t xml:space="preserve">Sau buổi này, bạn cần nắm được</w:t>
      </w:r>
    </w:p>
    <w:p>
      <w:pPr>
        <w:pStyle w:val="ListParagraph"/>
        <w:numPr>
          <w:ilvl w:val="0"/>
          <w:numId w:val="2"/>
        </w:numPr>
        <w:spacing w:after="60"/>
      </w:pPr>
      <w:r>
        <w:t xml:space="preserve">Sự khác nhau giữa nhà tài trợ và nhà đầu tư; lợi ích hữu hình và vô hình cho bốn bên.</w:t>
      </w:r>
    </w:p>
    <w:p>
      <w:pPr>
        <w:pStyle w:val="ListParagraph"/>
        <w:numPr>
          <w:ilvl w:val="0"/>
          <w:numId w:val="2"/>
        </w:numPr>
        <w:spacing w:after="60"/>
      </w:pPr>
      <w:r>
        <w:t xml:space="preserve">Cách đánh giá mức phù hợp và rủi ro của một nhà tài trợ.</w:t>
      </w:r>
    </w:p>
    <w:p>
      <w:pPr>
        <w:pStyle w:val="ListParagraph"/>
        <w:numPr>
          <w:ilvl w:val="0"/>
          <w:numId w:val="2"/>
        </w:numPr>
        <w:spacing w:after="60"/>
      </w:pPr>
      <w:r>
        <w:t xml:space="preserve">Khung đề xuất tài trợ win-win và cách tính ROI đơn giản kèm ROO.</w:t>
      </w:r>
    </w:p>
    <w:p>
      <w:pPr>
        <w:pStyle w:val="ListParagraph"/>
        <w:numPr>
          <w:ilvl w:val="0"/>
          <w:numId w:val="2"/>
        </w:numPr>
        <w:spacing w:after="60"/>
      </w:pPr>
      <w:r>
        <w:t xml:space="preserve">Cách gắn nhà tài trợ vào các điểm chạm trên hành trình của khách của Key Account.</w:t>
      </w:r>
    </w:p>
    <w:p>
      <w:pPr>
        <w:pStyle w:val="Heading1"/>
      </w:pPr>
      <w:r>
        <w:t xml:space="preserve">1. Phần 3 của môn: các bên liên quan phục vụ hành trình của Key Account</w:t>
      </w:r>
    </w:p>
    <w:p>
      <w:pPr>
        <w:spacing w:after="120"/>
      </w:pPr>
      <w:r>
        <w:t xml:space="preserve">Từ Buổi 9 đến 12, môn học thêm các bên khác (nhà tài trợ, nhà cung cấp, báo chí, KOL) nhưng luôn đặt </w:t>
      </w:r>
      <w:r>
        <w:rPr>
          <w:b/>
          <w:bCs/>
        </w:rPr>
        <w:t xml:space="preserve">Key Account và khách của Key Account ở giữa</w:t>
      </w:r>
      <w:r>
        <w:t xml:space="preserve">. Câu hỏi của mỗi buổi: nhận ai, đề xuất gì, đặt họ ở đâu trên hành trình.</w:t>
      </w:r>
    </w:p>
    <w:p>
      <w:pPr>
        <w:spacing w:after="120"/>
      </w:pPr>
      <w:r>
        <w:rPr>
          <w:b/>
          <w:bCs/>
        </w:rPr>
        <w:t xml:space="preserve">Góc nhìn của agency.</w:t>
      </w:r>
      <w:r>
        <w:t xml:space="preserve"> Nhà tài trợ là đối tác của Key Account; khách mời là khách hàng của Key Account. Agency </w:t>
      </w:r>
      <w:r>
        <w:rPr>
          <w:b/>
          <w:bCs/>
        </w:rPr>
        <w:t xml:space="preserve">không xin tài trợ cho mình</w:t>
      </w:r>
      <w:r>
        <w:t xml:space="preserve">. Agency thay mặt Key Account thiết kế quyền lợi, kích hoạt và đo lường, sao cho mỗi lần nhà tài trợ xuất hiện, khách của Key Account được thêm điều gì đó.</w:t>
      </w:r>
    </w:p>
    <w:p>
      <w:pPr>
        <w:pStyle w:val="Heading1"/>
      </w:pPr>
      <w:r>
        <w:t xml:space="preserve">2. Nhà tài trợ và nhà đầu tư</w:t>
      </w:r>
    </w:p>
    <w:p>
      <w:pPr>
        <w:spacing w:after="120"/>
      </w:pPr>
      <w:r>
        <w:rPr>
          <w:b/>
          <w:bCs/>
        </w:rPr>
        <w:t xml:space="preserve">Tài trợ</w:t>
      </w:r>
      <w:r>
        <w:t xml:space="preserve"> là một khoản đầu tư cho nhà tài trợ </w:t>
      </w:r>
      <w:r>
        <w:rPr>
          <w:b/>
          <w:bCs/>
        </w:rPr>
        <w:t xml:space="preserve">quyền gắn tên</w:t>
      </w:r>
      <w:r>
        <w:t xml:space="preserve"> mình với một sự kiện, đội, chương trình (gọi chung là </w:t>
      </w:r>
      <w:r>
        <w:rPr>
          <w:i/>
          <w:iCs/>
        </w:rPr>
        <w:t xml:space="preserve">property</w:t>
      </w:r>
      <w:r>
        <w:t xml:space="preserve">, bên được tài trợ) (Cornwell, 2020). Meenaghan (1983) coi </w:t>
      </w:r>
      <w:r>
        <w:rPr>
          <w:b/>
          <w:bCs/>
        </w:rPr>
        <w:t xml:space="preserve">đặt mục tiêu</w:t>
      </w:r>
      <w:r>
        <w:t xml:space="preserve"> là nền móng của quản trị tài trợ. Farrelly &amp; Quester (2005) xem tài trợ lớn như một </w:t>
      </w:r>
      <w:r>
        <w:rPr>
          <w:b/>
          <w:bCs/>
        </w:rPr>
        <w:t xml:space="preserve">liên minh đồng tiếp thị</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7"/>
        <w:gridCol w:w="5560"/>
        <w:gridCol w:w="2781"/>
      </w:tblGrid>
      <w:tr>
        <w:trPr>
          <w:tblHeader/>
        </w:trPr>
        <w:tc>
          <w:tcPr>
            <w:tcW w:type="dxa" w:w="129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55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tài trợ</w:t>
            </w:r>
          </w:p>
        </w:tc>
        <w:tc>
          <w:tcPr>
            <w:tcW w:type="dxa" w:w="278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đầu tư</w:t>
            </w:r>
          </w:p>
        </w:tc>
      </w:tr>
      <w:tr>
        <w:trPr>
          <w:tblHeader w:val="off"/>
        </w:trPr>
        <w:tc>
          <w:tcPr>
            <w:tcW w:type="dxa" w:w="12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Đưa gì</w:t>
            </w:r>
          </w:p>
        </w:tc>
        <w:tc>
          <w:tcPr>
            <w:tcW w:type="dxa" w:w="55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Tiền, hiện vật, dịch vụ</w:t>
            </w:r>
          </w:p>
        </w:tc>
        <w:tc>
          <w:tcPr>
            <w:tcW w:type="dxa" w:w="2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Vốn</w:t>
            </w:r>
          </w:p>
        </w:tc>
      </w:tr>
      <w:tr>
        <w:trPr>
          <w:tblHeader w:val="off"/>
        </w:trPr>
        <w:tc>
          <w:tcPr>
            <w:tcW w:type="dxa" w:w="12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gì</w:t>
            </w:r>
          </w:p>
        </w:tc>
        <w:tc>
          <w:tcPr>
            <w:tcW w:type="dxa" w:w="55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lợi đã thỏa thuận: hiển thị, kích hoạt, tiếp cận khán giả</w:t>
            </w:r>
          </w:p>
        </w:tc>
        <w:tc>
          <w:tcPr>
            <w:tcW w:type="dxa" w:w="2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lợi nhuận (hoặc phần lỗ)</w:t>
            </w:r>
          </w:p>
        </w:tc>
      </w:tr>
      <w:tr>
        <w:trPr>
          <w:tblHeader w:val="off"/>
        </w:trPr>
        <w:tc>
          <w:tcPr>
            <w:tcW w:type="dxa" w:w="12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Rủi ro chính</w:t>
            </w:r>
          </w:p>
        </w:tc>
        <w:tc>
          <w:tcPr>
            <w:tcW w:type="dxa" w:w="55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 hiệu quả truyền thông</w:t>
            </w:r>
          </w:p>
        </w:tc>
        <w:tc>
          <w:tcPr>
            <w:tcW w:type="dxa" w:w="2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rủi ro tài chính</w:t>
            </w:r>
          </w:p>
        </w:tc>
      </w:tr>
      <w:tr>
        <w:trPr>
          <w:tblHeader w:val="off"/>
        </w:trPr>
        <w:tc>
          <w:tcPr>
            <w:tcW w:type="dxa" w:w="12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của họ</w:t>
            </w:r>
          </w:p>
        </w:tc>
        <w:tc>
          <w:tcPr>
            <w:tcW w:type="dxa" w:w="55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lợi này giúp tôi đạt mục tiêu không?</w:t>
            </w:r>
          </w:p>
        </w:tc>
        <w:tc>
          <w:tcPr>
            <w:tcW w:type="dxa" w:w="2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Sự kiện này có sinh lời không?</w:t>
            </w:r>
          </w:p>
        </w:tc>
      </w:tr>
    </w:tbl>
    <w:p>
      <w:pPr>
        <w:spacing w:after="80" w:before="0"/>
      </w:pPr>
    </w:p>
    <w:p>
      <w:pPr>
        <w:spacing w:after="120"/>
      </w:pPr>
      <w:r>
        <w:rPr>
          <w:i/>
          <w:iCs/>
        </w:rPr>
        <w:t xml:space="preserve">Case tham chiếu:</w:t>
      </w:r>
      <w:r>
        <w:t xml:space="preserve"> Techcombank là nhà tài trợ các concert “Anh trai vượt ngàn chông gai” năm 2024; với các dự án năm 2025, đơn vị sản xuất cho biết ngân hàng trở thành “nhà đồng đầu tư” theo hình thức mới (Znews, 2025).</w:t>
      </w:r>
    </w:p>
    <w:p>
      <w:pPr>
        <w:spacing w:after="120"/>
      </w:pPr>
      <w:r>
        <w:rPr>
          <w:b/>
          <w:bCs/>
        </w:rPr>
        <w:t xml:space="preserve">Sáu bước của quan hệ tài trợ</w:t>
      </w:r>
      <w:r>
        <w:t xml:space="preserve"> (Cornwell, 2020):</w:t>
      </w:r>
    </w:p>
    <w:p>
      <w:pPr>
        <w:pStyle w:val="ListParagraph"/>
        <w:numPr>
          <w:ilvl w:val="0"/>
          <w:numId w:val="3"/>
        </w:numPr>
        <w:spacing w:after="60"/>
      </w:pPr>
      <w:r>
        <w:t xml:space="preserve">quyết định ban đầu (độc quyền ngành hàng, quyền lợi, thời hạn, số tiền);</w:t>
      </w:r>
    </w:p>
    <w:p>
      <w:pPr>
        <w:pStyle w:val="ListParagraph"/>
        <w:numPr>
          <w:ilvl w:val="0"/>
          <w:numId w:val="3"/>
        </w:numPr>
        <w:spacing w:after="60"/>
      </w:pPr>
      <w:r>
        <w:t xml:space="preserve">khán giả mục tiêu;</w:t>
      </w:r>
    </w:p>
    <w:p>
      <w:pPr>
        <w:pStyle w:val="ListParagraph"/>
        <w:numPr>
          <w:ilvl w:val="0"/>
          <w:numId w:val="3"/>
        </w:numPr>
        <w:spacing w:after="60"/>
      </w:pPr>
      <w:r>
        <w:t xml:space="preserve">mục tiêu (nhận thức, cảm xúc, hành vi, tài chính);</w:t>
      </w:r>
    </w:p>
    <w:p>
      <w:pPr>
        <w:pStyle w:val="ListParagraph"/>
        <w:numPr>
          <w:ilvl w:val="0"/>
          <w:numId w:val="3"/>
        </w:numPr>
        <w:spacing w:after="60"/>
      </w:pPr>
      <w:r>
        <w:t xml:space="preserve">gắn kết (hợp đồng, leveraging, activation);</w:t>
      </w:r>
    </w:p>
    <w:p>
      <w:pPr>
        <w:pStyle w:val="ListParagraph"/>
        <w:numPr>
          <w:ilvl w:val="0"/>
          <w:numId w:val="3"/>
        </w:numPr>
        <w:spacing w:after="60"/>
      </w:pPr>
      <w:r>
        <w:t xml:space="preserve">đo lường;</w:t>
      </w:r>
    </w:p>
    <w:p>
      <w:pPr>
        <w:pStyle w:val="ListParagraph"/>
        <w:numPr>
          <w:ilvl w:val="0"/>
          <w:numId w:val="3"/>
        </w:numPr>
        <w:spacing w:after="60"/>
      </w:pPr>
      <w:r>
        <w:t xml:space="preserve">quyết định tiếp theo (tái ký, không tái ký, chấm dứt).</w:t>
      </w:r>
    </w:p>
    <w:p>
      <w:pPr>
        <w:spacing w:after="120"/>
      </w:pPr>
      <w:r>
        <w:t xml:space="preserve">Agency có mặt ở cả sáu bước, thay mặt Key Account.</w:t>
      </w:r>
    </w:p>
    <w:p>
      <w:pPr>
        <w:pStyle w:val="Heading1"/>
      </w:pPr>
      <w:r>
        <w:t xml:space="preserve">3. Lợi ích cho bốn bên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778"/>
        <w:gridCol w:w="3160"/>
      </w:tblGrid>
      <w:tr>
        <w:trPr>
          <w:tblHeader/>
        </w:trPr>
        <w:tc>
          <w:tcPr>
            <w:tcW w:type="dxa" w:w="170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477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Hữu hình</w:t>
            </w:r>
          </w:p>
        </w:tc>
        <w:tc>
          <w:tcPr>
            <w:tcW w:type="dxa" w:w="31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Vô hình</w:t>
            </w:r>
          </w:p>
        </w:tc>
      </w:tr>
      <w:tr>
        <w:trPr>
          <w:tblHeader w:val="off"/>
        </w:trPr>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w:t>
            </w:r>
          </w:p>
        </w:tc>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tiềm năng, doanh số, dữ liệu (có sự đồng ý của khách)</w:t>
            </w:r>
          </w:p>
        </w:tc>
        <w:tc>
          <w:tcPr>
            <w:tcW w:type="dxa" w:w="3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biết, thái độ, liên tưởng hình ảnh</w:t>
            </w:r>
          </w:p>
        </w:tc>
      </w:tr>
      <w:tr>
        <w:trPr>
          <w:tblHeader w:val="off"/>
        </w:trPr>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w:t>
            </w:r>
          </w:p>
        </w:tc>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Bù ngân sách, thêm tiện ích cho khách</w:t>
            </w:r>
          </w:p>
        </w:tc>
        <w:tc>
          <w:tcPr>
            <w:tcW w:type="dxa" w:w="3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 một hệ sinh thái đối tác</w:t>
            </w:r>
          </w:p>
        </w:tc>
      </w:tr>
      <w:tr>
        <w:trPr>
          <w:tblHeader w:val="off"/>
        </w:trPr>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của Key Account</w:t>
            </w:r>
          </w:p>
        </w:tc>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Quà, dịch vụ, tư vấn hữu ích</w:t>
            </w:r>
          </w:p>
        </w:tc>
        <w:tc>
          <w:tcPr>
            <w:tcW w:type="dxa" w:w="3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Trải nghiệm tốt hơn</w:t>
            </w:r>
          </w:p>
        </w:tc>
      </w:tr>
      <w:tr>
        <w:trPr>
          <w:tblHeader w:val="off"/>
        </w:trPr>
        <w:tc>
          <w:tcPr>
            <w:tcW w:type="dxa" w:w="17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w:t>
            </w:r>
          </w:p>
        </w:tc>
        <w:tc>
          <w:tcPr>
            <w:tcW w:type="dxa" w:w="4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Đủ ngân sách để giữ chất lượng; phí dịch vụ kích hoạt</w:t>
            </w:r>
          </w:p>
        </w:tc>
        <w:tc>
          <w:tcPr>
            <w:tcW w:type="dxa" w:w="3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Vị thế đối tác tạo giá trị</w:t>
            </w:r>
          </w:p>
        </w:tc>
      </w:tr>
    </w:tbl>
    <w:p>
      <w:pPr>
        <w:spacing w:after="80" w:before="0"/>
      </w:pPr>
    </w:p>
    <w:p>
      <w:pPr>
        <w:spacing w:after="120"/>
      </w:pPr>
      <w:r>
        <w:rPr>
          <w:b/>
          <w:bCs/>
        </w:rPr>
        <w:t xml:space="preserve">Quan hệ tài trợ bền</w:t>
      </w:r>
      <w:r>
        <w:t xml:space="preserve"> khi có niềm tin, cam kết, tương thích chiến lược, hội tụ mục tiêu và hài lòng (Cornwell, 2020). Farrelly &amp; Quester (2005) thấy nhà tài trợ kém hài lòng khi nỗ lực của mình không được bên kia đáp lại. Đây là niềm tin – cam kết của Buổi 4.</w:t>
      </w:r>
    </w:p>
    <w:p>
      <w:pPr>
        <w:spacing w:after="120"/>
      </w:pPr>
      <w:r>
        <w:rPr>
          <w:b/>
          <w:bCs/>
        </w:rPr>
        <w:t xml:space="preserve">Tài trợ là chuyển giao hình ảnh hai chiều.</w:t>
      </w:r>
      <w:r>
        <w:t xml:space="preserve"> Ví dụ được báo chí đưa tin: tháng 3/2025, một concert ở Đà Lạt bị dừng sau khi thương hiệu của đơn vị tổ chức bị các trang cờ bạc cắt ghép để quảng cáo và nhiều nghệ sĩ rút lui. Thẩm định nhà tài trợ và theo dõi thương hiệu trên mạng là một phần của quản trị quan hệ.</w:t>
      </w:r>
    </w:p>
    <w:p>
      <w:pPr>
        <w:spacing w:after="120"/>
      </w:pPr>
      <w:r>
        <w:rPr>
          <w:b/>
          <w:bCs/>
        </w:rPr>
        <w:t xml:space="preserve">Lưu ý pháp lý.</w:t>
      </w:r>
      <w:r>
        <w:t xml:space="preserve"> Luật Quảng cáo sửa đổi 2025 (Luật số 75/2025/QH15, hiệu lực 1/1/2026):</w:t>
      </w:r>
    </w:p>
    <w:p>
      <w:pPr>
        <w:pStyle w:val="ListParagraph"/>
        <w:numPr>
          <w:ilvl w:val="0"/>
          <w:numId w:val="4"/>
        </w:numPr>
        <w:spacing w:after="60"/>
      </w:pPr>
      <w:r>
        <w:t xml:space="preserve">định nghĩa người phát hành quảng cáo gồm cả người tổ chức chương trình văn hóa, thể thao;</w:t>
      </w:r>
    </w:p>
    <w:p>
      <w:pPr>
        <w:pStyle w:val="ListParagraph"/>
        <w:numPr>
          <w:ilvl w:val="0"/>
          <w:numId w:val="4"/>
        </w:numPr>
        <w:spacing w:after="60"/>
      </w:pPr>
      <w:r>
        <w:t xml:space="preserve">yêu cầu hợp tác quảng cáo thông qua hợp đồng;</w:t>
      </w:r>
    </w:p>
    <w:p>
      <w:pPr>
        <w:pStyle w:val="ListParagraph"/>
        <w:numPr>
          <w:ilvl w:val="0"/>
          <w:numId w:val="4"/>
        </w:numPr>
        <w:spacing w:after="60"/>
      </w:pPr>
      <w:r>
        <w:t xml:space="preserve">yêu cầu bài đăng mạng xã hội phân biệt nội dung quảng cáo hoặc được tài trợ.</w:t>
      </w:r>
    </w:p>
    <w:p>
      <w:pPr>
        <w:spacing w:after="120"/>
      </w:pPr>
      <w:r>
        <w:t xml:space="preserve">Khi logo, clip của nhà tài trợ chạy tại sự kiện, cần hợp đồng và kiểm duyệt nội dung. Chi tiết hỏi bộ phận pháp chế.</w:t>
      </w:r>
    </w:p>
    <w:p>
      <w:pPr>
        <w:pStyle w:val="Heading1"/>
      </w:pPr>
      <w:r>
        <w:t xml:space="preserve">4. Đánh giá một nhà tài trợ tiềm năng</w:t>
      </w:r>
    </w:p>
    <w:p>
      <w:pPr>
        <w:spacing w:after="120"/>
      </w:pPr>
      <w:r>
        <w:t xml:space="preserve">Cornwell (2020) đề xuất thang 100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6787"/>
        <w:gridCol w:w="1087"/>
      </w:tblGrid>
      <w:tr>
        <w:trPr>
          <w:tblHeader/>
        </w:trPr>
        <w:tc>
          <w:tcPr>
            <w:tcW w:type="dxa" w:w="17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Phần</w:t>
            </w:r>
          </w:p>
        </w:tc>
        <w:tc>
          <w:tcPr>
            <w:tcW w:type="dxa" w:w="678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08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Nền tảng</w:t>
            </w:r>
          </w:p>
        </w:tc>
        <w:tc>
          <w:tcPr>
            <w:tcW w:type="dxa" w:w="6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Chuẩn bị (hiểu tổ chức và người quyết định của họ)</w:t>
            </w:r>
          </w:p>
        </w:tc>
        <w:tc>
          <w:tcPr>
            <w:tcW w:type="dxa" w:w="1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6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w:t>
            </w:r>
          </w:p>
        </w:tc>
        <w:tc>
          <w:tcPr>
            <w:tcW w:type="dxa" w:w="1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6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trùng nhau</w:t>
            </w:r>
            <w:r>
              <w:rPr>
                <w:sz w:val="20"/>
                <w:szCs w:val="20"/>
              </w:rPr>
              <w:t xml:space="preserve"> (giá trị xung đột → 0 điểm)</w:t>
            </w:r>
          </w:p>
        </w:tc>
        <w:tc>
          <w:tcPr>
            <w:tcW w:type="dxa" w:w="1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liên quan</w:t>
            </w:r>
          </w:p>
        </w:tc>
        <w:tc>
          <w:tcPr>
            <w:tcW w:type="dxa" w:w="6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w:t>
            </w:r>
          </w:p>
        </w:tc>
        <w:tc>
          <w:tcPr>
            <w:tcW w:type="dxa" w:w="1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6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Mục tiêu</w:t>
            </w:r>
          </w:p>
        </w:tc>
        <w:tc>
          <w:tcPr>
            <w:tcW w:type="dxa" w:w="1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r>
      <w:tr>
        <w:trPr>
          <w:tblHeader w:val="off"/>
        </w:trPr>
        <w:tc>
          <w:tcPr>
            <w:tcW w:type="dxa" w:w="17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6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Cộng hưởng với các đối tác khác</w:t>
            </w:r>
          </w:p>
        </w:tc>
        <w:tc>
          <w:tcPr>
            <w:tcW w:type="dxa" w:w="1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bl>
    <w:p>
      <w:pPr>
        <w:spacing w:after="80" w:before="0"/>
      </w:pPr>
    </w:p>
    <w:p>
      <w:pPr>
        <w:spacing w:after="120"/>
      </w:pPr>
      <w:r>
        <w:t xml:space="preserve">Trên 50 điểm thì có khả năng hợp tác thành công. Giá trị của bảng nằm ở </w:t>
      </w:r>
      <w:r>
        <w:rPr>
          <w:b/>
          <w:bCs/>
        </w:rPr>
        <w:t xml:space="preserve">quá trình suy nghĩ</w:t>
      </w:r>
      <w:r>
        <w:t xml:space="preserve">, không chỉ con số cuối cùng. Key Account không cần </w:t>
      </w:r>
      <w:r>
        <w:rPr>
          <w:b/>
          <w:bCs/>
        </w:rPr>
        <w:t xml:space="preserve">nhiều tiền nhất</w:t>
      </w:r>
      <w:r>
        <w:t xml:space="preserve">; họ cần </w:t>
      </w:r>
      <w:r>
        <w:rPr>
          <w:b/>
          <w:bCs/>
        </w:rPr>
        <w:t xml:space="preserve">sự kiện tốt nhất cho khách của mình</w:t>
      </w:r>
      <w:r>
        <w:t xml:space="preserve">.</w:t>
      </w:r>
    </w:p>
    <w:p>
      <w:pPr>
        <w:pStyle w:val="Heading1"/>
      </w:pPr>
      <w:r>
        <w:t xml:space="preserve">5. Đề xuất tài trợ win-win</w:t>
      </w:r>
    </w:p>
    <w:p>
      <w:pPr>
        <w:spacing w:after="120"/>
      </w:pPr>
      <w:r>
        <w:t xml:space="preserve">Hồ sơ xin tài trợ mô tả sự kiện của mình; đề xuất win-win </w:t>
      </w:r>
      <w:r>
        <w:rPr>
          <w:b/>
          <w:bCs/>
        </w:rPr>
        <w:t xml:space="preserve">bắt đầu từ mục tiêu của nhà tài trợ</w:t>
      </w:r>
      <w:r>
        <w:t xml:space="preserve">. Bảy phần:</w:t>
      </w:r>
    </w:p>
    <w:p>
      <w:pPr>
        <w:pStyle w:val="ListParagraph"/>
        <w:numPr>
          <w:ilvl w:val="0"/>
          <w:numId w:val="5"/>
        </w:numPr>
        <w:spacing w:after="60"/>
      </w:pPr>
      <w:r>
        <w:t xml:space="preserve">mục tiêu của nhà tài trợ;</w:t>
      </w:r>
    </w:p>
    <w:p>
      <w:pPr>
        <w:pStyle w:val="ListParagraph"/>
        <w:numPr>
          <w:ilvl w:val="0"/>
          <w:numId w:val="5"/>
        </w:numPr>
        <w:spacing w:after="60"/>
      </w:pPr>
      <w:r>
        <w:t xml:space="preserve">khán giả: khách của Key Account là ai, vì sao có giá trị với nhà tài trợ;</w:t>
      </w:r>
    </w:p>
    <w:p>
      <w:pPr>
        <w:pStyle w:val="ListParagraph"/>
        <w:numPr>
          <w:ilvl w:val="0"/>
          <w:numId w:val="5"/>
        </w:numPr>
        <w:spacing w:after="60"/>
      </w:pPr>
      <w:r>
        <w:t xml:space="preserve">gói quyền lợi theo hạng, gắn với điểm chạm;</w:t>
      </w:r>
    </w:p>
    <w:p>
      <w:pPr>
        <w:pStyle w:val="ListParagraph"/>
        <w:numPr>
          <w:ilvl w:val="0"/>
          <w:numId w:val="5"/>
        </w:numPr>
        <w:spacing w:after="60"/>
      </w:pPr>
      <w:r>
        <w:t xml:space="preserve">kế hoạch kích hoạt (ngân sách riêng ngoài phí quyền);</w:t>
      </w:r>
    </w:p>
    <w:p>
      <w:pPr>
        <w:pStyle w:val="ListParagraph"/>
        <w:numPr>
          <w:ilvl w:val="0"/>
          <w:numId w:val="5"/>
        </w:numPr>
        <w:spacing w:after="60"/>
      </w:pPr>
      <w:r>
        <w:t xml:space="preserve">cam kết đo lường: ROO và ROI, ai cấp dữ liệu, báo cáo khi nào;</w:t>
      </w:r>
    </w:p>
    <w:p>
      <w:pPr>
        <w:pStyle w:val="ListParagraph"/>
        <w:numPr>
          <w:ilvl w:val="0"/>
          <w:numId w:val="5"/>
        </w:numPr>
        <w:spacing w:after="60"/>
      </w:pPr>
      <w:r>
        <w:t xml:space="preserve">điều khoản: quyền, nghĩa vụ, độc quyền ngành hàng, rủi ro, kỳ vọng đo lường ghi vào hợp đồng;</w:t>
      </w:r>
    </w:p>
    <w:p>
      <w:pPr>
        <w:pStyle w:val="ListParagraph"/>
        <w:numPr>
          <w:ilvl w:val="0"/>
          <w:numId w:val="5"/>
        </w:numPr>
        <w:spacing w:after="60"/>
      </w:pPr>
      <w:r>
        <w:t xml:space="preserve">giá.</w:t>
      </w:r>
    </w:p>
    <w:p>
      <w:pPr>
        <w:spacing w:after="120"/>
      </w:pPr>
      <w:r>
        <w:rPr>
          <w:b/>
          <w:bCs/>
        </w:rPr>
        <w:t xml:space="preserve">Gói chuẩn hay may đo?</w:t>
      </w:r>
      <w:r>
        <w:t xml:space="preserve"> Gói đồng – bạc – vàng dễ làm nhưng là tư duy bù chi phí. Đề xuất </w:t>
      </w:r>
      <w:r>
        <w:rPr>
          <w:b/>
          <w:bCs/>
        </w:rPr>
        <w:t xml:space="preserve">may đo</w:t>
      </w:r>
      <w:r>
        <w:t xml:space="preserve"> theo nhu cầu từng nhà tài trợ là tư duy tối đa giá trị. Giá tài trợ tăng theo những gì nhà tài trợ </w:t>
      </w:r>
      <w:r>
        <w:rPr>
          <w:b/>
          <w:bCs/>
        </w:rPr>
        <w:t xml:space="preserve">dùng được trước sự kiện</w:t>
      </w:r>
      <w:r>
        <w:t xml:space="preserve"> (hình ảnh, người nổi tiếng, quyền tiếp cận), còn logo tại chỗ chỉ là mặc định. Dữ liệu khách chỉ có khi khách đồng ý; agency không bán danh sách khách của Key Account.</w:t>
      </w:r>
    </w:p>
    <w:p>
      <w:pPr>
        <w:spacing w:after="120"/>
      </w:pPr>
      <w:r>
        <w:rPr>
          <w:b/>
          <w:bCs/>
        </w:rPr>
        <w:t xml:space="preserve">Win-win là ba vòng:</w:t>
      </w:r>
      <w:r>
        <w:t xml:space="preserve"> nhà tài trợ đạt mục tiêu; Key Account giữ hình ảnh và bù được ngân sách; khách thấy có ích. Thiếu khách, khách thấy mình bị mời đến để nghe bán hàng. Thiếu Key Account, rủi ro uy tín rơi vào Key Account. Thiếu nhà tài trợ, năm sau không tái ký.</w:t>
      </w:r>
    </w:p>
    <w:p>
      <w:pPr>
        <w:spacing w:after="120"/>
      </w:pPr>
      <w:r>
        <w:rPr>
          <w:b/>
          <w:bCs/>
        </w:rPr>
        <w:t xml:space="preserve">Leveraging và activation</w:t>
      </w:r>
      <w:r>
        <w:t xml:space="preserve"> (Cornwell, 2020):</w:t>
      </w:r>
    </w:p>
    <w:p>
      <w:pPr>
        <w:pStyle w:val="ListParagraph"/>
        <w:numPr>
          <w:ilvl w:val="0"/>
          <w:numId w:val="4"/>
        </w:numPr>
        <w:spacing w:after="60"/>
      </w:pPr>
      <w:r>
        <w:rPr>
          <w:b/>
          <w:bCs/>
        </w:rPr>
        <w:t xml:space="preserve">Leveraging:</w:t>
      </w:r>
      <w:r>
        <w:t xml:space="preserve"> mọi hoạt động truyền thông đi kèm để khai thác quan hệ tài trợ.</w:t>
      </w:r>
    </w:p>
    <w:p>
      <w:pPr>
        <w:pStyle w:val="ListParagraph"/>
        <w:numPr>
          <w:ilvl w:val="0"/>
          <w:numId w:val="4"/>
        </w:numPr>
        <w:spacing w:after="60"/>
      </w:pPr>
      <w:r>
        <w:rPr>
          <w:b/>
          <w:bCs/>
        </w:rPr>
        <w:t xml:space="preserve">Activation:</w:t>
      </w:r>
      <w:r>
        <w:t xml:space="preserve"> phần làm khán giả </w:t>
      </w:r>
      <w:r>
        <w:rPr>
          <w:b/>
          <w:bCs/>
        </w:rPr>
        <w:t xml:space="preserve">tham gia, tương tác</w:t>
      </w:r>
      <w:r>
        <w:t xml:space="preserve"> với nhà tài trợ. Biển hiệu, xướng tên chỉ được tiếp nhận thụ động, không phải activation.</w:t>
      </w:r>
    </w:p>
    <w:p>
      <w:pPr>
        <w:spacing w:after="120"/>
      </w:pPr>
      <w:r>
        <w:t xml:space="preserve">Phân biệt để </w:t>
      </w:r>
      <w:r>
        <w:rPr>
          <w:b/>
          <w:bCs/>
        </w:rPr>
        <w:t xml:space="preserve">đo riêng</w:t>
      </w:r>
      <w:r>
        <w:t xml:space="preserve">. Không có tỷ lệ chi kích hoạt lý tưởng; doanh nghiệp quyết theo chất lượng chiến lược (O’Reilly &amp; Lafrance Horning, 2013). Nhưng không kích hoạt thì quyền lợi bị bỏ phí. Đây là cơ hội cho agency: đề xuất luôn phần thiết kế kích hoạt.</w:t>
      </w:r>
    </w:p>
    <w:p>
      <w:pPr>
        <w:spacing w:after="120"/>
      </w:pPr>
      <w:r>
        <w:rPr>
          <w:b/>
          <w:bCs/>
        </w:rPr>
        <w:t xml:space="preserve">Phục vụ nhà tài trợ (servicing)</w:t>
      </w:r>
      <w:r>
        <w:t xml:space="preserve">, phần việc agency làm thay Key Account, gồm:</w:t>
      </w:r>
    </w:p>
    <w:p>
      <w:pPr>
        <w:pStyle w:val="ListParagraph"/>
        <w:numPr>
          <w:ilvl w:val="0"/>
          <w:numId w:val="4"/>
        </w:numPr>
        <w:spacing w:after="60"/>
      </w:pPr>
      <w:r>
        <w:t xml:space="preserve">báo cáo cuối chương trình;</w:t>
      </w:r>
    </w:p>
    <w:p>
      <w:pPr>
        <w:pStyle w:val="ListParagraph"/>
        <w:numPr>
          <w:ilvl w:val="0"/>
          <w:numId w:val="4"/>
        </w:numPr>
        <w:spacing w:after="60"/>
      </w:pPr>
      <w:r>
        <w:t xml:space="preserve">số liệu về mức khách còn nhớ nhà tài trợ;</w:t>
      </w:r>
    </w:p>
    <w:p>
      <w:pPr>
        <w:pStyle w:val="ListParagraph"/>
        <w:numPr>
          <w:ilvl w:val="0"/>
          <w:numId w:val="4"/>
        </w:numPr>
        <w:spacing w:after="60"/>
      </w:pPr>
      <w:r>
        <w:t xml:space="preserve">hồ sơ khán giả;</w:t>
      </w:r>
    </w:p>
    <w:p>
      <w:pPr>
        <w:pStyle w:val="ListParagraph"/>
        <w:numPr>
          <w:ilvl w:val="0"/>
          <w:numId w:val="4"/>
        </w:numPr>
        <w:spacing w:after="60"/>
      </w:pPr>
      <w:r>
        <w:t xml:space="preserve">cùng làm kích hoạt;</w:t>
      </w:r>
    </w:p>
    <w:p>
      <w:pPr>
        <w:pStyle w:val="ListParagraph"/>
        <w:numPr>
          <w:ilvl w:val="0"/>
          <w:numId w:val="4"/>
        </w:numPr>
        <w:spacing w:after="60"/>
      </w:pPr>
      <w:r>
        <w:t xml:space="preserve">bảo vệ quyền tài trợ, chống ambush (đối thủ chen vào hưởng lợi mà không trả tiền).</w:t>
      </w:r>
    </w:p>
    <w:p>
      <w:pPr>
        <w:pStyle w:val="Heading1"/>
      </w:pPr>
      <w:r>
        <w:t xml:space="preserve">6. Đo lường tài trợ: nhiều loại “lợi tức”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Chỉ số</w:t>
            </w:r>
          </w:p>
        </w:tc>
        <w:tc>
          <w:tcPr>
            <w:tcW w:type="dxa" w:w="672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Ý nghĩa</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Lợi tức tài chính</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ROO (return on objectives)</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Tiến tới mục tiêu phi tài chính: nhận biết, thái độ, độ phủ truyền thông</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ROP (return on purpose)</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xã hội</w:t>
            </w:r>
          </w:p>
        </w:tc>
      </w:tr>
      <w:tr>
        <w:trPr>
          <w:tblHeader w:val="off"/>
        </w:trPr>
        <w:tc>
          <w:tcPr>
            <w:tcW w:type="dxa" w:w="29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ROE (return on engagement)</w:t>
            </w:r>
          </w:p>
        </w:tc>
        <w:tc>
          <w:tcPr>
            <w:tcW w:type="dxa" w:w="6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Gắn kết cảm xúc giữa khách và thương hiệu</w:t>
            </w:r>
          </w:p>
        </w:tc>
      </w:tr>
    </w:tbl>
    <w:p>
      <w:pPr>
        <w:spacing w:after="80" w:before="0"/>
      </w:pPr>
    </w:p>
    <w:p>
      <w:pPr>
        <w:spacing w:after="120"/>
      </w:pPr>
      <w:r>
        <w:t xml:space="preserve">Theo ANA (2018), chỉ 37% doanh nghiệp ở Bắc Mỹ có quy trình chuẩn đo lợi tức tài trợ, chỉ 40% ghi kỳ vọng đo lường vào hợp đồng.</w:t>
      </w:r>
    </w:p>
    <w:p>
      <w:pPr>
        <w:spacing w:after="120"/>
      </w:pPr>
      <w:r>
        <w:rPr>
          <w:b/>
          <w:bCs/>
        </w:rPr>
        <w:t xml:space="preserve">Khung 6 cấp của Buổi 8 dùng được cho nhà tài trợ:</w:t>
      </w:r>
      <w:r>
        <w:t xml:space="preserve"> cấp 0, bao nhiêu khách thuộc phân khúc mục tiêu của nhà tài trợ có mặt; cấp 3, bao nhiêu doanh nghiệp đồng ý hẹn tư vấn sau sự kiện. Agency cam kết cấp 0–3; cấp 4–5 phải thống nhất với nhà tài trợ từ đầu.</w:t>
      </w:r>
    </w:p>
    <w:p>
      <w:pPr>
        <w:spacing w:after="120"/>
      </w:pPr>
      <w:r>
        <w:rPr>
          <w:i/>
          <w:iCs/>
        </w:rPr>
        <w:t xml:space="preserve">Ví dụ tính ROI (giả định).</w:t>
      </w:r>
      <w:r>
        <w:t xml:space="preserve"> Nhà tài trợ trả phí quyền 250 triệu, chi thêm 150 triệu kích hoạt: tổng 400 triệu. 60 doanh nghiệp hẹn tư vấn; 20% ký (12 hợp đồng), mỗi hợp đồng lãi gộp năm đầu 50 triệu, tổng 600 triệu. Giả định chỉ một nửa quy được cho sự kiện (tách tác động): 300 triệu.</w:t>
      </w:r>
    </w:p>
    <w:p>
      <w:pPr>
        <w:spacing w:after="120"/>
      </w:pPr>
      <w:r>
        <w:t xml:space="preserve">ROI = (300 − 400) / 400 = </w:t>
      </w:r>
      <w:r>
        <w:rPr>
          <w:b/>
          <w:bCs/>
        </w:rPr>
        <w:t xml:space="preserve">−25%</w:t>
      </w:r>
      <w:r>
        <w:t xml:space="preserve"> năm đầu.</w:t>
      </w:r>
    </w:p>
    <w:p>
      <w:pPr>
        <w:spacing w:after="120"/>
      </w:pPr>
      <w:r>
        <w:t xml:space="preserve">ROI âm không có nghĩa là tài trợ thất bại; mục tiêu chính có thể là ROO. Vì vậy phải </w:t>
      </w:r>
      <w:r>
        <w:rPr>
          <w:b/>
          <w:bCs/>
        </w:rPr>
        <w:t xml:space="preserve">thống nhất mục tiêu và cách đo ngay trong đề xuất</w:t>
      </w:r>
      <w:r>
        <w:t xml:space="preserve">.</w:t>
      </w:r>
    </w:p>
    <w:p>
      <w:pPr>
        <w:spacing w:after="120"/>
      </w:pPr>
      <w:r>
        <w:rPr>
          <w:b/>
          <w:bCs/>
        </w:rPr>
        <w:t xml:space="preserve">Năm khoảng cách làm quan hệ tài trợ rạn nứt</w:t>
      </w:r>
      <w:r>
        <w:t xml:space="preserve"> (Farrelly, theo Cornwell, 2020):</w:t>
      </w:r>
    </w:p>
    <w:p>
      <w:pPr>
        <w:pStyle w:val="ListParagraph"/>
        <w:numPr>
          <w:ilvl w:val="0"/>
          <w:numId w:val="6"/>
        </w:numPr>
        <w:spacing w:after="60"/>
      </w:pPr>
      <w:r>
        <w:t xml:space="preserve">lệch ý đồ (chiến lược với chiến thuật);</w:t>
      </w:r>
    </w:p>
    <w:p>
      <w:pPr>
        <w:pStyle w:val="ListParagraph"/>
        <w:numPr>
          <w:ilvl w:val="0"/>
          <w:numId w:val="6"/>
        </w:numPr>
        <w:spacing w:after="60"/>
      </w:pPr>
      <w:r>
        <w:t xml:space="preserve">không thích ứng khi nhà tài trợ đổi mục tiêu;</w:t>
      </w:r>
    </w:p>
    <w:p>
      <w:pPr>
        <w:pStyle w:val="ListParagraph"/>
        <w:numPr>
          <w:ilvl w:val="0"/>
          <w:numId w:val="6"/>
        </w:numPr>
        <w:spacing w:after="60"/>
      </w:pPr>
      <w:r>
        <w:t xml:space="preserve">thiếu bằng chứng để trình lãnh đạo;</w:t>
      </w:r>
    </w:p>
    <w:p>
      <w:pPr>
        <w:pStyle w:val="ListParagraph"/>
        <w:numPr>
          <w:ilvl w:val="0"/>
          <w:numId w:val="6"/>
        </w:numPr>
        <w:spacing w:after="60"/>
      </w:pPr>
      <w:r>
        <w:t xml:space="preserve">bất cân xứng cam kết;</w:t>
      </w:r>
    </w:p>
    <w:p>
      <w:pPr>
        <w:pStyle w:val="ListParagraph"/>
        <w:numPr>
          <w:ilvl w:val="0"/>
          <w:numId w:val="6"/>
        </w:numPr>
        <w:spacing w:after="60"/>
      </w:pPr>
      <w:r>
        <w:t xml:space="preserve">thiếu năng lực quản lý quan hệ.</w:t>
      </w:r>
    </w:p>
    <w:p>
      <w:pPr>
        <w:spacing w:after="120"/>
      </w:pPr>
      <w:r>
        <w:t xml:space="preserve">Agency có thể lấp các khoảng cách này ngay từ đầu.</w:t>
      </w:r>
    </w:p>
    <w:p>
      <w:pPr>
        <w:pStyle w:val="Heading1"/>
      </w:pPr>
      <w:r>
        <w:t xml:space="preserve">7. Gắn nhà tài trợ vào hành trình của khách</w:t>
      </w:r>
    </w:p>
    <w:p>
      <w:pPr>
        <w:spacing w:after="120"/>
      </w:pPr>
      <w:r>
        <w:rPr>
          <w:b/>
          <w:bCs/>
        </w:rPr>
        <w:t xml:space="preserve">Nguyên tắc:</w:t>
      </w:r>
      <w:r>
        <w:t xml:space="preserve"> nhà tài trợ phải </w:t>
      </w:r>
      <w:r>
        <w:rPr>
          <w:b/>
          <w:bCs/>
        </w:rPr>
        <w:t xml:space="preserve">làm giàu</w:t>
      </w:r>
      <w:r>
        <w:t xml:space="preserve"> hành trình của khách, không làm gián đoạn. Suốt nhiều thập kỷ, tài trợ được đo như quảng cáo; tiềm năng tạo gắn kết thật còn bị bỏ ngỏ (Cornwell, 2019).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3646"/>
        <w:gridCol w:w="5211"/>
      </w:tblGrid>
      <w:tr>
        <w:trPr>
          <w:tblHeader/>
        </w:trPr>
        <w:tc>
          <w:tcPr>
            <w:tcW w:type="dxa" w:w="78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364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w:t>
            </w:r>
          </w:p>
        </w:tc>
        <w:tc>
          <w:tcPr>
            <w:tcW w:type="dxa" w:w="521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(giả định)</w:t>
            </w:r>
          </w:p>
        </w:tc>
      </w:tr>
      <w:tr>
        <w:trPr>
          <w:tblHeader w:val="off"/>
        </w:trPr>
        <w:tc>
          <w:tcPr>
            <w:tcW w:type="dxa" w:w="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36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mời, đăng ký, di chuyển</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 chức thẻ tặng ưu đãi xe đưa đón cho chủ thẻ doanh nghiệp</w:t>
            </w:r>
          </w:p>
        </w:tc>
      </w:tr>
      <w:tr>
        <w:trPr>
          <w:tblHeader w:val="off"/>
        </w:trPr>
        <w:tc>
          <w:tcPr>
            <w:tcW w:type="dxa" w:w="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36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Phiên hội nghị, giải lao, networking, gala</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Phiên chuyên đề quản trị rủi ro do chuyên gia trình bày; góc tư vấn </w:t>
            </w:r>
            <w:r>
              <w:rPr>
                <w:sz w:val="20"/>
                <w:szCs w:val="20"/>
              </w:rPr>
              <w:t xml:space="preserve">theo lịch hẹn</w:t>
            </w:r>
            <w:r>
              <w:rPr>
                <w:sz w:val="20"/>
                <w:szCs w:val="20"/>
              </w:rPr>
              <w:t xml:space="preserve">, không chào mời tại bàn tiệc</w:t>
            </w:r>
          </w:p>
        </w:tc>
      </w:tr>
      <w:tr>
        <w:trPr>
          <w:tblHeader w:val="off"/>
        </w:trPr>
        <w:tc>
          <w:tcPr>
            <w:tcW w:type="dxa" w:w="7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36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cảm ơn, khảo sát</w:t>
            </w:r>
          </w:p>
        </w:tc>
        <w:tc>
          <w:tcPr>
            <w:tcW w:type="dxa" w:w="52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Gửi tài liệu chuyên đề; chỉ liên hệ khách đã đồng ý</w:t>
            </w:r>
          </w:p>
        </w:tc>
      </w:tr>
    </w:tbl>
    <w:p>
      <w:pPr>
        <w:spacing w:after="80" w:before="0"/>
      </w:pPr>
    </w:p>
    <w:p>
      <w:pPr>
        <w:spacing w:after="120"/>
      </w:pPr>
      <w:r>
        <w:rPr>
          <w:b/>
          <w:bCs/>
        </w:rPr>
        <w:t xml:space="preserve">Bảo vệ Key Account.</w:t>
      </w:r>
      <w:r>
        <w:t xml:space="preserve"> Khách hàng và cơ quan quản lý rất nhạy cảm với việc ngân hàng bán kèm bảo hiểm. Thông tư 67/2023/TT-BTC hạn chế ngân hàng chào bán bảo hiểm liên kết đầu tư quanh thời điểm giải ngân khoản vay. Nếu nhà tài trợ bảo hiểm chào bán tại sự kiện, rủi ro uy tín rơi vào ngân hàng trước tiên. Chia sẻ danh sách khách cần sự đồng ý của khách; bài đăng có nội dung tài trợ phải gắn nhãn.</w:t>
      </w:r>
    </w:p>
    <w:p>
      <w:pPr>
        <w:spacing w:after="120"/>
      </w:pPr>
      <w:r>
        <w:rPr>
          <w:b/>
          <w:bCs/>
        </w:rPr>
        <w:t xml:space="preserve">Năm câu hỏi cho mỗi điểm chạm của nhà tài trợ:</w:t>
      </w:r>
    </w:p>
    <w:p>
      <w:pPr>
        <w:pStyle w:val="ListParagraph"/>
        <w:numPr>
          <w:ilvl w:val="0"/>
          <w:numId w:val="7"/>
        </w:numPr>
        <w:spacing w:after="60"/>
      </w:pPr>
      <w:r>
        <w:t xml:space="preserve">Khách được lợi gì?</w:t>
      </w:r>
    </w:p>
    <w:p>
      <w:pPr>
        <w:pStyle w:val="ListParagraph"/>
        <w:numPr>
          <w:ilvl w:val="0"/>
          <w:numId w:val="7"/>
        </w:numPr>
        <w:spacing w:after="60"/>
      </w:pPr>
      <w:r>
        <w:t xml:space="preserve">Nhà tài trợ đạt mục tiêu nào (ROO hay ROI, cấp mấy)?</w:t>
      </w:r>
    </w:p>
    <w:p>
      <w:pPr>
        <w:pStyle w:val="ListParagraph"/>
        <w:numPr>
          <w:ilvl w:val="0"/>
          <w:numId w:val="7"/>
        </w:numPr>
        <w:spacing w:after="60"/>
      </w:pPr>
      <w:r>
        <w:t xml:space="preserve">Có làm phiền, gián đoạn trải nghiệm không?</w:t>
      </w:r>
    </w:p>
    <w:p>
      <w:pPr>
        <w:pStyle w:val="ListParagraph"/>
        <w:numPr>
          <w:ilvl w:val="0"/>
          <w:numId w:val="7"/>
        </w:numPr>
        <w:spacing w:after="60"/>
      </w:pPr>
      <w:r>
        <w:t xml:space="preserve">Có rủi ro pháp lý, uy tín cho Key Account không?</w:t>
      </w:r>
    </w:p>
    <w:p>
      <w:pPr>
        <w:pStyle w:val="ListParagraph"/>
        <w:numPr>
          <w:ilvl w:val="0"/>
          <w:numId w:val="7"/>
        </w:numPr>
        <w:spacing w:after="60"/>
      </w:pPr>
      <w:r>
        <w:t xml:space="preserve">Đo bằng chỉ số gì, ai cấp dữ liệu?</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6"/>
        <w:gridCol w:w="6832"/>
      </w:tblGrid>
      <w:tr>
        <w:trPr>
          <w:tblHeader/>
        </w:trPr>
        <w:tc>
          <w:tcPr>
            <w:tcW w:type="dxa" w:w="28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68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2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Sponsor / property</w:t>
            </w:r>
          </w:p>
        </w:tc>
        <w:tc>
          <w:tcPr>
            <w:tcW w:type="dxa" w:w="68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 bên được tài trợ</w:t>
            </w:r>
          </w:p>
        </w:tc>
      </w:tr>
      <w:tr>
        <w:trPr>
          <w:tblHeader w:val="off"/>
        </w:trPr>
        <w:tc>
          <w:tcPr>
            <w:tcW w:type="dxa" w:w="2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Leveraging / activation</w:t>
            </w:r>
          </w:p>
        </w:tc>
        <w:tc>
          <w:tcPr>
            <w:tcW w:type="dxa" w:w="68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Khai thác tài trợ / kích hoạt (làm khán giả tương tác)</w:t>
            </w:r>
          </w:p>
        </w:tc>
      </w:tr>
      <w:tr>
        <w:trPr>
          <w:tblHeader w:val="off"/>
        </w:trPr>
        <w:tc>
          <w:tcPr>
            <w:tcW w:type="dxa" w:w="2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Servicing</w:t>
            </w:r>
          </w:p>
        </w:tc>
        <w:tc>
          <w:tcPr>
            <w:tcW w:type="dxa" w:w="68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Phục vụ nhà tài trợ</w:t>
            </w:r>
          </w:p>
        </w:tc>
      </w:tr>
      <w:tr>
        <w:trPr>
          <w:tblHeader w:val="off"/>
        </w:trPr>
        <w:tc>
          <w:tcPr>
            <w:tcW w:type="dxa" w:w="2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Ambush marketing</w:t>
            </w:r>
          </w:p>
        </w:tc>
        <w:tc>
          <w:tcPr>
            <w:tcW w:type="dxa" w:w="68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Tiếp thị phục kích (hưởng lợi mà không trả tiền tài trợ)</w:t>
            </w:r>
          </w:p>
        </w:tc>
      </w:tr>
      <w:tr>
        <w:trPr>
          <w:tblHeader w:val="off"/>
        </w:trPr>
        <w:tc>
          <w:tcPr>
            <w:tcW w:type="dxa" w:w="28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ROO, ROP, ROE</w:t>
            </w:r>
          </w:p>
        </w:tc>
        <w:tc>
          <w:tcPr>
            <w:tcW w:type="dxa" w:w="68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 loại lợi tức của tài trợ</w:t>
            </w:r>
          </w:p>
        </w:tc>
      </w:tr>
    </w:tbl>
    <w:p>
      <w:pPr>
        <w:spacing w:after="80" w:before="0"/>
      </w:pPr>
    </w:p>
    <w:p>
      <w:pPr>
        <w:pStyle w:val="Heading1"/>
      </w:pPr>
      <w:r>
        <w:t xml:space="preserve">Lỗi thường gặp</w:t>
      </w:r>
    </w:p>
    <w:p>
      <w:pPr>
        <w:pStyle w:val="ListParagraph"/>
        <w:numPr>
          <w:ilvl w:val="0"/>
          <w:numId w:val="4"/>
        </w:numPr>
        <w:spacing w:after="60"/>
      </w:pPr>
      <w:r>
        <w:t xml:space="preserve">Viết đề xuất tài trợ bắt đầu từ sự kiện của mình thay vì mục tiêu của nhà tài trợ.</w:t>
      </w:r>
    </w:p>
    <w:p>
      <w:pPr>
        <w:pStyle w:val="ListParagraph"/>
        <w:numPr>
          <w:ilvl w:val="0"/>
          <w:numId w:val="4"/>
        </w:numPr>
        <w:spacing w:after="60"/>
      </w:pPr>
      <w:r>
        <w:t xml:space="preserve">Chọn nhà tài trợ trả nhiều tiền nhất, bỏ qua mức phù hợp với khách của Key Account.</w:t>
      </w:r>
    </w:p>
    <w:p>
      <w:pPr>
        <w:pStyle w:val="ListParagraph"/>
        <w:numPr>
          <w:ilvl w:val="0"/>
          <w:numId w:val="4"/>
        </w:numPr>
        <w:spacing w:after="60"/>
      </w:pPr>
      <w:r>
        <w:t xml:space="preserve">Chỉ có logo và phát biểu, không có kích hoạt.</w:t>
      </w:r>
    </w:p>
    <w:p>
      <w:pPr>
        <w:pStyle w:val="ListParagraph"/>
        <w:numPr>
          <w:ilvl w:val="0"/>
          <w:numId w:val="4"/>
        </w:numPr>
        <w:spacing w:after="60"/>
      </w:pPr>
      <w:r>
        <w:t xml:space="preserve">Không ghi cam kết đo lường vào hợp đồng.</w:t>
      </w:r>
    </w:p>
    <w:p>
      <w:pPr>
        <w:pStyle w:val="ListParagraph"/>
        <w:numPr>
          <w:ilvl w:val="0"/>
          <w:numId w:val="4"/>
        </w:numPr>
        <w:spacing w:after="60"/>
      </w:pPr>
      <w:r>
        <w:t xml:space="preserve">Để nhà tài trợ chào bán tại sự kiện, đẩy rủi ro uy tín sang Key Account.</w:t>
      </w:r>
    </w:p>
    <w:p>
      <w:pPr>
        <w:pStyle w:val="Heading1"/>
      </w:pPr>
      <w:r>
        <w:t xml:space="preserve">Liên hệ với kế hoạch cuối kỳ (SMP)</w:t>
      </w:r>
    </w:p>
    <w:p>
      <w:pPr>
        <w:spacing w:after="120"/>
      </w:pPr>
      <w:r>
        <w:t xml:space="preserve">Thuộc </w:t>
      </w:r>
      <w:r>
        <w:rPr>
          <w:b/>
          <w:bCs/>
        </w:rPr>
        <w:t xml:space="preserve">phần D (Value Delivery)</w:t>
      </w:r>
      <w:r>
        <w:t xml:space="preserve">, mảng bên liên quan bên ngoài (rubric tiêu chí 6). Với khách hàng dự án cũ: 1–2 nhà tài trợ phù hợp, quyền lợi gắn điểm chạm, giá trị cho khách của khách hàng, cách quản lý, rủi ro, chỉ số ROO và ROI.</w:t>
      </w:r>
    </w:p>
    <w:p>
      <w:pPr>
        <w:pStyle w:val="Heading1"/>
      </w:pPr>
      <w:r>
        <w:t xml:space="preserve">Câu hỏi tự ôn</w:t>
      </w:r>
    </w:p>
    <w:p>
      <w:pPr>
        <w:pStyle w:val="ListParagraph"/>
        <w:numPr>
          <w:ilvl w:val="0"/>
          <w:numId w:val="8"/>
        </w:numPr>
        <w:spacing w:after="60"/>
      </w:pPr>
      <w:r>
        <w:t xml:space="preserve">Phân biệt nhà tài trợ và nhà đầu tư theo điều họ nhận được và rủi ro họ chịu.</w:t>
      </w:r>
    </w:p>
    <w:p>
      <w:pPr>
        <w:pStyle w:val="ListParagraph"/>
        <w:numPr>
          <w:ilvl w:val="0"/>
          <w:numId w:val="8"/>
        </w:numPr>
        <w:spacing w:after="60"/>
      </w:pPr>
      <w:r>
        <w:t xml:space="preserve">Vì sao “giá trị trùng nhau” có trọng số lớn nhất trong thang 100 điểm của Cornwell?</w:t>
      </w:r>
    </w:p>
    <w:p>
      <w:pPr>
        <w:pStyle w:val="ListParagraph"/>
        <w:numPr>
          <w:ilvl w:val="0"/>
          <w:numId w:val="8"/>
        </w:numPr>
        <w:spacing w:after="60"/>
      </w:pPr>
      <w:r>
        <w:t xml:space="preserve">Phân biệt leveraging và activation. Cho một ví dụ activation tại một hội nghị khách hàng.</w:t>
      </w:r>
    </w:p>
    <w:p>
      <w:pPr>
        <w:pStyle w:val="ListParagraph"/>
        <w:numPr>
          <w:ilvl w:val="0"/>
          <w:numId w:val="8"/>
        </w:numPr>
        <w:spacing w:after="60"/>
      </w:pPr>
      <w:r>
        <w:t xml:space="preserve">ROI năm đầu của nhà tài trợ âm. Bạn giải thích với nhà tài trợ thế nào, và lẽ ra phải làm gì từ khi viết đề xuất?</w:t>
      </w:r>
    </w:p>
    <w:p>
      <w:pPr>
        <w:pStyle w:val="Heading1"/>
      </w:pPr>
      <w:r>
        <w:t xml:space="preserve">Tài liệu tham khảo</w:t>
      </w:r>
    </w:p>
    <w:p>
      <w:pPr>
        <w:pStyle w:val="ListParagraph"/>
        <w:numPr>
          <w:ilvl w:val="0"/>
          <w:numId w:val="4"/>
        </w:numPr>
        <w:spacing w:after="60"/>
      </w:pPr>
      <w:r>
        <w:t xml:space="preserve">Association of National Advertisers. (2018). </w:t>
      </w:r>
      <w:r>
        <w:rPr>
          <w:i/>
          <w:iCs/>
        </w:rPr>
        <w:t xml:space="preserve">Sponsorship measurement needs improvement: Study</w:t>
      </w:r>
      <w:r>
        <w:t xml:space="preserve"> [Press release].</w:t>
      </w:r>
    </w:p>
    <w:p>
      <w:pPr>
        <w:pStyle w:val="ListParagraph"/>
        <w:numPr>
          <w:ilvl w:val="0"/>
          <w:numId w:val="4"/>
        </w:numPr>
        <w:spacing w:after="60"/>
      </w:pPr>
      <w:r>
        <w:t xml:space="preserve">Cornwell, T. B. (2019). Less “sponsorship as advertising” and more sponsorship-linked marketing as authentic engagement. </w:t>
      </w:r>
      <w:r>
        <w:rPr>
          <w:i/>
          <w:iCs/>
        </w:rPr>
        <w:t xml:space="preserve">Journal of Advertising, 48</w:t>
      </w:r>
      <w:r>
        <w:t xml:space="preserve">(1), 49–60.</w:t>
      </w:r>
    </w:p>
    <w:p>
      <w:pPr>
        <w:pStyle w:val="ListParagraph"/>
        <w:numPr>
          <w:ilvl w:val="0"/>
          <w:numId w:val="4"/>
        </w:numPr>
        <w:spacing w:after="60"/>
      </w:pPr>
      <w:r>
        <w:t xml:space="preserve">Cornwell, T. B. (2020). </w:t>
      </w:r>
      <w:r>
        <w:rPr>
          <w:i/>
          <w:iCs/>
        </w:rPr>
        <w:t xml:space="preserve">Sponsorship in marketing: Effective partnerships in sports, arts and events</w:t>
      </w:r>
      <w:r>
        <w:t xml:space="preserve"> (2nd ed.). Routledge.</w:t>
      </w:r>
    </w:p>
    <w:p>
      <w:pPr>
        <w:pStyle w:val="ListParagraph"/>
        <w:numPr>
          <w:ilvl w:val="0"/>
          <w:numId w:val="4"/>
        </w:numPr>
        <w:spacing w:after="60"/>
      </w:pPr>
      <w:r>
        <w:t xml:space="preserve">Farrelly, F. J., &amp; Quester, P. G. (2005). Examining important relationship quality constructs of the focal sponsorship exchange. </w:t>
      </w:r>
      <w:r>
        <w:rPr>
          <w:i/>
          <w:iCs/>
        </w:rPr>
        <w:t xml:space="preserve">Industrial Marketing Management, 34</w:t>
      </w:r>
      <w:r>
        <w:t xml:space="preserve">(3), 211–219.</w:t>
      </w:r>
    </w:p>
    <w:p>
      <w:pPr>
        <w:pStyle w:val="ListParagraph"/>
        <w:numPr>
          <w:ilvl w:val="0"/>
          <w:numId w:val="4"/>
        </w:numPr>
        <w:spacing w:after="60"/>
      </w:pPr>
      <w:r>
        <w:t xml:space="preserve">Farrelly, F., &amp; Quester, P. (2005). Investigating large-scale sponsorship relationships as co-marketing alliances. </w:t>
      </w:r>
      <w:r>
        <w:rPr>
          <w:i/>
          <w:iCs/>
        </w:rPr>
        <w:t xml:space="preserve">Business Horizons, 48</w:t>
      </w:r>
      <w:r>
        <w:t xml:space="preserve">(1), 55–62.</w:t>
      </w:r>
    </w:p>
    <w:p>
      <w:pPr>
        <w:pStyle w:val="ListParagraph"/>
        <w:numPr>
          <w:ilvl w:val="0"/>
          <w:numId w:val="4"/>
        </w:numPr>
        <w:spacing w:after="60"/>
      </w:pPr>
      <w:r>
        <w:t xml:space="preserve">Meenaghan, J. A. (1983). Commercial sponsorship. </w:t>
      </w:r>
      <w:r>
        <w:rPr>
          <w:i/>
          <w:iCs/>
        </w:rPr>
        <w:t xml:space="preserve">European Journal of Marketing, 17</w:t>
      </w:r>
      <w:r>
        <w:t xml:space="preserve">(7), 5–73.</w:t>
      </w:r>
    </w:p>
    <w:p>
      <w:pPr>
        <w:pStyle w:val="ListParagraph"/>
        <w:numPr>
          <w:ilvl w:val="0"/>
          <w:numId w:val="4"/>
        </w:numPr>
        <w:spacing w:after="60"/>
      </w:pPr>
      <w:r>
        <w:t xml:space="preserve">O’Reilly, N., &amp; Lafrance Horning, D. (2013). Leveraging sponsorship: The activation ratio. </w:t>
      </w:r>
      <w:r>
        <w:rPr>
          <w:i/>
          <w:iCs/>
        </w:rPr>
        <w:t xml:space="preserve">Sport Management Review, 16</w:t>
      </w:r>
      <w:r>
        <w:t xml:space="preserve">(4), 424–437.</w:t>
      </w:r>
    </w:p>
    <w:p>
      <w:pPr>
        <w:pStyle w:val="ListParagraph"/>
        <w:numPr>
          <w:ilvl w:val="0"/>
          <w:numId w:val="4"/>
        </w:numPr>
        <w:spacing w:after="60"/>
      </w:pPr>
      <w:r>
        <w:t xml:space="preserve">Quốc hội. (2025). </w:t>
      </w:r>
      <w:r>
        <w:rPr>
          <w:i/>
          <w:iCs/>
        </w:rPr>
        <w:t xml:space="preserve">Luật số 75/2025/QH15 sửa đổi, bổ sung một số điều của Luật Quảng cáo</w:t>
      </w:r>
      <w:r>
        <w:t xml:space="preserve">.</w:t>
      </w:r>
    </w:p>
    <w:p>
      <w:pPr>
        <w:pStyle w:val="ListParagraph"/>
        <w:numPr>
          <w:ilvl w:val="0"/>
          <w:numId w:val="4"/>
        </w:numPr>
        <w:spacing w:after="60"/>
      </w:pPr>
      <w:r>
        <w:t xml:space="preserve">Znews. (2025, January 20). </w:t>
      </w:r>
      <w:r>
        <w:rPr>
          <w:i/>
          <w:iCs/>
        </w:rPr>
        <w:t xml:space="preserve">Techcombank lại rót tiền cho concert mới của các anh trai</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9: Kết nối nguồn lực: nhà đầu tư và nhà tài trợ</dc:title>
  <dc:creator>EVM1110E</dc:creator>
  <cp:lastModifiedBy>Un-named</cp:lastModifiedBy>
  <cp:revision>1</cp:revision>
  <dcterms:created xsi:type="dcterms:W3CDTF">2026-10-05T01:39:18.559Z</dcterms:created>
  <dcterms:modified xsi:type="dcterms:W3CDTF">2026-10-05T01:39:18.560Z</dcterms:modified>
</cp:coreProperties>
</file>

<file path=docProps/custom.xml><?xml version="1.0" encoding="utf-8"?>
<Properties xmlns="http://schemas.openxmlformats.org/officeDocument/2006/custom-properties" xmlns:vt="http://schemas.openxmlformats.org/officeDocument/2006/docPropsVTypes"/>
</file>