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10: Xây dựng giải pháp: quản lý nhà cung cấp và địa điểm</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“Ngân hàng An Phát” và mọi con số trong ví dụ là tình huống giả định của môn học, trừ khi ghi rõ nguồn.</w:t>
      </w:r>
    </w:p>
    <w:p>
      <w:pPr>
        <w:pStyle w:val="Heading1"/>
      </w:pPr>
      <w:r>
        <w:t xml:space="preserve">Sau buổi này, bạn cần nắm được</w:t>
      </w:r>
    </w:p>
    <w:p>
      <w:pPr>
        <w:pStyle w:val="ListParagraph"/>
        <w:numPr>
          <w:ilvl w:val="0"/>
          <w:numId w:val="2"/>
        </w:numPr>
        <w:spacing w:after="60"/>
      </w:pPr>
      <w:r>
        <w:t xml:space="preserve">Sự khác nhau giữa RFI, RFP, RFQ và cách chọn phương thức mua cho từng hạng mục.</w:t>
      </w:r>
    </w:p>
    <w:p>
      <w:pPr>
        <w:pStyle w:val="ListParagraph"/>
        <w:numPr>
          <w:ilvl w:val="0"/>
          <w:numId w:val="2"/>
        </w:numPr>
        <w:spacing w:after="60"/>
      </w:pPr>
      <w:r>
        <w:t xml:space="preserve">Cách xây bảng chấm điểm có trọng số và giải thích lựa chọn với Key Account.</w:t>
      </w:r>
    </w:p>
    <w:p>
      <w:pPr>
        <w:pStyle w:val="ListParagraph"/>
        <w:numPr>
          <w:ilvl w:val="0"/>
          <w:numId w:val="2"/>
        </w:numPr>
        <w:spacing w:after="60"/>
      </w:pPr>
      <w:r>
        <w:t xml:space="preserve">Cách lập checklist site check và ước lượng diện tích cho một kiểu bố trí.</w:t>
      </w:r>
    </w:p>
    <w:p>
      <w:pPr>
        <w:pStyle w:val="ListParagraph"/>
        <w:numPr>
          <w:ilvl w:val="0"/>
          <w:numId w:val="2"/>
        </w:numPr>
        <w:spacing w:after="60"/>
      </w:pPr>
      <w:r>
        <w:t xml:space="preserve">Cách phân bổ nhà cung cấp vào giai đoạn mua và sau mua của Key Account.</w:t>
      </w:r>
    </w:p>
    <w:p>
      <w:pPr>
        <w:pStyle w:val="Heading1"/>
      </w:pPr>
      <w:r>
        <w:t xml:space="preserve">1. Vì sao agency thuê ngoài, và vì sao vẫn phải quản lý quan hệ?</w:t>
      </w:r>
    </w:p>
    <w:p>
      <w:pPr>
        <w:spacing w:after="120"/>
      </w:pPr>
      <w:r>
        <w:t xml:space="preserve">Dowson, Albert &amp; Lomax (2023) nêu năm lý do thuê ngoài: </w:t>
      </w:r>
      <w:r>
        <w:rPr>
          <w:b/>
          <w:bCs/>
        </w:rPr>
        <w:t xml:space="preserve">chi phí</w:t>
      </w:r>
      <w:r>
        <w:t xml:space="preserve"> (thuê theo sự kiện rẻ hơn tự sở hữu), </w:t>
      </w:r>
      <w:r>
        <w:rPr>
          <w:b/>
          <w:bCs/>
        </w:rPr>
        <w:t xml:space="preserve">thời gian</w:t>
      </w:r>
      <w:r>
        <w:t xml:space="preserve"> (cao điểm cần nhiều người), </w:t>
      </w:r>
      <w:r>
        <w:rPr>
          <w:b/>
          <w:bCs/>
        </w:rPr>
        <w:t xml:space="preserve">chuyên môn và thiết bị</w:t>
      </w:r>
      <w:r>
        <w:t xml:space="preserve"> không dùng quanh năm, </w:t>
      </w:r>
      <w:r>
        <w:rPr>
          <w:b/>
          <w:bCs/>
        </w:rPr>
        <w:t xml:space="preserve">rủi ro</w:t>
      </w:r>
      <w:r>
        <w:t xml:space="preserve"> (mỗi nhà cung cấp tự đánh giá rủi ro trong mảng của mình), và </w:t>
      </w:r>
      <w:r>
        <w:rPr>
          <w:b/>
          <w:bCs/>
        </w:rPr>
        <w:t xml:space="preserve">chất lượng</w:t>
      </w:r>
      <w:r>
        <w:t xml:space="preserve">. Nhưng thuê ngoài không làm chi phí biến mất, vì phải tốn thời gian </w:t>
      </w:r>
      <w:r>
        <w:rPr>
          <w:b/>
          <w:bCs/>
        </w:rPr>
        <w:t xml:space="preserve">quản lý quan hệ</w:t>
      </w:r>
      <w:r>
        <w:t xml:space="preserve"> với bên được thuê.</w:t>
      </w:r>
    </w:p>
    <w:p>
      <w:pPr>
        <w:spacing w:after="120"/>
      </w:pPr>
      <w:r>
        <w:rPr>
          <w:b/>
          <w:bCs/>
        </w:rPr>
        <w:t xml:space="preserve">Buổi 7 là chiến lược, Buổi 10 là tác nghiệp.</w:t>
      </w:r>
      <w:r>
        <w:t xml:space="preserve"> Buổi 7 hỏi hạng mục quan trọng và rủi ro đến đâu (Kraljic). Buổi 10 hỏi mời ai, hỏi gì, chấm thế nào, kiểm tra tại chỗ ra sao. Ô Kraljic quyết định cách mua: hạng mục đơn giản thì hỏi giá nhanh; hạng mục chiến lược (ví dụ ballroom tháng 12) cần RFP, site check và đàm phán quan hệ.</w:t>
      </w:r>
    </w:p>
    <w:p>
      <w:pPr>
        <w:pStyle w:val="Heading1"/>
      </w:pPr>
      <w:r>
        <w:t xml:space="preserve">2. Mua thế nào: RFI, RFP, RFQ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4"/>
        <w:gridCol w:w="2861"/>
        <w:gridCol w:w="1505"/>
        <w:gridCol w:w="2788"/>
      </w:tblGrid>
      <w:tr>
        <w:trPr>
          <w:tblHeader/>
        </w:trPr>
        <w:tc>
          <w:tcPr>
            <w:tcW w:type="dxa" w:w="24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28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Hỏi gì</w:t>
            </w:r>
          </w:p>
        </w:tc>
        <w:tc>
          <w:tcPr>
            <w:tcW w:type="dxa" w:w="1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Dùng khi</w:t>
            </w:r>
          </w:p>
        </w:tc>
        <w:tc>
          <w:tcPr>
            <w:tcW w:type="dxa" w:w="278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w:t>
            </w:r>
          </w:p>
        </w:tc>
      </w:tr>
      <w:tr>
        <w:trPr>
          <w:tblHeader w:val="off"/>
        </w:trPr>
        <w:tc>
          <w:tcPr>
            <w:tcW w:type="dxa" w:w="24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RFI</w:t>
            </w:r>
            <w:r>
              <w:rPr>
                <w:sz w:val="20"/>
                <w:szCs w:val="20"/>
              </w:rPr>
              <w:t xml:space="preserve"> (request for information)</w:t>
            </w:r>
          </w:p>
        </w:tc>
        <w:tc>
          <w:tcPr>
            <w:tcW w:type="dxa" w:w="28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là ai, làm được gì</w:t>
            </w:r>
          </w:p>
        </w:tc>
        <w:tc>
          <w:tcPr>
            <w:tcW w:type="dxa" w:w="1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biết thị trường</w:t>
            </w:r>
          </w:p>
        </w:tc>
        <w:tc>
          <w:tcPr>
            <w:tcW w:type="dxa" w:w="27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Tìm đơn vị livestream về 80 chi nhánh</w:t>
            </w:r>
          </w:p>
        </w:tc>
      </w:tr>
      <w:tr>
        <w:trPr>
          <w:tblHeader w:val="off"/>
        </w:trPr>
        <w:tc>
          <w:tcPr>
            <w:tcW w:type="dxa" w:w="24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RFP</w:t>
            </w:r>
            <w:r>
              <w:rPr>
                <w:sz w:val="20"/>
                <w:szCs w:val="20"/>
              </w:rPr>
              <w:t xml:space="preserve"> (request for proposal)</w:t>
            </w:r>
          </w:p>
        </w:tc>
        <w:tc>
          <w:tcPr>
            <w:tcW w:type="dxa" w:w="28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pháp kèm giá, chấm nhiều tiêu chí</w:t>
            </w:r>
          </w:p>
        </w:tc>
        <w:tc>
          <w:tcPr>
            <w:tcW w:type="dxa" w:w="1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Hạng mục phức tạp</w:t>
            </w:r>
          </w:p>
        </w:tc>
        <w:tc>
          <w:tcPr>
            <w:tcW w:type="dxa" w:w="27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Ballroom kèm F&amp;B, AV, livestream</w:t>
            </w:r>
          </w:p>
        </w:tc>
      </w:tr>
      <w:tr>
        <w:trPr>
          <w:tblHeader w:val="off"/>
        </w:trPr>
        <w:tc>
          <w:tcPr>
            <w:tcW w:type="dxa" w:w="24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RFQ</w:t>
            </w:r>
            <w:r>
              <w:rPr>
                <w:sz w:val="20"/>
                <w:szCs w:val="20"/>
              </w:rPr>
              <w:t xml:space="preserve"> (request for quotation)</w:t>
            </w:r>
          </w:p>
        </w:tc>
        <w:tc>
          <w:tcPr>
            <w:tcW w:type="dxa" w:w="28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cho thông số đã rõ</w:t>
            </w:r>
          </w:p>
        </w:tc>
        <w:tc>
          <w:tcPr>
            <w:tcW w:type="dxa" w:w="1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Hạng mục chuẩn</w:t>
            </w:r>
          </w:p>
        </w:tc>
        <w:tc>
          <w:tcPr>
            <w:tcW w:type="dxa" w:w="27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In backdrop, thuê xe 45 chỗ</w:t>
            </w:r>
          </w:p>
        </w:tc>
      </w:tr>
    </w:tbl>
    <w:p>
      <w:pPr>
        <w:spacing w:after="80" w:before="0"/>
      </w:pPr>
    </w:p>
    <w:p>
      <w:pPr>
        <w:spacing w:after="120"/>
      </w:pPr>
      <w:r>
        <w:rPr>
          <w:b/>
          <w:bCs/>
        </w:rPr>
        <w:t xml:space="preserve">Ba cách mua</w:t>
      </w:r>
      <w:r>
        <w:t xml:space="preserve"> (Dowson et al., 2023):</w:t>
      </w:r>
    </w:p>
    <w:p>
      <w:pPr>
        <w:pStyle w:val="ListParagraph"/>
        <w:numPr>
          <w:ilvl w:val="0"/>
          <w:numId w:val="3"/>
        </w:numPr>
        <w:spacing w:after="60"/>
      </w:pPr>
      <w:r>
        <w:rPr>
          <w:b/>
          <w:bCs/>
        </w:rPr>
        <w:t xml:space="preserve">ba báo giá:</w:t>
      </w:r>
      <w:r>
        <w:t xml:space="preserve"> ít nhất ba bên, cho thông số rõ;</w:t>
      </w:r>
    </w:p>
    <w:p>
      <w:pPr>
        <w:pStyle w:val="ListParagraph"/>
        <w:numPr>
          <w:ilvl w:val="0"/>
          <w:numId w:val="3"/>
        </w:numPr>
        <w:spacing w:after="60"/>
      </w:pPr>
      <w:r>
        <w:rPr>
          <w:b/>
          <w:bCs/>
        </w:rPr>
        <w:t xml:space="preserve">đấu thầu:</w:t>
      </w:r>
      <w:r>
        <w:t xml:space="preserve"> hồ sơ mời thầu, tiêu chí công khai, chấm điểm;</w:t>
      </w:r>
    </w:p>
    <w:p>
      <w:pPr>
        <w:pStyle w:val="ListParagraph"/>
        <w:numPr>
          <w:ilvl w:val="0"/>
          <w:numId w:val="3"/>
        </w:numPr>
        <w:spacing w:after="60"/>
      </w:pPr>
      <w:r>
        <w:rPr>
          <w:b/>
          <w:bCs/>
        </w:rPr>
        <w:t xml:space="preserve">nhà cung cấp ưu tiên:</w:t>
      </w:r>
      <w:r>
        <w:t xml:space="preserve"> bên đã qua đánh giá và được giữ quan hệ dài hạn. “Ưu tiên” phải có lý do ghi lại được.</w:t>
      </w:r>
    </w:p>
    <w:p>
      <w:pPr>
        <w:spacing w:after="120"/>
      </w:pPr>
      <w:r>
        <w:t xml:space="preserve">Ngoài ra còn trường hợp </w:t>
      </w:r>
      <w:r>
        <w:rPr>
          <w:b/>
          <w:bCs/>
        </w:rPr>
        <w:t xml:space="preserve">một nguồn</w:t>
      </w:r>
      <w:r>
        <w:t xml:space="preserve">, khi chỉ một bên đủ năng lực.</w:t>
      </w:r>
    </w:p>
    <w:p>
      <w:pPr>
        <w:spacing w:after="120"/>
      </w:pPr>
      <w:r>
        <w:rPr>
          <w:b/>
          <w:bCs/>
        </w:rPr>
        <w:t xml:space="preserve">Agency mất quyền chọn AV ngay lúc ký với khách sạn</w:t>
      </w:r>
      <w:r>
        <w:t xml:space="preserve"> nếu khách sạn có AV độc quyền. Địa điểm có nhà cung cấp ưu tiên hoặc độc quyền có thể giới hạn lựa chọn hoặc làm tăng chi phí, nên phải phân tích ngay khi đánh giá hồ sơ (Silvers, 2008). Câu hỏi về nhà cung cấp độc quyền phải nằm trong RFP gửi khách sạn.</w:t>
      </w:r>
    </w:p>
    <w:p>
      <w:pPr>
        <w:spacing w:after="120"/>
      </w:pPr>
      <w:r>
        <w:rPr>
          <w:b/>
          <w:bCs/>
        </w:rPr>
        <w:t xml:space="preserve">RFP tốt mang Key Account và khách của Key Account vào.</w:t>
      </w:r>
      <w:r>
        <w:t xml:space="preserve"> Mẫu RFP APEX (Events Industry Council) có mục tiêu sự kiện, hồ sơ người tham dự, lịch sử sự kiện. Khung tám phần cho RFP gửi khách sạn:</w:t>
      </w:r>
    </w:p>
    <w:p>
      <w:pPr>
        <w:pStyle w:val="ListParagraph"/>
        <w:numPr>
          <w:ilvl w:val="0"/>
          <w:numId w:val="4"/>
        </w:numPr>
        <w:spacing w:after="60"/>
      </w:pPr>
      <w:r>
        <w:t xml:space="preserve">về Key Account và mục tiêu sự kiện;</w:t>
      </w:r>
    </w:p>
    <w:p>
      <w:pPr>
        <w:pStyle w:val="ListParagraph"/>
        <w:numPr>
          <w:ilvl w:val="0"/>
          <w:numId w:val="4"/>
        </w:numPr>
        <w:spacing w:after="60"/>
      </w:pPr>
      <w:r>
        <w:t xml:space="preserve">hồ sơ khách;</w:t>
      </w:r>
    </w:p>
    <w:p>
      <w:pPr>
        <w:pStyle w:val="ListParagraph"/>
        <w:numPr>
          <w:ilvl w:val="0"/>
          <w:numId w:val="4"/>
        </w:numPr>
        <w:spacing w:after="60"/>
      </w:pPr>
      <w:r>
        <w:t xml:space="preserve">ngày giờ, giờ dựng – tháo;</w:t>
      </w:r>
    </w:p>
    <w:p>
      <w:pPr>
        <w:pStyle w:val="ListParagraph"/>
        <w:numPr>
          <w:ilvl w:val="0"/>
          <w:numId w:val="4"/>
        </w:numPr>
        <w:spacing w:after="60"/>
      </w:pPr>
      <w:r>
        <w:t xml:space="preserve">bố trí, sơ đồ mặt bằng;</w:t>
      </w:r>
    </w:p>
    <w:p>
      <w:pPr>
        <w:pStyle w:val="ListParagraph"/>
        <w:numPr>
          <w:ilvl w:val="0"/>
          <w:numId w:val="4"/>
        </w:numPr>
        <w:spacing w:after="60"/>
      </w:pPr>
      <w:r>
        <w:t xml:space="preserve">F&amp;B;</w:t>
      </w:r>
    </w:p>
    <w:p>
      <w:pPr>
        <w:pStyle w:val="ListParagraph"/>
        <w:numPr>
          <w:ilvl w:val="0"/>
          <w:numId w:val="4"/>
        </w:numPr>
        <w:spacing w:after="60"/>
      </w:pPr>
      <w:r>
        <w:t xml:space="preserve">chính sách nhà cung cấp độc quyền;</w:t>
      </w:r>
    </w:p>
    <w:p>
      <w:pPr>
        <w:pStyle w:val="ListParagraph"/>
        <w:numPr>
          <w:ilvl w:val="0"/>
          <w:numId w:val="4"/>
        </w:numPr>
        <w:spacing w:after="60"/>
      </w:pPr>
      <w:r>
        <w:t xml:space="preserve">điều khoản cọc, hủy, thay đổi số khách;</w:t>
      </w:r>
    </w:p>
    <w:p>
      <w:pPr>
        <w:pStyle w:val="ListParagraph"/>
        <w:numPr>
          <w:ilvl w:val="0"/>
          <w:numId w:val="4"/>
        </w:numPr>
        <w:spacing w:after="60"/>
      </w:pPr>
      <w:r>
        <w:t xml:space="preserve">tiêu chí chấm, hạn trả lời.</w:t>
      </w:r>
    </w:p>
    <w:p>
      <w:pPr>
        <w:spacing w:after="120"/>
      </w:pPr>
      <w:r>
        <w:t xml:space="preserve">Bảo mật thông tin khách.</w:t>
      </w:r>
    </w:p>
    <w:p>
      <w:pPr>
        <w:spacing w:after="120"/>
      </w:pPr>
      <w:r>
        <w:rPr>
          <w:b/>
          <w:bCs/>
        </w:rPr>
        <w:t xml:space="preserve">Đặc tả ba lớp</w:t>
      </w:r>
      <w:r>
        <w:t xml:space="preserve"> (Dowson et al., 2023):</w:t>
      </w:r>
    </w:p>
    <w:p>
      <w:pPr>
        <w:pStyle w:val="ListParagraph"/>
        <w:numPr>
          <w:ilvl w:val="0"/>
          <w:numId w:val="3"/>
        </w:numPr>
        <w:spacing w:after="60"/>
      </w:pPr>
      <w:r>
        <w:rPr>
          <w:b/>
          <w:bCs/>
        </w:rPr>
        <w:t xml:space="preserve">theo chức năng:</w:t>
      </w:r>
      <w:r>
        <w:t xml:space="preserve"> dịch vụ để làm gì;</w:t>
      </w:r>
    </w:p>
    <w:p>
      <w:pPr>
        <w:pStyle w:val="ListParagraph"/>
        <w:numPr>
          <w:ilvl w:val="0"/>
          <w:numId w:val="3"/>
        </w:numPr>
        <w:spacing w:after="60"/>
      </w:pPr>
      <w:r>
        <w:rPr>
          <w:b/>
          <w:bCs/>
        </w:rPr>
        <w:t xml:space="preserve">kỹ thuật:</w:t>
      </w:r>
      <w:r>
        <w:t xml:space="preserve"> nhân sự, thiết bị, số lượng;</w:t>
      </w:r>
    </w:p>
    <w:p>
      <w:pPr>
        <w:pStyle w:val="ListParagraph"/>
        <w:numPr>
          <w:ilvl w:val="0"/>
          <w:numId w:val="3"/>
        </w:numPr>
        <w:spacing w:after="60"/>
      </w:pPr>
      <w:r>
        <w:rPr>
          <w:b/>
          <w:bCs/>
        </w:rPr>
        <w:t xml:space="preserve">theo kết quả:</w:t>
      </w:r>
      <w:r>
        <w:t xml:space="preserve"> chuẩn và KPI kiểm chứng được, ví dụ “đứt tín hiệu không quá 30 giây, có biên bản thử trước một ngày”.</w:t>
      </w:r>
    </w:p>
    <w:p>
      <w:pPr>
        <w:spacing w:after="120"/>
      </w:pPr>
      <w:r>
        <w:t xml:space="preserve">Đặc tả càng rõ, báo giá càng sát và hồ sơ các bên mới so được với nhau.</w:t>
      </w:r>
    </w:p>
    <w:p>
      <w:pPr>
        <w:pStyle w:val="Heading1"/>
      </w:pPr>
      <w:r>
        <w:t xml:space="preserve">3. Chấm điểm có trọng số</w:t>
      </w:r>
    </w:p>
    <w:p>
      <w:pPr>
        <w:spacing w:after="120"/>
      </w:pPr>
      <w:r>
        <w:t xml:space="preserve">Bảng chấm điểm có trọng số biến lựa chọn thành </w:t>
      </w:r>
      <w:r>
        <w:rPr>
          <w:b/>
          <w:bCs/>
        </w:rPr>
        <w:t xml:space="preserve">lời giải thích</w:t>
      </w:r>
      <w:r>
        <w:t xml:space="preserve">. Trọng số làm giảm ảnh hưởng của sở thích cá nhân (Silvers, 2008).</w:t>
      </w:r>
    </w:p>
    <w:p>
      <w:pPr>
        <w:spacing w:after="120"/>
      </w:pPr>
      <w:r>
        <w:rPr>
          <w:i/>
          <w:iCs/>
        </w:rPr>
        <w:t xml:space="preserve">Ví dụ (giả định): chọn khách sạn cho gala 600 khách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1"/>
        <w:gridCol w:w="1307"/>
      </w:tblGrid>
      <w:tr>
        <w:trPr>
          <w:tblHeader/>
        </w:trPr>
        <w:tc>
          <w:tcPr>
            <w:tcW w:type="dxa" w:w="833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chí</w:t>
            </w:r>
          </w:p>
        </w:tc>
        <w:tc>
          <w:tcPr>
            <w:tcW w:type="dxa" w:w="130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Trọng số</w:t>
            </w:r>
          </w:p>
        </w:tc>
      </w:tr>
      <w:tr>
        <w:trPr>
          <w:tblHeader w:val="off"/>
        </w:trPr>
        <w:tc>
          <w:tcPr>
            <w:tcW w:type="dxa" w:w="83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gian phù hợp khách của Key Account</w:t>
            </w:r>
          </w:p>
        </w:tc>
        <w:tc>
          <w:tcPr>
            <w:tcW w:type="dxa" w:w="13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r>
      <w:tr>
        <w:trPr>
          <w:tblHeader w:val="off"/>
        </w:trPr>
        <w:tc>
          <w:tcPr>
            <w:tcW w:type="dxa" w:w="83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Kỹ thuật, AV, livestream</w:t>
            </w:r>
          </w:p>
        </w:tc>
        <w:tc>
          <w:tcPr>
            <w:tcW w:type="dxa" w:w="13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r>
      <w:tr>
        <w:trPr>
          <w:tblHeader w:val="off"/>
        </w:trPr>
        <w:tc>
          <w:tcPr>
            <w:tcW w:type="dxa" w:w="83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Lịch và điều khoản</w:t>
            </w:r>
          </w:p>
        </w:tc>
        <w:tc>
          <w:tcPr>
            <w:tcW w:type="dxa" w:w="13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r>
      <w:tr>
        <w:trPr>
          <w:tblHeader w:val="off"/>
        </w:trPr>
        <w:tc>
          <w:tcPr>
            <w:tcW w:type="dxa" w:w="83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Dịch vụ, F&amp;B</w:t>
            </w:r>
          </w:p>
        </w:tc>
        <w:tc>
          <w:tcPr>
            <w:tcW w:type="dxa" w:w="13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r>
      <w:tr>
        <w:trPr>
          <w:tblHeader w:val="off"/>
        </w:trPr>
        <w:tc>
          <w:tcPr>
            <w:tcW w:type="dxa" w:w="83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chi phí (cả AV và phụ thu, không chỉ giá thuê)</w:t>
            </w:r>
          </w:p>
        </w:tc>
        <w:tc>
          <w:tcPr>
            <w:tcW w:type="dxa" w:w="13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40</w:t>
            </w:r>
          </w:p>
        </w:tc>
      </w:tr>
    </w:tbl>
    <w:p>
      <w:pPr>
        <w:spacing w:after="80" w:before="0"/>
      </w:pPr>
    </w:p>
    <w:p>
      <w:pPr>
        <w:spacing w:after="120"/>
      </w:pPr>
      <w:r>
        <w:t xml:space="preserve">Trước khi chấm, kiểm tra </w:t>
      </w:r>
      <w:r>
        <w:rPr>
          <w:b/>
          <w:bCs/>
        </w:rPr>
        <w:t xml:space="preserve">điều kiện bắt buộc</w:t>
      </w:r>
      <w:r>
        <w:t xml:space="preserve"> (còn trống ngày không, đủ diện tích dùng được không). Trượt điều kiện bắt buộc thì điểm cao cũng không cứu được. Điểm = Σ (điểm 1–5 × trọng số) / 5.</w:t>
      </w:r>
    </w:p>
    <w:p>
      <w:pPr>
        <w:spacing w:after="120"/>
      </w:pPr>
      <w:r>
        <w:rPr>
          <w:b/>
          <w:bCs/>
        </w:rPr>
        <w:t xml:space="preserve">Bốn nguyên tắc</w:t>
      </w:r>
      <w:r>
        <w:t xml:space="preserve"> (CIPS):</w:t>
      </w:r>
    </w:p>
    <w:p>
      <w:pPr>
        <w:pStyle w:val="ListParagraph"/>
        <w:numPr>
          <w:ilvl w:val="0"/>
          <w:numId w:val="5"/>
        </w:numPr>
        <w:spacing w:after="60"/>
      </w:pPr>
      <w:r>
        <w:rPr>
          <w:b/>
          <w:bCs/>
        </w:rPr>
        <w:t xml:space="preserve">Value for money</w:t>
      </w:r>
      <w:r>
        <w:t xml:space="preserve">, không phải giá thấp nhất.</w:t>
      </w:r>
    </w:p>
    <w:p>
      <w:pPr>
        <w:pStyle w:val="ListParagraph"/>
        <w:numPr>
          <w:ilvl w:val="0"/>
          <w:numId w:val="5"/>
        </w:numPr>
        <w:spacing w:after="60"/>
      </w:pPr>
      <w:r>
        <w:rPr>
          <w:b/>
          <w:bCs/>
        </w:rPr>
        <w:t xml:space="preserve">Đối xử công bằng:</w:t>
      </w:r>
      <w:r>
        <w:t xml:space="preserve"> cùng yêu cầu, cùng hạn, cùng tiêu chí; người chấm khai báo quan hệ trước đó với nhà cung cấp.</w:t>
      </w:r>
    </w:p>
    <w:p>
      <w:pPr>
        <w:pStyle w:val="ListParagraph"/>
        <w:numPr>
          <w:ilvl w:val="0"/>
          <w:numId w:val="5"/>
        </w:numPr>
        <w:spacing w:after="60"/>
      </w:pPr>
      <w:r>
        <w:rPr>
          <w:b/>
          <w:bCs/>
        </w:rPr>
        <w:t xml:space="preserve">Có dấu vết:</w:t>
      </w:r>
      <w:r>
        <w:t xml:space="preserve"> ai chấm, chấm gì, vì sao.</w:t>
      </w:r>
    </w:p>
    <w:p>
      <w:pPr>
        <w:pStyle w:val="ListParagraph"/>
        <w:numPr>
          <w:ilvl w:val="0"/>
          <w:numId w:val="5"/>
        </w:numPr>
        <w:spacing w:after="60"/>
      </w:pPr>
      <w:r>
        <w:rPr>
          <w:b/>
          <w:bCs/>
        </w:rPr>
        <w:t xml:space="preserve">Phản hồi bên trượt:</w:t>
      </w:r>
      <w:r>
        <w:t xml:space="preserve"> bên trượt hôm nay có thể là đối tác ngày mai.</w:t>
      </w:r>
    </w:p>
    <w:p>
      <w:pPr>
        <w:spacing w:after="120"/>
      </w:pPr>
      <w:r>
        <w:t xml:space="preserve">Bên được chọn phải là bên điểm cao nhất. Nếu kết quả không như ý, sửa tiêu chí từ đầu, không sửa điểm ở cuối.</w:t>
      </w:r>
    </w:p>
    <w:p>
      <w:pPr>
        <w:pStyle w:val="Heading1"/>
      </w:pPr>
      <w:r>
        <w:t xml:space="preserve">4. Chọn địa điểm</w:t>
      </w:r>
    </w:p>
    <w:p>
      <w:pPr>
        <w:spacing w:after="120"/>
      </w:pPr>
      <w:r>
        <w:rPr>
          <w:b/>
          <w:bCs/>
        </w:rPr>
        <w:t xml:space="preserve">Chọn địa điểm trước</w:t>
      </w:r>
      <w:r>
        <w:t xml:space="preserve">, vì địa điểm quyết định nhà cung cấp nào được dùng. Dowson et al. (2023) gọi địa điểm là “cầu thủ xuất sắc nhất” của sự kiện.</w:t>
      </w:r>
    </w:p>
    <w:p>
      <w:pPr>
        <w:spacing w:after="120"/>
      </w:pPr>
      <w:r>
        <w:rPr>
          <w:b/>
          <w:bCs/>
        </w:rPr>
        <w:t xml:space="preserve">Một địa điểm phục vụ nhiều bên thuê.</w:t>
      </w:r>
      <w:r>
        <w:t xml:space="preserve"> Luôn hỏi: trước và sau ngày của mình có sự kiện gì, giờ dựng – tháo thế nào, ai chịu trách nhiệm trả lại mặt bằng.</w:t>
      </w:r>
    </w:p>
    <w:p>
      <w:pPr>
        <w:spacing w:after="120"/>
      </w:pPr>
      <w:r>
        <w:rPr>
          <w:b/>
          <w:bCs/>
        </w:rPr>
        <w:t xml:space="preserve">Phép thử trang báo.</w:t>
      </w:r>
      <w:r>
        <w:t xml:space="preserve"> Sau khi nhận gói cứu trợ năm 2008, một công ty con của AIG tổ chức sự kiện ở khách sạn sang trọng và bị báo chí chỉ trích dữ dội (“AIG effect”, Dowson et al., 2023). Hãy hỏi: sự kiện này có qua được nếu lên trang báo quốc gia không? Chọn địa điểm cũng là quản trị hình ảnh của Key Account.</w:t>
      </w:r>
    </w:p>
    <w:p>
      <w:pPr>
        <w:spacing w:after="120"/>
      </w:pPr>
      <w:r>
        <w:rPr>
          <w:b/>
          <w:bCs/>
        </w:rPr>
        <w:t xml:space="preserve">Sáu nhóm tiêu chí:</w:t>
      </w:r>
    </w:p>
    <w:p>
      <w:pPr>
        <w:pStyle w:val="ListParagraph"/>
        <w:numPr>
          <w:ilvl w:val="0"/>
          <w:numId w:val="6"/>
        </w:numPr>
        <w:spacing w:after="60"/>
      </w:pPr>
      <w:r>
        <w:t xml:space="preserve">phù hợp với khách và hình ảnh (văn hóa doanh nghiệp của khách hàng);</w:t>
      </w:r>
    </w:p>
    <w:p>
      <w:pPr>
        <w:pStyle w:val="ListParagraph"/>
        <w:numPr>
          <w:ilvl w:val="0"/>
          <w:numId w:val="6"/>
        </w:numPr>
        <w:spacing w:after="60"/>
      </w:pPr>
      <w:r>
        <w:t xml:space="preserve">sức chứa và bố trí (diện tích dùng được, cột, trần, tầm nhìn);</w:t>
      </w:r>
    </w:p>
    <w:p>
      <w:pPr>
        <w:pStyle w:val="ListParagraph"/>
        <w:numPr>
          <w:ilvl w:val="0"/>
          <w:numId w:val="6"/>
        </w:numPr>
        <w:spacing w:after="60"/>
      </w:pPr>
      <w:r>
        <w:t xml:space="preserve">kỹ thuật (điện, treo thiết bị, Wi-Fi, livestream);</w:t>
      </w:r>
    </w:p>
    <w:p>
      <w:pPr>
        <w:pStyle w:val="ListParagraph"/>
        <w:numPr>
          <w:ilvl w:val="0"/>
          <w:numId w:val="6"/>
        </w:numPr>
        <w:spacing w:after="60"/>
      </w:pPr>
      <w:r>
        <w:t xml:space="preserve">dịch vụ và nhà cung cấp độc quyền;</w:t>
      </w:r>
    </w:p>
    <w:p>
      <w:pPr>
        <w:pStyle w:val="ListParagraph"/>
        <w:numPr>
          <w:ilvl w:val="0"/>
          <w:numId w:val="6"/>
        </w:numPr>
        <w:spacing w:after="60"/>
      </w:pPr>
      <w:r>
        <w:t xml:space="preserve">lịch và điều khoản;</w:t>
      </w:r>
    </w:p>
    <w:p>
      <w:pPr>
        <w:pStyle w:val="ListParagraph"/>
        <w:numPr>
          <w:ilvl w:val="0"/>
          <w:numId w:val="6"/>
        </w:numPr>
        <w:spacing w:after="60"/>
      </w:pPr>
      <w:r>
        <w:t xml:space="preserve">tổng chi phí.</w:t>
      </w:r>
    </w:p>
    <w:p>
      <w:pPr>
        <w:spacing w:after="120"/>
      </w:pPr>
      <w:r>
        <w:rPr>
          <w:b/>
          <w:bCs/>
        </w:rPr>
        <w:t xml:space="preserve">Đạo đức.</w:t>
      </w:r>
      <w:r>
        <w:t xml:space="preserve"> Nếu người phụ trách phía khách muốn một địa điểm vì sở thích cá nhân, agency phục vụ ai: người đó hay tổ chức của họ? Đơn vị tìm địa điểm “miễn phí” thường nhận hoa hồng từ địa điểm (Dowson et al., 2023), nên hãy hỏi họ có địa điểm nào không làm việc cùng, và lưu cả danh sách địa điểm bị loại kèm lý do để minh bạch với Key Account.</w:t>
      </w:r>
    </w:p>
    <w:p>
      <w:pPr>
        <w:pStyle w:val="Heading1"/>
      </w:pPr>
      <w:r>
        <w:t xml:space="preserve">5. Site check: đi để hỏi, không phải đi để chụp ảnh</w:t>
      </w:r>
    </w:p>
    <w:p>
      <w:pPr>
        <w:spacing w:after="120"/>
      </w:pPr>
      <w:r>
        <w:t xml:space="preserve">Những câu không được quên:</w:t>
      </w:r>
    </w:p>
    <w:p>
      <w:pPr>
        <w:pStyle w:val="ListParagraph"/>
        <w:numPr>
          <w:ilvl w:val="0"/>
          <w:numId w:val="3"/>
        </w:numPr>
        <w:spacing w:after="60"/>
      </w:pPr>
      <w:r>
        <w:t xml:space="preserve">sức chứa tối đa và giấy phép;</w:t>
      </w:r>
    </w:p>
    <w:p>
      <w:pPr>
        <w:pStyle w:val="ListParagraph"/>
        <w:numPr>
          <w:ilvl w:val="0"/>
          <w:numId w:val="3"/>
        </w:numPr>
        <w:spacing w:after="60"/>
      </w:pPr>
      <w:r>
        <w:t xml:space="preserve">nhà cung cấp độc quyền và phụ thu;</w:t>
      </w:r>
    </w:p>
    <w:p>
      <w:pPr>
        <w:pStyle w:val="ListParagraph"/>
        <w:numPr>
          <w:ilvl w:val="0"/>
          <w:numId w:val="3"/>
        </w:numPr>
        <w:spacing w:after="60"/>
      </w:pPr>
      <w:r>
        <w:t xml:space="preserve">AV, treo thiết bị, máy phát dự phòng, Wi-Fi cho kỹ thuật;</w:t>
      </w:r>
    </w:p>
    <w:p>
      <w:pPr>
        <w:pStyle w:val="ListParagraph"/>
        <w:numPr>
          <w:ilvl w:val="0"/>
          <w:numId w:val="3"/>
        </w:numPr>
        <w:spacing w:after="60"/>
      </w:pPr>
      <w:r>
        <w:t xml:space="preserve">khu hậu cần, khu chuẩn bị F&amp;B, giờ tập kết, thang hàng;</w:t>
      </w:r>
    </w:p>
    <w:p>
      <w:pPr>
        <w:pStyle w:val="ListParagraph"/>
        <w:numPr>
          <w:ilvl w:val="0"/>
          <w:numId w:val="3"/>
        </w:numPr>
        <w:spacing w:after="60"/>
      </w:pPr>
      <w:r>
        <w:t xml:space="preserve">bãi đỗ xe, quy định gắn thương hiệu;</w:t>
      </w:r>
    </w:p>
    <w:p>
      <w:pPr>
        <w:pStyle w:val="ListParagraph"/>
        <w:numPr>
          <w:ilvl w:val="0"/>
          <w:numId w:val="3"/>
        </w:numPr>
        <w:spacing w:after="60"/>
      </w:pPr>
      <w:r>
        <w:t xml:space="preserve">ngày thử chuông báo cháy, và </w:t>
      </w:r>
      <w:r>
        <w:rPr>
          <w:b/>
          <w:bCs/>
        </w:rPr>
        <w:t xml:space="preserve">nhà vệ sinh</w:t>
      </w:r>
      <w:r>
        <w:t xml:space="preserve">.</w:t>
      </w:r>
    </w:p>
    <w:p>
      <w:pPr>
        <w:spacing w:after="120"/>
      </w:pPr>
      <w:r>
        <w:t xml:space="preserve">Với mặt bằng ngoài trời, hỏi cả </w:t>
      </w:r>
      <w:r>
        <w:rPr>
          <w:b/>
          <w:bCs/>
        </w:rPr>
        <w:t xml:space="preserve">thời tiết và tầm nhìn</w:t>
      </w:r>
      <w:r>
        <w:t xml:space="preserve">, và phương án B nằm trong hợp đồng với ai.</w:t>
      </w:r>
    </w:p>
    <w:p>
      <w:pPr>
        <w:spacing w:after="120"/>
      </w:pPr>
      <w:r>
        <w:rPr>
          <w:b/>
          <w:bCs/>
        </w:rPr>
        <w:t xml:space="preserve">Bố trí mặt bằng</w:t>
      </w:r>
      <w:r>
        <w:t xml:space="preserve"> xoay quanh ba điều (Dowson et al., 2023):</w:t>
      </w:r>
    </w:p>
    <w:p>
      <w:pPr>
        <w:pStyle w:val="ListParagraph"/>
        <w:numPr>
          <w:ilvl w:val="0"/>
          <w:numId w:val="3"/>
        </w:numPr>
        <w:spacing w:after="60"/>
      </w:pPr>
      <w:r>
        <w:rPr>
          <w:b/>
          <w:bCs/>
        </w:rPr>
        <w:t xml:space="preserve">Không gian:</w:t>
      </w:r>
      <w:r>
        <w:t xml:space="preserve"> đủ cho mọi hoạt động, kể cả hậu cần.</w:t>
      </w:r>
    </w:p>
    <w:p>
      <w:pPr>
        <w:pStyle w:val="ListParagraph"/>
        <w:numPr>
          <w:ilvl w:val="0"/>
          <w:numId w:val="3"/>
        </w:numPr>
        <w:spacing w:after="60"/>
      </w:pPr>
      <w:r>
        <w:rPr>
          <w:b/>
          <w:bCs/>
        </w:rPr>
        <w:t xml:space="preserve">Di chuyển:</w:t>
      </w:r>
      <w:r>
        <w:t xml:space="preserve"> vào, đi lại, ra.</w:t>
      </w:r>
    </w:p>
    <w:p>
      <w:pPr>
        <w:pStyle w:val="ListParagraph"/>
        <w:numPr>
          <w:ilvl w:val="0"/>
          <w:numId w:val="3"/>
        </w:numPr>
        <w:spacing w:after="60"/>
      </w:pPr>
      <w:r>
        <w:rPr>
          <w:b/>
          <w:bCs/>
        </w:rPr>
        <w:t xml:space="preserve">Không khí:</w:t>
      </w:r>
      <w:r>
        <w:t xml:space="preserve"> khu ồn không cạnh khu yên; mọi khách nhìn, nghe được sân khấu.</w:t>
      </w:r>
    </w:p>
    <w:p>
      <w:pPr>
        <w:spacing w:after="120"/>
      </w:pPr>
      <w:r>
        <w:rPr>
          <w:b/>
          <w:bCs/>
        </w:rPr>
        <w:t xml:space="preserve">Ước lượng diện tích.</w:t>
      </w:r>
      <w:r>
        <w:t xml:space="preserve"> Sức chứa ≈ diện tích dùng được / diện tích mỗi người theo kiểu bố trí. Các quy tắc ước lượng </w:t>
      </w:r>
      <w:r>
        <w:rPr>
          <w:b/>
          <w:bCs/>
        </w:rPr>
        <w:t xml:space="preserve">vênh nhau nhiều</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1638"/>
        <w:gridCol w:w="2603"/>
      </w:tblGrid>
      <w:tr>
        <w:trPr>
          <w:tblHeader/>
        </w:trPr>
        <w:tc>
          <w:tcPr>
            <w:tcW w:type="dxa" w:w="539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c>
          <w:tcPr>
            <w:tcW w:type="dxa" w:w="163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Bàn tròn tiệc</w:t>
            </w:r>
          </w:p>
        </w:tc>
        <w:tc>
          <w:tcPr>
            <w:tcW w:type="dxa" w:w="260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600 khách cần (chỉ khu bàn)</w:t>
            </w:r>
          </w:p>
        </w:tc>
      </w:tr>
      <w:tr>
        <w:trPr>
          <w:tblHeader w:val="off"/>
        </w:trPr>
        <w:tc>
          <w:tcPr>
            <w:tcW w:type="dxa" w:w="53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thực hành của môn (theo thực tế địa điểm Việt Nam)</w:t>
            </w:r>
          </w:p>
        </w:tc>
        <w:tc>
          <w:tcPr>
            <w:tcW w:type="dxa" w:w="1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~1,0–1,1 m²/khách</w:t>
            </w:r>
          </w:p>
        </w:tc>
        <w:tc>
          <w:tcPr>
            <w:tcW w:type="dxa" w:w="26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~610–670 m²</w:t>
            </w:r>
          </w:p>
        </w:tc>
      </w:tr>
      <w:tr>
        <w:trPr>
          <w:tblHeader w:val="off"/>
        </w:trPr>
        <w:tc>
          <w:tcPr>
            <w:tcW w:type="dxa" w:w="53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Price (2004), dẫn trong Dowson et al. (2023)</w:t>
            </w:r>
          </w:p>
        </w:tc>
        <w:tc>
          <w:tcPr>
            <w:tcW w:type="dxa" w:w="1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m²/khách</w:t>
            </w:r>
          </w:p>
        </w:tc>
        <w:tc>
          <w:tcPr>
            <w:tcW w:type="dxa" w:w="26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~2.400 m²</w:t>
            </w:r>
          </w:p>
        </w:tc>
      </w:tr>
    </w:tbl>
    <w:p>
      <w:pPr>
        <w:spacing w:after="80" w:before="0"/>
      </w:pPr>
    </w:p>
    <w:p>
      <w:pPr>
        <w:spacing w:after="120"/>
      </w:pPr>
      <w:r>
        <w:t xml:space="preserve">Môn học dùng mức ~1,0–1,1 m²/khách, vì ở Việt Nam ít mặt bằng đáp ứng được chuẩn rộng hơn. Bài học chung: </w:t>
      </w:r>
      <w:r>
        <w:rPr>
          <w:b/>
          <w:bCs/>
        </w:rPr>
        <w:t xml:space="preserve">không tin một con số</w:t>
      </w:r>
      <w:r>
        <w:t xml:space="preserve">. Xin bảng sức chứa và sơ đồ chính thức của địa điểm, hỏi “diện tích này là diện tích gì”, và đo khi site check.</w:t>
      </w:r>
    </w:p>
    <w:p>
      <w:pPr>
        <w:spacing w:after="120"/>
      </w:pPr>
      <w:r>
        <w:rPr>
          <w:b/>
          <w:bCs/>
        </w:rPr>
        <w:t xml:space="preserve">Dựng sơ đồ theo ba bước:</w:t>
      </w:r>
      <w:r>
        <w:t xml:space="preserve"> xin sơ đồ chi tiết của địa điểm; xếp hoạt động chính trước, khu VIP và báo chí ở vị trí tốt, hậu cần khuất tầm mắt; xin góp ý của địa điểm, nhà cung cấp và </w:t>
      </w:r>
      <w:r>
        <w:rPr>
          <w:b/>
          <w:bCs/>
        </w:rPr>
        <w:t xml:space="preserve">Key Account</w:t>
      </w:r>
      <w:r>
        <w:t xml:space="preserve"> trước khi chốt.</w:t>
      </w:r>
    </w:p>
    <w:p>
      <w:pPr>
        <w:spacing w:after="120"/>
      </w:pPr>
      <w:r>
        <w:rPr>
          <w:b/>
          <w:bCs/>
        </w:rPr>
        <w:t xml:space="preserve">Làm việc với địa điểm sau khi chọn.</w:t>
      </w:r>
      <w:r>
        <w:t xml:space="preserve"> Nhân viên kinh doanh có thể hứa nhiều; nhân viên vận hành mới cho biết điều gì làm được. Gặp nhân viên vận hành trước khi ký; gửi function sheet (lịch, phòng, bố trí, AV, ăn kiêng, người có thẩm quyền ký duyệt); góp ý ngay trong ngày. Với địa điểm cũng cần nhiều cặp đối ứng (Diamond, Buổi 8).</w:t>
      </w:r>
    </w:p>
    <w:p>
      <w:pPr>
        <w:spacing w:after="120"/>
      </w:pPr>
      <w:r>
        <w:rPr>
          <w:b/>
          <w:bCs/>
        </w:rPr>
        <w:t xml:space="preserve">Điều khoản chuyển rủi ro</w:t>
      </w:r>
      <w:r>
        <w:t xml:space="preserve"> (Silvers, 2008; Dowson et al., 2023):</w:t>
      </w:r>
    </w:p>
    <w:p>
      <w:pPr>
        <w:pStyle w:val="ListParagraph"/>
        <w:numPr>
          <w:ilvl w:val="0"/>
          <w:numId w:val="3"/>
        </w:numPr>
        <w:spacing w:after="60"/>
      </w:pPr>
      <w:r>
        <w:t xml:space="preserve">hủy và </w:t>
      </w:r>
      <w:r>
        <w:rPr>
          <w:b/>
          <w:bCs/>
        </w:rPr>
        <w:t xml:space="preserve">attrition</w:t>
      </w:r>
      <w:r>
        <w:t xml:space="preserve"> (phạt khi số khách thấp hơn cam kết);</w:t>
      </w:r>
    </w:p>
    <w:p>
      <w:pPr>
        <w:pStyle w:val="ListParagraph"/>
        <w:numPr>
          <w:ilvl w:val="0"/>
          <w:numId w:val="3"/>
        </w:numPr>
        <w:spacing w:after="60"/>
      </w:pPr>
      <w:r>
        <w:t xml:space="preserve">thay đổi dịch vụ;</w:t>
      </w:r>
    </w:p>
    <w:p>
      <w:pPr>
        <w:pStyle w:val="ListParagraph"/>
        <w:numPr>
          <w:ilvl w:val="0"/>
          <w:numId w:val="3"/>
        </w:numPr>
        <w:spacing w:after="60"/>
      </w:pPr>
      <w:r>
        <w:t xml:space="preserve">cọc và thanh toán, người có thẩm quyền ký duyệt;</w:t>
      </w:r>
    </w:p>
    <w:p>
      <w:pPr>
        <w:pStyle w:val="ListParagraph"/>
        <w:numPr>
          <w:ilvl w:val="0"/>
          <w:numId w:val="3"/>
        </w:numPr>
        <w:spacing w:after="60"/>
      </w:pPr>
      <w:r>
        <w:t xml:space="preserve">bất khả kháng và chấm dứt;</w:t>
      </w:r>
    </w:p>
    <w:p>
      <w:pPr>
        <w:pStyle w:val="ListParagraph"/>
        <w:numPr>
          <w:ilvl w:val="0"/>
          <w:numId w:val="3"/>
        </w:numPr>
        <w:spacing w:after="60"/>
      </w:pPr>
      <w:r>
        <w:t xml:space="preserve">bồi hoàn và bảo hiểm;</w:t>
      </w:r>
    </w:p>
    <w:p>
      <w:pPr>
        <w:pStyle w:val="ListParagraph"/>
        <w:numPr>
          <w:ilvl w:val="0"/>
          <w:numId w:val="3"/>
        </w:numPr>
        <w:spacing w:after="60"/>
      </w:pPr>
      <w:r>
        <w:t xml:space="preserve">phí phát sinh trong ngày.</w:t>
      </w:r>
    </w:p>
    <w:p>
      <w:pPr>
        <w:spacing w:after="120"/>
      </w:pPr>
      <w:r>
        <w:t xml:space="preserve">Thỏa thuận đã được đồng ý, kể cả bằng miệng, có thể đã ràng buộc.</w:t>
      </w:r>
    </w:p>
    <w:p>
      <w:pPr>
        <w:pStyle w:val="Heading1"/>
      </w:pPr>
      <w:r>
        <w:t xml:space="preserve">6. Nhà cung cấp trên hành trình của Key Account</w:t>
      </w:r>
    </w:p>
    <w:p>
      <w:pPr>
        <w:spacing w:after="120"/>
      </w:pPr>
      <w:r>
        <w:t xml:space="preserve">Lemon &amp; Verhoef (2016): đối tác, kể cả agency, là </w:t>
      </w:r>
      <w:r>
        <w:rPr>
          <w:b/>
          <w:bCs/>
        </w:rPr>
        <w:t xml:space="preserve">điểm chạm do đối tác sở hữu</w:t>
      </w:r>
      <w:r>
        <w:t xml:space="preserve">. Ở Buổi 3 và 9, ta vẽ hành trình của khách của Key Account. Ở Buổi 10, </w:t>
      </w:r>
      <w:r>
        <w:rPr>
          <w:b/>
          <w:bCs/>
        </w:rPr>
        <w:t xml:space="preserve">Key Account là khách hàng của agency</w:t>
      </w:r>
      <w:r>
        <w:t xml:space="preserve">: khách sạn, AV, nhà in là điểm chạm trên </w:t>
      </w:r>
      <w:r>
        <w:rPr>
          <w:b/>
          <w:bCs/>
        </w:rPr>
        <w:t xml:space="preserve">hành trình mua</w:t>
      </w:r>
      <w:r>
        <w:t xml:space="preserve"> của Key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Giai đoạn</w:t>
            </w:r>
          </w:p>
        </w:tc>
        <w:tc>
          <w:tcPr>
            <w:tcW w:type="dxa" w:w="838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 của nhà cung cấp (ví dụ)</w:t>
            </w:r>
          </w:p>
        </w:tc>
      </w:tr>
      <w:tr>
        <w:trPr>
          <w:tblHeader w:val="off"/>
        </w:trPr>
        <w:tc>
          <w:tcPr>
            <w:tcW w:type="dxa" w:w="12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 mua</w:t>
            </w:r>
          </w:p>
        </w:tc>
        <w:tc>
          <w:tcPr>
            <w:tcW w:type="dxa" w:w="8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Site check cùng agency; khách sạn đón đoàn</w:t>
            </w:r>
          </w:p>
        </w:tc>
      </w:tr>
      <w:tr>
        <w:trPr>
          <w:tblHeader w:val="off"/>
        </w:trPr>
        <w:tc>
          <w:tcPr>
            <w:tcW w:type="dxa" w:w="12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Mua</w:t>
            </w:r>
          </w:p>
        </w:tc>
        <w:tc>
          <w:tcPr>
            <w:tcW w:type="dxa" w:w="8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duyệt; ngày sự kiện: khách sạn, AV, livestream, backdrop, xe, nhiếp ảnh, lễ tân, quà</w:t>
            </w:r>
          </w:p>
        </w:tc>
      </w:tr>
      <w:tr>
        <w:trPr>
          <w:tblHeader w:val="off"/>
        </w:trPr>
        <w:tc>
          <w:tcPr>
            <w:tcW w:type="dxa" w:w="12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mua</w:t>
            </w:r>
          </w:p>
        </w:tc>
        <w:tc>
          <w:tcPr>
            <w:tcW w:type="dxa" w:w="83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Album ảnh, bản ghi livestream, đối soát số khách với khách sạn, hồ sơ thanh toán</w:t>
            </w:r>
          </w:p>
        </w:tc>
      </w:tr>
    </w:tbl>
    <w:p>
      <w:pPr>
        <w:spacing w:after="80" w:before="0"/>
      </w:pPr>
    </w:p>
    <w:p>
      <w:pPr>
        <w:spacing w:after="120"/>
      </w:pPr>
      <w:r>
        <w:t xml:space="preserve">Giai đoạn </w:t>
      </w:r>
      <w:r>
        <w:rPr>
          <w:b/>
          <w:bCs/>
        </w:rPr>
        <w:t xml:space="preserve">sau mua</w:t>
      </w:r>
      <w:r>
        <w:t xml:space="preserve"> hay bị quên, nhưng hồ sơ thanh toán chậm, ảnh gửi muộn cũng là trải nghiệm của Key Account, và là điều họ nhớ khi quyết định tái ký.</w:t>
      </w:r>
    </w:p>
    <w:p>
      <w:pPr>
        <w:spacing w:after="120"/>
      </w:pPr>
      <w:r>
        <w:rPr>
          <w:b/>
          <w:bCs/>
        </w:rPr>
        <w:t xml:space="preserve">Trong mắt Key Account, lỗi của nhà cung cấp là lỗi của agency.</w:t>
      </w:r>
      <w:r>
        <w:t xml:space="preserve"> Key Account ký với agency, không ký với nhà in hay khách sạn.</w:t>
      </w:r>
    </w:p>
    <w:p>
      <w:pPr>
        <w:spacing w:after="120"/>
      </w:pPr>
      <w:r>
        <w:rPr>
          <w:b/>
          <w:bCs/>
        </w:rPr>
        <w:t xml:space="preserve">Bốn câu hỏi phân bổ nhà cung cấp:</w:t>
      </w:r>
    </w:p>
    <w:p>
      <w:pPr>
        <w:pStyle w:val="ListParagraph"/>
        <w:numPr>
          <w:ilvl w:val="0"/>
          <w:numId w:val="7"/>
        </w:numPr>
        <w:spacing w:after="60"/>
      </w:pPr>
      <w:r>
        <w:t xml:space="preserve">Nhà cung cấp chạm Key Account ở giai đoạn nào?</w:t>
      </w:r>
    </w:p>
    <w:p>
      <w:pPr>
        <w:pStyle w:val="ListParagraph"/>
        <w:numPr>
          <w:ilvl w:val="0"/>
          <w:numId w:val="7"/>
        </w:numPr>
        <w:spacing w:after="60"/>
      </w:pPr>
      <w:r>
        <w:t xml:space="preserve">Ai của Key Account nhìn thấy họ?</w:t>
      </w:r>
    </w:p>
    <w:p>
      <w:pPr>
        <w:pStyle w:val="ListParagraph"/>
        <w:numPr>
          <w:ilvl w:val="0"/>
          <w:numId w:val="7"/>
        </w:numPr>
        <w:spacing w:after="60"/>
      </w:pPr>
      <w:r>
        <w:t xml:space="preserve">Nếu họ làm hỏng, quan hệ agency – Key Account bị ảnh hưởng thế nào?</w:t>
      </w:r>
    </w:p>
    <w:p>
      <w:pPr>
        <w:pStyle w:val="ListParagraph"/>
        <w:numPr>
          <w:ilvl w:val="0"/>
          <w:numId w:val="7"/>
        </w:numPr>
        <w:spacing w:after="60"/>
      </w:pPr>
      <w:r>
        <w:t xml:space="preserve">Agency quản lý bằng gì: điều khoản hợp đồng, checklist, người phụ trách, chỉ số, đánh giá sau sự kiện?</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5"/>
        <w:gridCol w:w="5323"/>
      </w:tblGrid>
      <w:tr>
        <w:trPr>
          <w:tblHeader/>
        </w:trPr>
        <w:tc>
          <w:tcPr>
            <w:tcW w:type="dxa" w:w="431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53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4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RFI / RFP / RFQ</w:t>
            </w:r>
          </w:p>
        </w:tc>
        <w:tc>
          <w:tcPr>
            <w:tcW w:type="dxa" w:w="53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Yêu cầu thông tin / đề xuất / báo giá</w:t>
            </w:r>
          </w:p>
        </w:tc>
      </w:tr>
      <w:tr>
        <w:trPr>
          <w:tblHeader w:val="off"/>
        </w:trPr>
        <w:tc>
          <w:tcPr>
            <w:tcW w:type="dxa" w:w="4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Preferred / exclusive supplier</w:t>
            </w:r>
          </w:p>
        </w:tc>
        <w:tc>
          <w:tcPr>
            <w:tcW w:type="dxa" w:w="53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ưu tiên / độc quyền</w:t>
            </w:r>
          </w:p>
        </w:tc>
      </w:tr>
      <w:tr>
        <w:trPr>
          <w:tblHeader w:val="off"/>
        </w:trPr>
        <w:tc>
          <w:tcPr>
            <w:tcW w:type="dxa" w:w="4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for money</w:t>
            </w:r>
          </w:p>
        </w:tc>
        <w:tc>
          <w:tcPr>
            <w:tcW w:type="dxa" w:w="53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tương xứng đồng tiền</w:t>
            </w:r>
          </w:p>
        </w:tc>
      </w:tr>
      <w:tr>
        <w:trPr>
          <w:tblHeader w:val="off"/>
        </w:trPr>
        <w:tc>
          <w:tcPr>
            <w:tcW w:type="dxa" w:w="4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Site check / site visit</w:t>
            </w:r>
          </w:p>
        </w:tc>
        <w:tc>
          <w:tcPr>
            <w:tcW w:type="dxa" w:w="53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Khảo sát địa điểm</w:t>
            </w:r>
          </w:p>
        </w:tc>
      </w:tr>
      <w:tr>
        <w:trPr>
          <w:tblHeader w:val="off"/>
        </w:trPr>
        <w:tc>
          <w:tcPr>
            <w:tcW w:type="dxa" w:w="4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Function sheet</w:t>
            </w:r>
          </w:p>
        </w:tc>
        <w:tc>
          <w:tcPr>
            <w:tcW w:type="dxa" w:w="53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yêu cầu chi tiết gửi địa điểm</w:t>
            </w:r>
          </w:p>
        </w:tc>
      </w:tr>
      <w:tr>
        <w:trPr>
          <w:tblHeader w:val="off"/>
        </w:trPr>
        <w:tc>
          <w:tcPr>
            <w:tcW w:type="dxa" w:w="4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Attrition</w:t>
            </w:r>
          </w:p>
        </w:tc>
        <w:tc>
          <w:tcPr>
            <w:tcW w:type="dxa" w:w="53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Phạt khi số khách thấp hơn cam kết</w:t>
            </w:r>
          </w:p>
        </w:tc>
      </w:tr>
    </w:tbl>
    <w:p>
      <w:pPr>
        <w:spacing w:after="80" w:before="0"/>
      </w:pPr>
    </w:p>
    <w:p>
      <w:pPr>
        <w:pStyle w:val="Heading1"/>
      </w:pPr>
      <w:r>
        <w:t xml:space="preserve">Lỗi thường gặp</w:t>
      </w:r>
    </w:p>
    <w:p>
      <w:pPr>
        <w:pStyle w:val="ListParagraph"/>
        <w:numPr>
          <w:ilvl w:val="0"/>
          <w:numId w:val="3"/>
        </w:numPr>
        <w:spacing w:after="60"/>
      </w:pPr>
      <w:r>
        <w:t xml:space="preserve">Gọi điện hỏi giá thay vì gửi cùng một bộ yêu cầu bằng văn bản cho các bên.</w:t>
      </w:r>
    </w:p>
    <w:p>
      <w:pPr>
        <w:pStyle w:val="ListParagraph"/>
        <w:numPr>
          <w:ilvl w:val="0"/>
          <w:numId w:val="3"/>
        </w:numPr>
        <w:spacing w:after="60"/>
      </w:pPr>
      <w:r>
        <w:t xml:space="preserve">So giá thuê địa điểm mà quên AV, phụ thu và điều khoản độc quyền.</w:t>
      </w:r>
    </w:p>
    <w:p>
      <w:pPr>
        <w:pStyle w:val="ListParagraph"/>
        <w:numPr>
          <w:ilvl w:val="0"/>
          <w:numId w:val="3"/>
        </w:numPr>
        <w:spacing w:after="60"/>
      </w:pPr>
      <w:r>
        <w:t xml:space="preserve">Sửa điểm cho ra kết quả mong muốn thay vì sửa tiêu chí từ đầu.</w:t>
      </w:r>
    </w:p>
    <w:p>
      <w:pPr>
        <w:pStyle w:val="ListParagraph"/>
        <w:numPr>
          <w:ilvl w:val="0"/>
          <w:numId w:val="3"/>
        </w:numPr>
        <w:spacing w:after="60"/>
      </w:pPr>
      <w:r>
        <w:t xml:space="preserve">Tin một con số diện tích trên brochure.</w:t>
      </w:r>
    </w:p>
    <w:p>
      <w:pPr>
        <w:pStyle w:val="ListParagraph"/>
        <w:numPr>
          <w:ilvl w:val="0"/>
          <w:numId w:val="3"/>
        </w:numPr>
        <w:spacing w:after="60"/>
      </w:pPr>
      <w:r>
        <w:t xml:space="preserve">Quên giai đoạn sau mua khi quản lý nhà cung cấp.</w:t>
      </w:r>
    </w:p>
    <w:p>
      <w:pPr>
        <w:pStyle w:val="Heading1"/>
      </w:pPr>
      <w:r>
        <w:t xml:space="preserve">Liên hệ với kế hoạch cuối kỳ (SMP)</w:t>
      </w:r>
    </w:p>
    <w:p>
      <w:pPr>
        <w:spacing w:after="120"/>
      </w:pPr>
      <w:r>
        <w:t xml:space="preserve">Thuộc </w:t>
      </w:r>
      <w:r>
        <w:rPr>
          <w:b/>
          <w:bCs/>
        </w:rPr>
        <w:t xml:space="preserve">phần D (Value Delivery)</w:t>
      </w:r>
      <w:r>
        <w:t xml:space="preserve">, mảng bên liên quan bên ngoài (rubric tiêu chí 6): nhà cung cấp và địa điểm của khách hàng dự án cũ, gắn với điểm chạm, cách quản lý và rủi ro.</w:t>
      </w:r>
    </w:p>
    <w:p>
      <w:pPr>
        <w:pStyle w:val="Heading1"/>
      </w:pPr>
      <w:r>
        <w:t xml:space="preserve">Câu hỏi tự ôn</w:t>
      </w:r>
    </w:p>
    <w:p>
      <w:pPr>
        <w:pStyle w:val="ListParagraph"/>
        <w:numPr>
          <w:ilvl w:val="0"/>
          <w:numId w:val="8"/>
        </w:numPr>
        <w:spacing w:after="60"/>
      </w:pPr>
      <w:r>
        <w:t xml:space="preserve">Phân biệt RFI, RFP, RFQ. Chọn loại phù hợp cho: livestream về 80 chi nhánh; in 20 backdrop; ballroom kèm F&amp;B.</w:t>
      </w:r>
    </w:p>
    <w:p>
      <w:pPr>
        <w:pStyle w:val="ListParagraph"/>
        <w:numPr>
          <w:ilvl w:val="0"/>
          <w:numId w:val="8"/>
        </w:numPr>
        <w:spacing w:after="60"/>
      </w:pPr>
      <w:r>
        <w:t xml:space="preserve">Vì sao câu hỏi về nhà cung cấp độc quyền phải nằm trong RFP gửi địa điểm?</w:t>
      </w:r>
    </w:p>
    <w:p>
      <w:pPr>
        <w:pStyle w:val="ListParagraph"/>
        <w:numPr>
          <w:ilvl w:val="0"/>
          <w:numId w:val="8"/>
        </w:numPr>
        <w:spacing w:after="60"/>
      </w:pPr>
      <w:r>
        <w:t xml:space="preserve">Ước lượng diện tích khu bàn cho gala 400 khách theo mức của môn học. Bạn kiểm chứng con số đó thế nào khi site check?</w:t>
      </w:r>
    </w:p>
    <w:p>
      <w:pPr>
        <w:pStyle w:val="ListParagraph"/>
        <w:numPr>
          <w:ilvl w:val="0"/>
          <w:numId w:val="8"/>
        </w:numPr>
        <w:spacing w:after="60"/>
      </w:pPr>
      <w:r>
        <w:t xml:space="preserve">Nêu hai nhà cung cấp chạm Key Account ở giai đoạn sau mua và cách agency quản lý họ.</w:t>
      </w:r>
    </w:p>
    <w:p>
      <w:pPr>
        <w:pStyle w:val="Heading1"/>
      </w:pPr>
      <w:r>
        <w:t xml:space="preserve">Tài liệu tham khảo</w:t>
      </w:r>
    </w:p>
    <w:p>
      <w:pPr>
        <w:pStyle w:val="ListParagraph"/>
        <w:numPr>
          <w:ilvl w:val="0"/>
          <w:numId w:val="3"/>
        </w:numPr>
        <w:spacing w:after="60"/>
      </w:pPr>
      <w:r>
        <w:t xml:space="preserve">Chartered Institute of Procurement &amp; Supply. (n.d.). </w:t>
      </w:r>
      <w:r>
        <w:rPr>
          <w:i/>
          <w:iCs/>
        </w:rPr>
        <w:t xml:space="preserve">Tender evaluation</w:t>
      </w:r>
      <w:r>
        <w:t xml:space="preserve">. https://www.cips.org</w:t>
      </w:r>
    </w:p>
    <w:p>
      <w:pPr>
        <w:pStyle w:val="ListParagraph"/>
        <w:numPr>
          <w:ilvl w:val="0"/>
          <w:numId w:val="3"/>
        </w:numPr>
        <w:spacing w:after="60"/>
      </w:pPr>
      <w:r>
        <w:t xml:space="preserve">Dowson, R., Albert, B., &amp; Lomax, D. (2023). </w:t>
      </w:r>
      <w:r>
        <w:rPr>
          <w:i/>
          <w:iCs/>
        </w:rPr>
        <w:t xml:space="preserve">Event planning and management: Principle, planning and practice</w:t>
      </w:r>
      <w:r>
        <w:t xml:space="preserve"> (3rd ed.). Kogan Page.</w:t>
      </w:r>
    </w:p>
    <w:p>
      <w:pPr>
        <w:pStyle w:val="ListParagraph"/>
        <w:numPr>
          <w:ilvl w:val="0"/>
          <w:numId w:val="3"/>
        </w:numPr>
        <w:spacing w:after="60"/>
      </w:pPr>
      <w:r>
        <w:t xml:space="preserve">Events Industry Council. (n.d.). </w:t>
      </w:r>
      <w:r>
        <w:rPr>
          <w:i/>
          <w:iCs/>
        </w:rPr>
        <w:t xml:space="preserve">APEX RFP templates</w:t>
      </w:r>
      <w:r>
        <w:t xml:space="preserve">. https://news.eventscouncil.org/apex/rfp-templates/</w:t>
      </w:r>
    </w:p>
    <w:p>
      <w:pPr>
        <w:pStyle w:val="ListParagraph"/>
        <w:numPr>
          <w:ilvl w:val="0"/>
          <w:numId w:val="3"/>
        </w:numPr>
        <w:spacing w:after="60"/>
      </w:pPr>
      <w:r>
        <w:t xml:space="preserve">Ho, W., Xu, X., &amp; Dey, P. K. (2010). Multi-criteria decision making approaches for supplier evaluation and selection: A literature review. </w:t>
      </w:r>
      <w:r>
        <w:rPr>
          <w:i/>
          <w:iCs/>
        </w:rPr>
        <w:t xml:space="preserve">European Journal of Operational Research, 202</w:t>
      </w:r>
      <w:r>
        <w:t xml:space="preserve">(1), 16–24.</w:t>
      </w:r>
    </w:p>
    <w:p>
      <w:pPr>
        <w:pStyle w:val="ListParagraph"/>
        <w:numPr>
          <w:ilvl w:val="0"/>
          <w:numId w:val="3"/>
        </w:numPr>
        <w:spacing w:after="60"/>
      </w:pPr>
      <w:r>
        <w:t xml:space="preserve">Lemon, K. N., &amp; Verhoef, P. C. (2016). Understanding customer experience throughout the customer journey. </w:t>
      </w:r>
      <w:r>
        <w:rPr>
          <w:i/>
          <w:iCs/>
        </w:rPr>
        <w:t xml:space="preserve">Journal of Marketing, 80</w:t>
      </w:r>
      <w:r>
        <w:t xml:space="preserve">(6), 69–96.</w:t>
      </w:r>
    </w:p>
    <w:p>
      <w:pPr>
        <w:pStyle w:val="ListParagraph"/>
        <w:numPr>
          <w:ilvl w:val="0"/>
          <w:numId w:val="3"/>
        </w:numPr>
        <w:spacing w:after="60"/>
      </w:pPr>
      <w:r>
        <w:t xml:space="preserve">Silvers, J. R. (2008). </w:t>
      </w:r>
      <w:r>
        <w:rPr>
          <w:i/>
          <w:iCs/>
        </w:rPr>
        <w:t xml:space="preserve">Risk management for meetings and events</w:t>
      </w:r>
      <w:r>
        <w:t xml:space="preserve">. Butterworth-Heinemann.</w:t>
      </w:r>
    </w:p>
    <w:p>
      <w:pPr>
        <w:pStyle w:val="ListParagraph"/>
        <w:numPr>
          <w:ilvl w:val="0"/>
          <w:numId w:val="3"/>
        </w:numPr>
        <w:spacing w:after="60"/>
      </w:pPr>
      <w:r>
        <w:t xml:space="preserve">Weber, C. A., Current, J. R., &amp; Benton, W. C. (1991). Vendor selection criteria and methods. </w:t>
      </w:r>
      <w:r>
        <w:rPr>
          <w:i/>
          <w:iCs/>
        </w:rPr>
        <w:t xml:space="preserve">European Journal of Operational Research, 50</w:t>
      </w:r>
      <w:r>
        <w:t xml:space="preserve">(1), 2–18.</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10: Xây dựng giải pháp: quản lý nhà cung cấp và địa điểm</dc:title>
  <dc:creator>EVM1110E</dc:creator>
  <cp:lastModifiedBy>Un-named</cp:lastModifiedBy>
  <cp:revision>1</cp:revision>
  <dcterms:created xsi:type="dcterms:W3CDTF">2026-10-05T01:39:19.443Z</dcterms:created>
  <dcterms:modified xsi:type="dcterms:W3CDTF">2026-10-05T01:39:19.444Z</dcterms:modified>
</cp:coreProperties>
</file>

<file path=docProps/custom.xml><?xml version="1.0" encoding="utf-8"?>
<Properties xmlns="http://schemas.openxmlformats.org/officeDocument/2006/custom-properties" xmlns:vt="http://schemas.openxmlformats.org/officeDocument/2006/docPropsVTypes"/>
</file>