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11: Lan tỏa giá trị: báo chí và KOL</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mọi con số trong ví dụ là tình huống giả định của môn học, trừ khi ghi rõ nguồn. Các nội dung pháp lý chỉ để nhận diện rủi ro; khi áp dụng thực tế cần hỏi bộ phận pháp chế, kế toán.</w:t>
      </w:r>
    </w:p>
    <w:p>
      <w:pPr>
        <w:pStyle w:val="Heading1"/>
      </w:pPr>
      <w:r>
        <w:t xml:space="preserve">Sau buổi này, bạn cần nắm được</w:t>
      </w:r>
    </w:p>
    <w:p>
      <w:pPr>
        <w:pStyle w:val="ListParagraph"/>
        <w:numPr>
          <w:ilvl w:val="0"/>
          <w:numId w:val="2"/>
        </w:numPr>
        <w:spacing w:after="60"/>
      </w:pPr>
      <w:r>
        <w:t xml:space="preserve">Cách phân loại KOL theo quy mô và vai trò; đánh giá độ tin cậy, chất lượng nội dung, mức cộng hưởng với khách của Key Account và rủi ro.</w:t>
      </w:r>
    </w:p>
    <w:p>
      <w:pPr>
        <w:pStyle w:val="ListParagraph"/>
        <w:numPr>
          <w:ilvl w:val="0"/>
          <w:numId w:val="2"/>
        </w:numPr>
        <w:spacing w:after="60"/>
      </w:pPr>
      <w:r>
        <w:t xml:space="preserve">Cách lập bản đồ nhà báo theo mảng, độc giả và mức quan hệ.</w:t>
      </w:r>
    </w:p>
    <w:p>
      <w:pPr>
        <w:pStyle w:val="ListParagraph"/>
        <w:numPr>
          <w:ilvl w:val="0"/>
          <w:numId w:val="2"/>
        </w:numPr>
        <w:spacing w:after="60"/>
      </w:pPr>
      <w:r>
        <w:t xml:space="preserve">Quy trình booking, các điều khoản bắt buộc, và cách đo theo outputs – outcomes – impact.</w:t>
      </w:r>
    </w:p>
    <w:p>
      <w:pPr>
        <w:pStyle w:val="ListParagraph"/>
        <w:numPr>
          <w:ilvl w:val="0"/>
          <w:numId w:val="2"/>
        </w:numPr>
        <w:spacing w:after="60"/>
      </w:pPr>
      <w:r>
        <w:t xml:space="preserve">Cách dùng báo chí và KOL để khuếch đại điểm chạm trước sự kiện.</w:t>
      </w:r>
    </w:p>
    <w:p>
      <w:pPr>
        <w:pStyle w:val="Heading1"/>
      </w:pPr>
      <w:r>
        <w:t xml:space="preserve">1. KOL và influencer marketing</w:t>
      </w:r>
    </w:p>
    <w:p>
      <w:pPr>
        <w:spacing w:after="120"/>
      </w:pPr>
      <w:r>
        <w:rPr>
          <w:b/>
          <w:bCs/>
        </w:rPr>
        <w:t xml:space="preserve">Influencer marketing</w:t>
      </w:r>
      <w:r>
        <w:t xml:space="preserve"> là việc </w:t>
      </w:r>
      <w:r>
        <w:rPr>
          <w:b/>
          <w:bCs/>
        </w:rPr>
        <w:t xml:space="preserve">trả công</w:t>
      </w:r>
      <w:r>
        <w:t xml:space="preserve"> cho cá nhân để họ đăng bài về sản phẩm, dịch vụ trên mạng xã hội (Campbell &amp; Farrell, 2020). Luật Quảng cáo sửa đổi 2025 (hiệu lực 1/1/2026) gọi họ là </w:t>
      </w:r>
      <w:r>
        <w:rPr>
          <w:b/>
          <w:bCs/>
        </w:rPr>
        <w:t xml:space="preserve">người chuyển tải sản phẩm quảng cáo</w:t>
      </w:r>
      <w:r>
        <w:t xml:space="preserve">. PR là người khác nói về mình; quảng cáo là mình nói về mình. Khi trả tiền để người khác nói, ranh giới đó mờ đi, và luật yêu cầu </w:t>
      </w:r>
      <w:r>
        <w:rPr>
          <w:b/>
          <w:bCs/>
        </w:rPr>
        <w:t xml:space="preserve">gắn nhãn</w:t>
      </w:r>
      <w:r>
        <w:t xml:space="preserve">.</w:t>
      </w:r>
    </w:p>
    <w:p>
      <w:pPr>
        <w:spacing w:after="120"/>
      </w:pPr>
      <w:r>
        <w:rPr>
          <w:b/>
          <w:bCs/>
        </w:rPr>
        <w:t xml:space="preserve">Phân loại theo quy mô</w:t>
      </w:r>
      <w:r>
        <w:t xml:space="preserve"> (nano, micro, macro, mega) chỉ là khoảng tham khảo; ngưỡng khác nhau giữa các nguồn. Luôn hỏi nguồn và cách tính số liệu, và kiểm tra người theo dõi ảo.</w:t>
      </w:r>
    </w:p>
    <w:p>
      <w:pPr>
        <w:spacing w:after="120"/>
      </w:pPr>
      <w:r>
        <w:rPr>
          <w:b/>
          <w:bCs/>
        </w:rPr>
        <w:t xml:space="preserve">Câu hỏi đúng: agency đang mua gì?</w:t>
      </w:r>
      <w:r>
        <w:t xml:space="preserve"> Campbell &amp; Farrell (2020) chỉ ra ba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043"/>
        <w:gridCol w:w="5074"/>
      </w:tblGrid>
      <w:tr>
        <w:trPr>
          <w:tblHeader/>
        </w:trPr>
        <w:tc>
          <w:tcPr>
            <w:tcW w:type="dxa" w:w="15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Thành phần</w:t>
            </w:r>
          </w:p>
        </w:tc>
        <w:tc>
          <w:tcPr>
            <w:tcW w:type="dxa" w:w="304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Agency mua</w:t>
            </w:r>
          </w:p>
        </w:tc>
        <w:tc>
          <w:tcPr>
            <w:tcW w:type="dxa" w:w="507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Với hội nghị khách hàng của một ngân hàng</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w:t>
            </w:r>
          </w:p>
        </w:tc>
        <w:tc>
          <w:tcPr>
            <w:tcW w:type="dxa" w:w="30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Quyền tiếp cận người theo dõi của họ</w:t>
            </w:r>
          </w:p>
        </w:tc>
        <w:tc>
          <w:tcPr>
            <w:tcW w:type="dxa" w:w="50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Ít giá trị, vì khách đã được mời đích danh</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bảo chứng</w:t>
            </w:r>
          </w:p>
        </w:tc>
        <w:tc>
          <w:tcPr>
            <w:tcW w:type="dxa" w:w="30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Uy tín của họ đứng sau sự kiện</w:t>
            </w:r>
          </w:p>
        </w:tc>
        <w:tc>
          <w:tcPr>
            <w:tcW w:type="dxa" w:w="50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chuyên gia kinh tế làm diễn giả có thể khiến CEO muốn đến</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làm nội dung</w:t>
            </w:r>
          </w:p>
        </w:tc>
        <w:tc>
          <w:tcPr>
            <w:tcW w:type="dxa" w:w="30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Khả năng sản xuất nội dung</w:t>
            </w:r>
          </w:p>
        </w:tc>
        <w:tc>
          <w:tcPr>
            <w:tcW w:type="dxa" w:w="50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Video tóm tắt phiên chuyên đề</w:t>
            </w:r>
          </w:p>
        </w:tc>
      </w:tr>
    </w:tbl>
    <w:p>
      <w:pPr>
        <w:spacing w:after="80" w:before="0"/>
      </w:pPr>
    </w:p>
    <w:p>
      <w:pPr>
        <w:spacing w:after="120"/>
      </w:pPr>
      <w:r>
        <w:t xml:space="preserve">Thêm hai nhóm: </w:t>
      </w:r>
      <w:r>
        <w:rPr>
          <w:b/>
          <w:bCs/>
        </w:rPr>
        <w:t xml:space="preserve">KOC</w:t>
      </w:r>
      <w:r>
        <w:t xml:space="preserve"> (người dùng thật chia sẻ trải nghiệm) và </w:t>
      </w:r>
      <w:r>
        <w:rPr>
          <w:b/>
          <w:bCs/>
        </w:rPr>
        <w:t xml:space="preserve">chuyên gia, diễn giả</w:t>
      </w:r>
      <w:r>
        <w:t xml:space="preserve"> (KOL của giới chuyên môn).</w:t>
      </w:r>
    </w:p>
    <w:p>
      <w:pPr>
        <w:spacing w:after="120"/>
      </w:pPr>
      <w:r>
        <w:rPr>
          <w:b/>
          <w:bCs/>
        </w:rPr>
        <w:t xml:space="preserve">Khách tin ai?</w:t>
      </w:r>
      <w:r>
        <w:t xml:space="preserve"> Ohanian (1990) đo độ tin cậy của người đại diện theo ba chiều: </w:t>
      </w:r>
      <w:r>
        <w:rPr>
          <w:b/>
          <w:bCs/>
        </w:rPr>
        <w:t xml:space="preserve">chuyên môn, đáng tin, hấp dẫn</w:t>
      </w:r>
      <w:r>
        <w:t xml:space="preserve">. Lou &amp; Yuan (2019) bổ sung: </w:t>
      </w:r>
      <w:r>
        <w:rPr>
          <w:b/>
          <w:bCs/>
        </w:rPr>
        <w:t xml:space="preserve">giá trị thông tin</w:t>
      </w:r>
      <w:r>
        <w:t xml:space="preserve"> của nội dung và </w:t>
      </w:r>
      <w:r>
        <w:rPr>
          <w:b/>
          <w:bCs/>
        </w:rPr>
        <w:t xml:space="preserve">sự tương đồng</w:t>
      </w:r>
      <w:r>
        <w:t xml:space="preserve"> giữa influencer với người theo dõi làm tăng niềm tin. Với ngân hàng, chuyên môn và đáng tin nặng hơn hấp dẫn; </w:t>
      </w:r>
      <w:r>
        <w:rPr>
          <w:b/>
          <w:bCs/>
        </w:rPr>
        <w:t xml:space="preserve">tương đồng quan trọng hơn quy mô</w:t>
      </w:r>
      <w:r>
        <w:t xml:space="preserve">.</w:t>
      </w:r>
    </w:p>
    <w:p>
      <w:pPr>
        <w:spacing w:after="120"/>
      </w:pPr>
      <w:r>
        <w:rPr>
          <w:b/>
          <w:bCs/>
        </w:rPr>
        <w:t xml:space="preserve">Khi KOL mất uy tín, người hợp tác với họ mất theo.</w:t>
      </w:r>
      <w:r>
        <w:t xml:space="preserve"> Năm 2025, Tòa án nhân dân TP.HCM xử một vụ livestream quảng cáo sai công dụng một loại kẹo; những người có ảnh hưởng tham gia quảng bá bị tuyên án về tội lừa dối khách hàng. Chuyển giao hình ảnh là hai chiều, nên phải kiểm tra trước khi ký.</w:t>
      </w:r>
    </w:p>
    <w:p>
      <w:pPr>
        <w:spacing w:after="120"/>
      </w:pPr>
      <w:r>
        <w:rPr>
          <w:b/>
          <w:bCs/>
        </w:rPr>
        <w:t xml:space="preserve">Rủi ro đặc thù khi Key Account là ngân hàng.</w:t>
      </w:r>
      <w:r>
        <w:t xml:space="preserve"> Cơ quan quản lý chứng khoán đã cảnh báo các cá nhân trên mạng xã hội đưa khuyến nghị mua bán cổ phiếu khi không được cấp phép tư vấn. Một “KOL tài chính” nhiều follower chưa chắc an toàn cho ngân hàng. Hãy hỏi: người này sẽ nói gì trên sân khấu của Key Account, kiến thức hay “nên mua mã này”?</w:t>
      </w:r>
    </w:p>
    <w:p>
      <w:pPr>
        <w:pStyle w:val="Heading1"/>
      </w:pPr>
      <w:r>
        <w:t xml:space="preserve">2. Nhắm khán giả và bản đồ nhà báo</w:t>
      </w:r>
    </w:p>
    <w:p>
      <w:pPr>
        <w:spacing w:after="120"/>
      </w:pPr>
      <w:r>
        <w:rPr>
          <w:b/>
          <w:bCs/>
        </w:rPr>
        <w:t xml:space="preserve">Hiểu khán giả trước, chọn kênh sau.</w:t>
      </w:r>
      <w:r>
        <w:t xml:space="preserve"> Nguyên tắc 2 của Barcelona Principles 4.0: xác định và hiểu mọi nhóm khán giả là bước thiết yếu (AMEC, 2025). Với 600 lãnh đạo doanh nghiệp: họ đọc báo gì, nghe ai, ai sắp lịch cho họ, điều gì khiến họ đến trực tiếp thay vì cử người thay?</w:t>
      </w:r>
    </w:p>
    <w:p>
      <w:pPr>
        <w:spacing w:after="120"/>
      </w:pPr>
      <w:r>
        <w:rPr>
          <w:b/>
          <w:bCs/>
        </w:rPr>
        <w:t xml:space="preserve">Bản đồ nhà báo có ba trục:</w:t>
      </w:r>
    </w:p>
    <w:p>
      <w:pPr>
        <w:pStyle w:val="ListParagraph"/>
        <w:numPr>
          <w:ilvl w:val="0"/>
          <w:numId w:val="3"/>
        </w:numPr>
        <w:spacing w:after="60"/>
      </w:pPr>
      <w:r>
        <w:rPr>
          <w:b/>
          <w:bCs/>
        </w:rPr>
        <w:t xml:space="preserve">Mảng phụ trách:</w:t>
      </w:r>
      <w:r>
        <w:t xml:space="preserve"> ngân hàng – tài chính, doanh nghiệp hay giải trí? Gửi lệch mảng thường bị từ chối ngay.</w:t>
      </w:r>
    </w:p>
    <w:p>
      <w:pPr>
        <w:pStyle w:val="ListParagraph"/>
        <w:numPr>
          <w:ilvl w:val="0"/>
          <w:numId w:val="3"/>
        </w:numPr>
        <w:spacing w:after="60"/>
      </w:pPr>
      <w:r>
        <w:rPr>
          <w:b/>
          <w:bCs/>
        </w:rPr>
        <w:t xml:space="preserve">Độc giả:</w:t>
      </w:r>
      <w:r>
        <w:t xml:space="preserve"> có trùng khách của Key Account không?</w:t>
      </w:r>
    </w:p>
    <w:p>
      <w:pPr>
        <w:pStyle w:val="ListParagraph"/>
        <w:numPr>
          <w:ilvl w:val="0"/>
          <w:numId w:val="3"/>
        </w:numPr>
        <w:spacing w:after="60"/>
      </w:pPr>
      <w:r>
        <w:rPr>
          <w:b/>
          <w:bCs/>
        </w:rPr>
        <w:t xml:space="preserve">Mức quan hệ:</w:t>
      </w:r>
      <w:r>
        <w:t xml:space="preserve"> chưa biết, đã giới thiệu, hay đã làm việc? Quan hệ với nhà báo cũng phải xây trước khi cần.</w:t>
      </w:r>
    </w:p>
    <w:p>
      <w:pPr>
        <w:spacing w:after="120"/>
      </w:pPr>
      <w:r>
        <w:rPr>
          <w:b/>
          <w:bCs/>
        </w:rPr>
        <w:t xml:space="preserve">Thông cáo báo chí</w:t>
      </w:r>
      <w:r>
        <w:t xml:space="preserve"> (đã học ở môn PR trong tổ chức sự kiện) viết theo </w:t>
      </w:r>
      <w:r>
        <w:rPr>
          <w:b/>
          <w:bCs/>
        </w:rPr>
        <w:t xml:space="preserve">kim tự tháp ngược</w:t>
      </w:r>
      <w:r>
        <w:t xml:space="preserve">:</w:t>
      </w:r>
    </w:p>
    <w:p>
      <w:pPr>
        <w:pStyle w:val="ListParagraph"/>
        <w:numPr>
          <w:ilvl w:val="0"/>
          <w:numId w:val="3"/>
        </w:numPr>
        <w:spacing w:after="60"/>
      </w:pPr>
      <w:r>
        <w:t xml:space="preserve">đoạn mở đầu đủ 5W1H, đứng độc lập được, vì biên tập viên thường cắt từ dưới lên;</w:t>
      </w:r>
    </w:p>
    <w:p>
      <w:pPr>
        <w:pStyle w:val="ListParagraph"/>
        <w:numPr>
          <w:ilvl w:val="0"/>
          <w:numId w:val="3"/>
        </w:numPr>
        <w:spacing w:after="60"/>
      </w:pPr>
      <w:r>
        <w:t xml:space="preserve">tiếp theo là chi tiết và trích dẫn người có thẩm quyền của Key Account;</w:t>
      </w:r>
    </w:p>
    <w:p>
      <w:pPr>
        <w:pStyle w:val="ListParagraph"/>
        <w:numPr>
          <w:ilvl w:val="0"/>
          <w:numId w:val="3"/>
        </w:numPr>
        <w:spacing w:after="60"/>
      </w:pPr>
      <w:r>
        <w:t xml:space="preserve">cuối là thông tin công ty và người liên hệ có quyền trả lời báo chí.</w:t>
      </w:r>
    </w:p>
    <w:p>
      <w:pPr>
        <w:spacing w:after="120"/>
      </w:pPr>
      <w:r>
        <w:t xml:space="preserve">Lý tưởng một trang A4. Gửi xong thì theo dõi.</w:t>
      </w:r>
    </w:p>
    <w:p>
      <w:pPr>
        <w:spacing w:after="120"/>
      </w:pPr>
      <w:r>
        <w:rPr>
          <w:b/>
          <w:bCs/>
        </w:rPr>
        <w:t xml:space="preserve">Luật Báo chí 2025</w:t>
      </w:r>
      <w:r>
        <w:t xml:space="preserve"> (Luật số 126/2025/QH15, hiệu lực 1/7/2026):</w:t>
      </w:r>
    </w:p>
    <w:p>
      <w:pPr>
        <w:pStyle w:val="ListParagraph"/>
        <w:numPr>
          <w:ilvl w:val="0"/>
          <w:numId w:val="3"/>
        </w:numPr>
        <w:spacing w:after="60"/>
      </w:pPr>
      <w:r>
        <w:rPr>
          <w:b/>
          <w:bCs/>
        </w:rPr>
        <w:t xml:space="preserve">Điều 33:</w:t>
      </w:r>
      <w:r>
        <w:t xml:space="preserve"> người phỏng vấn phải báo trước mục đích và câu hỏi. Người được phỏng vấn có quyền yêu cầu </w:t>
      </w:r>
      <w:r>
        <w:rPr>
          <w:b/>
          <w:bCs/>
        </w:rPr>
        <w:t xml:space="preserve">xem lại nội dung trả lời</w:t>
      </w:r>
      <w:r>
        <w:t xml:space="preserve"> trước khi đăng. Nhà báo không được dùng phát biểu tại hội nghị có nhà báo dự để chuyển thành bài phỏng vấn nếu người phát biểu không đồng ý.</w:t>
      </w:r>
    </w:p>
    <w:p>
      <w:pPr>
        <w:pStyle w:val="ListParagraph"/>
        <w:numPr>
          <w:ilvl w:val="0"/>
          <w:numId w:val="3"/>
        </w:numPr>
        <w:spacing w:after="60"/>
      </w:pPr>
      <w:r>
        <w:rPr>
          <w:b/>
          <w:bCs/>
        </w:rPr>
        <w:t xml:space="preserve">Điều 37:</w:t>
      </w:r>
      <w:r>
        <w:t xml:space="preserve"> họp báo theo quy định của Chính phủ.</w:t>
      </w:r>
    </w:p>
    <w:p>
      <w:pPr>
        <w:spacing w:after="120"/>
      </w:pPr>
      <w:r>
        <w:t xml:space="preserve">Trước sự kiện có báo chí, agency phải briefing người phát ngôn của Key Account: nói gì, không nói gì, và quyền xin xem lại.</w:t>
      </w:r>
    </w:p>
    <w:p>
      <w:pPr>
        <w:spacing w:after="120"/>
      </w:pPr>
      <w:r>
        <w:rPr>
          <w:b/>
          <w:bCs/>
        </w:rPr>
        <w:t xml:space="preserve">Đạo đức.</w:t>
      </w:r>
      <w:r>
        <w:t xml:space="preserve"> Quan hệ với nhà báo dựa trên </w:t>
      </w:r>
      <w:r>
        <w:rPr>
          <w:b/>
          <w:bCs/>
        </w:rPr>
        <w:t xml:space="preserve">thông tin có giá trị</w:t>
      </w:r>
      <w:r>
        <w:t xml:space="preserve"> cho độc giả của họ, đúng mảng, đúng lúc. Không đặt nhà báo vào thế vụ lợi. Nội dung trả tiền để đăng là quảng cáo và phải được nhận diện là quảng cáo.</w:t>
      </w:r>
    </w:p>
    <w:p>
      <w:pPr>
        <w:pStyle w:val="Heading1"/>
      </w:pPr>
      <w:r>
        <w:t xml:space="preserve">3. Booking, hợp đồng, thanh toán, đo lường</w:t>
      </w:r>
    </w:p>
    <w:p>
      <w:pPr>
        <w:spacing w:after="120"/>
      </w:pPr>
      <w:r>
        <w:rPr>
          <w:b/>
          <w:bCs/>
        </w:rPr>
        <w:t xml:space="preserve">Booking là quy trình tám bước:</w:t>
      </w:r>
    </w:p>
    <w:p>
      <w:pPr>
        <w:pStyle w:val="ListParagraph"/>
        <w:numPr>
          <w:ilvl w:val="0"/>
          <w:numId w:val="4"/>
        </w:numPr>
        <w:spacing w:after="60"/>
      </w:pPr>
      <w:r>
        <w:rPr>
          <w:b/>
          <w:bCs/>
        </w:rPr>
        <w:t xml:space="preserve">brief:</w:t>
      </w:r>
      <w:r>
        <w:t xml:space="preserve"> mục tiêu, khán giả, thông điệp, và điều không được nói (ví dụ khuyến nghị đầu tư);</w:t>
      </w:r>
    </w:p>
    <w:p>
      <w:pPr>
        <w:pStyle w:val="ListParagraph"/>
        <w:numPr>
          <w:ilvl w:val="0"/>
          <w:numId w:val="4"/>
        </w:numPr>
        <w:spacing w:after="60"/>
      </w:pPr>
      <w:r>
        <w:rPr>
          <w:b/>
          <w:bCs/>
        </w:rPr>
        <w:t xml:space="preserve">due diligence;</w:t>
      </w:r>
    </w:p>
    <w:p>
      <w:pPr>
        <w:pStyle w:val="ListParagraph"/>
        <w:numPr>
          <w:ilvl w:val="0"/>
          <w:numId w:val="4"/>
        </w:numPr>
        <w:spacing w:after="60"/>
      </w:pPr>
      <w:r>
        <w:t xml:space="preserve">báo giá, qua cá nhân hay công ty quản lý;</w:t>
      </w:r>
    </w:p>
    <w:p>
      <w:pPr>
        <w:pStyle w:val="ListParagraph"/>
        <w:numPr>
          <w:ilvl w:val="0"/>
          <w:numId w:val="4"/>
        </w:numPr>
        <w:spacing w:after="60"/>
      </w:pPr>
      <w:r>
        <w:t xml:space="preserve">hợp đồng;</w:t>
      </w:r>
    </w:p>
    <w:p>
      <w:pPr>
        <w:pStyle w:val="ListParagraph"/>
        <w:numPr>
          <w:ilvl w:val="0"/>
          <w:numId w:val="4"/>
        </w:numPr>
        <w:spacing w:after="60"/>
      </w:pPr>
      <w:r>
        <w:rPr>
          <w:b/>
          <w:bCs/>
        </w:rPr>
        <w:t xml:space="preserve">duyệt nội dung:</w:t>
      </w:r>
      <w:r>
        <w:t xml:space="preserve"> Key Account duyệt trước;</w:t>
      </w:r>
    </w:p>
    <w:p>
      <w:pPr>
        <w:pStyle w:val="ListParagraph"/>
        <w:numPr>
          <w:ilvl w:val="0"/>
          <w:numId w:val="4"/>
        </w:numPr>
        <w:spacing w:after="60"/>
      </w:pPr>
      <w:r>
        <w:t xml:space="preserve">thực hiện đúng lịch, đúng nhãn;</w:t>
      </w:r>
    </w:p>
    <w:p>
      <w:pPr>
        <w:pStyle w:val="ListParagraph"/>
        <w:numPr>
          <w:ilvl w:val="0"/>
          <w:numId w:val="4"/>
        </w:numPr>
        <w:spacing w:after="60"/>
      </w:pPr>
      <w:r>
        <w:t xml:space="preserve">nghiệm thu và thanh toán với chứng từ đúng;</w:t>
      </w:r>
    </w:p>
    <w:p>
      <w:pPr>
        <w:pStyle w:val="ListParagraph"/>
        <w:numPr>
          <w:ilvl w:val="0"/>
          <w:numId w:val="4"/>
        </w:numPr>
        <w:spacing w:after="60"/>
      </w:pPr>
      <w:r>
        <w:t xml:space="preserve">báo cáo.</w:t>
      </w:r>
    </w:p>
    <w:p>
      <w:pPr>
        <w:spacing w:after="120"/>
      </w:pPr>
      <w:r>
        <w:rPr>
          <w:b/>
          <w:bCs/>
        </w:rPr>
        <w:t xml:space="preserve">Due diligence: bốn câu hỏi trước khi ký</w:t>
      </w:r>
    </w:p>
    <w:p>
      <w:pPr>
        <w:pStyle w:val="ListParagraph"/>
        <w:numPr>
          <w:ilvl w:val="0"/>
          <w:numId w:val="3"/>
        </w:numPr>
        <w:spacing w:after="60"/>
      </w:pPr>
      <w:r>
        <w:rPr>
          <w:b/>
          <w:bCs/>
        </w:rPr>
        <w:t xml:space="preserve">Lịch sử nội dung:</w:t>
      </w:r>
      <w:r>
        <w:t xml:space="preserve"> họ từng nói gì về tài chính, sức khỏe, chính trị?</w:t>
      </w:r>
    </w:p>
    <w:p>
      <w:pPr>
        <w:pStyle w:val="ListParagraph"/>
        <w:numPr>
          <w:ilvl w:val="0"/>
          <w:numId w:val="3"/>
        </w:numPr>
        <w:spacing w:after="60"/>
      </w:pPr>
      <w:r>
        <w:rPr>
          <w:b/>
          <w:bCs/>
        </w:rPr>
        <w:t xml:space="preserve">Vụ việc:</w:t>
      </w:r>
      <w:r>
        <w:t xml:space="preserve"> từng bị xử phạt, kiện tụng, khủng hoảng?</w:t>
      </w:r>
    </w:p>
    <w:p>
      <w:pPr>
        <w:pStyle w:val="ListParagraph"/>
        <w:numPr>
          <w:ilvl w:val="0"/>
          <w:numId w:val="3"/>
        </w:numPr>
        <w:spacing w:after="60"/>
      </w:pPr>
      <w:r>
        <w:rPr>
          <w:b/>
          <w:bCs/>
        </w:rPr>
        <w:t xml:space="preserve">Xung đột lợi ích:</w:t>
      </w:r>
      <w:r>
        <w:t xml:space="preserve"> có đang làm cho đối thủ của Key Account?</w:t>
      </w:r>
    </w:p>
    <w:p>
      <w:pPr>
        <w:pStyle w:val="ListParagraph"/>
        <w:numPr>
          <w:ilvl w:val="0"/>
          <w:numId w:val="3"/>
        </w:numPr>
        <w:spacing w:after="60"/>
      </w:pPr>
      <w:r>
        <w:rPr>
          <w:b/>
          <w:bCs/>
        </w:rPr>
        <w:t xml:space="preserve">Người theo dõi:</w:t>
      </w:r>
      <w:r>
        <w:t xml:space="preserve"> thật hay ảo, có trùng khách của Key Account?</w:t>
      </w:r>
    </w:p>
    <w:p>
      <w:pPr>
        <w:spacing w:after="120"/>
      </w:pPr>
      <w:r>
        <w:rPr>
          <w:b/>
          <w:bCs/>
        </w:rPr>
        <w:t xml:space="preserve">Nghĩa vụ luật định phải đi vào hợp đồng.</w:t>
      </w:r>
      <w:r>
        <w:t xml:space="preserve"> Điều 15a Luật Quảng cáo (sửa đổi 2025):</w:t>
      </w:r>
    </w:p>
    <w:p>
      <w:pPr>
        <w:pStyle w:val="ListParagraph"/>
        <w:numPr>
          <w:ilvl w:val="0"/>
          <w:numId w:val="3"/>
        </w:numPr>
        <w:spacing w:after="60"/>
      </w:pPr>
      <w:r>
        <w:t xml:space="preserve">người có ảnh hưởng phải xác minh độ tin cậy của người quảng cáo và kiểm tra tài liệu sản phẩm;</w:t>
      </w:r>
    </w:p>
    <w:p>
      <w:pPr>
        <w:pStyle w:val="ListParagraph"/>
        <w:numPr>
          <w:ilvl w:val="0"/>
          <w:numId w:val="3"/>
        </w:numPr>
        <w:spacing w:after="60"/>
      </w:pPr>
      <w:r>
        <w:t xml:space="preserve">chưa dùng hoặc chưa hiểu rõ sản phẩm thì không được giới thiệu;</w:t>
      </w:r>
    </w:p>
    <w:p>
      <w:pPr>
        <w:pStyle w:val="ListParagraph"/>
        <w:numPr>
          <w:ilvl w:val="0"/>
          <w:numId w:val="3"/>
        </w:numPr>
        <w:spacing w:after="60"/>
      </w:pPr>
      <w:r>
        <w:t xml:space="preserve">phải thông báo về việc quảng cáo ngay trước và trong khi thực hiện.</w:t>
      </w:r>
    </w:p>
    <w:p>
      <w:pPr>
        <w:spacing w:after="120"/>
      </w:pPr>
      <w:r>
        <w:t xml:space="preserve">Điều 23 yêu cầu bài trên mạng phân biệt nội dung quảng cáo hoặc được tài trợ.</w:t>
      </w:r>
    </w:p>
    <w:p>
      <w:pPr>
        <w:spacing w:after="120"/>
      </w:pPr>
      <w:r>
        <w:t xml:space="preserve">Điều khoản gợi ý:</w:t>
      </w:r>
    </w:p>
    <w:p>
      <w:pPr>
        <w:pStyle w:val="ListParagraph"/>
        <w:numPr>
          <w:ilvl w:val="0"/>
          <w:numId w:val="3"/>
        </w:numPr>
        <w:spacing w:after="60"/>
      </w:pPr>
      <w:r>
        <w:t xml:space="preserve">phạm vi, lịch;</w:t>
      </w:r>
    </w:p>
    <w:p>
      <w:pPr>
        <w:pStyle w:val="ListParagraph"/>
        <w:numPr>
          <w:ilvl w:val="0"/>
          <w:numId w:val="3"/>
        </w:numPr>
        <w:spacing w:after="60"/>
      </w:pPr>
      <w:r>
        <w:t xml:space="preserve">duyệt nội dung, gắn nhãn;</w:t>
      </w:r>
    </w:p>
    <w:p>
      <w:pPr>
        <w:pStyle w:val="ListParagraph"/>
        <w:numPr>
          <w:ilvl w:val="0"/>
          <w:numId w:val="3"/>
        </w:numPr>
        <w:spacing w:after="60"/>
      </w:pPr>
      <w:r>
        <w:t xml:space="preserve">không khuyến nghị đầu tư, không chào bán sản phẩm tài chính;</w:t>
      </w:r>
    </w:p>
    <w:p>
      <w:pPr>
        <w:pStyle w:val="ListParagraph"/>
        <w:numPr>
          <w:ilvl w:val="0"/>
          <w:numId w:val="3"/>
        </w:numPr>
        <w:spacing w:after="60"/>
      </w:pPr>
      <w:r>
        <w:t xml:space="preserve">quyền dùng hình ảnh, bảo mật thông tin khách;</w:t>
      </w:r>
    </w:p>
    <w:p>
      <w:pPr>
        <w:pStyle w:val="ListParagraph"/>
        <w:numPr>
          <w:ilvl w:val="0"/>
          <w:numId w:val="3"/>
        </w:numPr>
        <w:spacing w:after="60"/>
      </w:pPr>
      <w:r>
        <w:rPr>
          <w:b/>
          <w:bCs/>
        </w:rPr>
        <w:t xml:space="preserve">điều khoản đạo đức và chấm dứt</w:t>
      </w:r>
      <w:r>
        <w:t xml:space="preserve"> khi có vụ việc;</w:t>
      </w:r>
    </w:p>
    <w:p>
      <w:pPr>
        <w:pStyle w:val="ListParagraph"/>
        <w:numPr>
          <w:ilvl w:val="0"/>
          <w:numId w:val="3"/>
        </w:numPr>
        <w:spacing w:after="60"/>
      </w:pPr>
      <w:r>
        <w:t xml:space="preserve">bàn giao số liệu;</w:t>
      </w:r>
    </w:p>
    <w:p>
      <w:pPr>
        <w:pStyle w:val="ListParagraph"/>
        <w:numPr>
          <w:ilvl w:val="0"/>
          <w:numId w:val="3"/>
        </w:numPr>
        <w:spacing w:after="60"/>
      </w:pPr>
      <w:r>
        <w:t xml:space="preserve">thanh toán và chứng từ.</w:t>
      </w:r>
    </w:p>
    <w:p>
      <w:pPr>
        <w:spacing w:after="120"/>
      </w:pPr>
      <w:r>
        <w:rPr>
          <w:b/>
          <w:bCs/>
        </w:rPr>
        <w:t xml:space="preserve">Thanh toán.</w:t>
      </w:r>
      <w:r>
        <w:t xml:space="preserve"> Hình thức hợp đồng (ký với cá nhân hay với công ty quản lý) quyết định chứng từ và cách xử lý thuế. Đây là hồ sơ Key Account phải giải trình, nên cần thống nhất với bộ phận kế toán từ đầu.</w:t>
      </w:r>
    </w:p>
    <w:p>
      <w:pPr>
        <w:spacing w:after="120"/>
      </w:pPr>
      <w:r>
        <w:rPr>
          <w:b/>
          <w:bCs/>
        </w:rPr>
        <w:t xml:space="preserve">Đo lường theo Barcelona Principles 4.0</w:t>
      </w:r>
      <w:r>
        <w:t xml:space="preserve"> (AMEC, 2025):</w:t>
      </w:r>
    </w:p>
    <w:p>
      <w:pPr>
        <w:pStyle w:val="ListParagraph"/>
        <w:numPr>
          <w:ilvl w:val="0"/>
          <w:numId w:val="5"/>
        </w:numPr>
        <w:spacing w:after="60"/>
      </w:pPr>
      <w:r>
        <w:t xml:space="preserve">mục tiêu rõ, đo được;</w:t>
      </w:r>
    </w:p>
    <w:p>
      <w:pPr>
        <w:pStyle w:val="ListParagraph"/>
        <w:numPr>
          <w:ilvl w:val="0"/>
          <w:numId w:val="5"/>
        </w:numPr>
        <w:spacing w:after="60"/>
      </w:pPr>
      <w:r>
        <w:t xml:space="preserve">hiểu khán giả;</w:t>
      </w:r>
    </w:p>
    <w:p>
      <w:pPr>
        <w:pStyle w:val="ListParagraph"/>
        <w:numPr>
          <w:ilvl w:val="0"/>
          <w:numId w:val="5"/>
        </w:numPr>
        <w:spacing w:after="60"/>
      </w:pPr>
      <w:r>
        <w:t xml:space="preserve">đo mọi kênh;</w:t>
      </w:r>
    </w:p>
    <w:p>
      <w:pPr>
        <w:pStyle w:val="ListParagraph"/>
        <w:numPr>
          <w:ilvl w:val="0"/>
          <w:numId w:val="5"/>
        </w:numPr>
        <w:spacing w:after="60"/>
      </w:pPr>
      <w:r>
        <w:t xml:space="preserve">kết hợp định tính và định lượng;</w:t>
      </w:r>
    </w:p>
    <w:p>
      <w:pPr>
        <w:pStyle w:val="ListParagraph"/>
        <w:numPr>
          <w:ilvl w:val="0"/>
          <w:numId w:val="5"/>
        </w:numPr>
        <w:spacing w:after="60"/>
      </w:pPr>
      <w:r>
        <w:rPr>
          <w:b/>
          <w:bCs/>
        </w:rPr>
        <w:t xml:space="preserve">không dùng AVE</w:t>
      </w:r>
      <w:r>
        <w:t xml:space="preserve"> (quy bài báo ra số tiền quảng cáo tương đương);</w:t>
      </w:r>
    </w:p>
    <w:p>
      <w:pPr>
        <w:pStyle w:val="ListParagraph"/>
        <w:numPr>
          <w:ilvl w:val="0"/>
          <w:numId w:val="5"/>
        </w:numPr>
        <w:spacing w:after="60"/>
      </w:pPr>
      <w:r>
        <w:t xml:space="preserve">báo cáo outputs, outcomes, impact;</w:t>
      </w:r>
    </w:p>
    <w:p>
      <w:pPr>
        <w:pStyle w:val="ListParagraph"/>
        <w:numPr>
          <w:ilvl w:val="0"/>
          <w:numId w:val="5"/>
        </w:numPr>
        <w:spacing w:after="60"/>
      </w:pPr>
      <w:r>
        <w:t xml:space="preserve">đạo đức, minh bạch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5354"/>
        <w:gridCol w:w="3214"/>
      </w:tblGrid>
      <w:tr>
        <w:trPr>
          <w:tblHeader/>
        </w:trPr>
        <w:tc>
          <w:tcPr>
            <w:tcW w:type="dxa" w:w="10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Cấp</w:t>
            </w:r>
          </w:p>
        </w:tc>
        <w:tc>
          <w:tcPr>
            <w:tcW w:type="dxa" w:w="53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cho hội nghị khách hàng</w:t>
            </w:r>
          </w:p>
        </w:tc>
        <w:tc>
          <w:tcPr>
            <w:tcW w:type="dxa" w:w="32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Liên hệ khung Buổi 8</w:t>
            </w:r>
          </w:p>
        </w:tc>
      </w:tr>
      <w:tr>
        <w:trPr>
          <w:tblHeader w:val="off"/>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Outputs</w:t>
            </w:r>
          </w:p>
        </w:tc>
        <w:tc>
          <w:tcPr>
            <w:tcW w:type="dxa" w:w="53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bài đúng mảng, bài của diễn giả, lượt tiếp cận</w:t>
            </w:r>
          </w:p>
        </w:tc>
        <w:tc>
          <w:tcPr>
            <w:tcW w:type="dxa" w:w="3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Outcomes</w:t>
            </w:r>
          </w:p>
        </w:tc>
        <w:tc>
          <w:tcPr>
            <w:tcW w:type="dxa" w:w="53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xác nhận, tỷ lệ CEO đến trực tiếp, số khách đăng ký phiên chuyên đề</w:t>
            </w:r>
          </w:p>
        </w:tc>
        <w:tc>
          <w:tcPr>
            <w:tcW w:type="dxa" w:w="3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Gần cấp 0–2</w:t>
            </w:r>
          </w:p>
        </w:tc>
      </w:tr>
      <w:tr>
        <w:trPr>
          <w:tblHeader w:val="off"/>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Impact</w:t>
            </w:r>
          </w:p>
        </w:tc>
        <w:tc>
          <w:tcPr>
            <w:tcW w:type="dxa" w:w="53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Cuộc hẹn kinh doanh sau sự kiện, khách mở rộng quan hệ với Key Account</w:t>
            </w:r>
          </w:p>
        </w:tc>
        <w:tc>
          <w:tcPr>
            <w:tcW w:type="dxa" w:w="3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3–5, cần dữ liệu của Key Account</w:t>
            </w:r>
          </w:p>
        </w:tc>
      </w:tr>
    </w:tbl>
    <w:p>
      <w:pPr>
        <w:spacing w:after="80" w:before="0"/>
      </w:pPr>
    </w:p>
    <w:p>
      <w:pPr>
        <w:spacing w:after="120"/>
      </w:pPr>
      <w:r>
        <w:t xml:space="preserve">Báo cáo không mở đầu bằng “25 bài báo, 2 triệu lượt xem”, mà bằng outcome: ví dụ tỷ lệ CEO đến trực tiếp tăng từ bao nhiêu lên bao nhiêu.</w:t>
      </w:r>
    </w:p>
    <w:p>
      <w:pPr>
        <w:pStyle w:val="Heading1"/>
      </w:pPr>
      <w:r>
        <w:t xml:space="preserve">4. Khuếch đại điểm chạm trước sự kiện</w:t>
      </w:r>
    </w:p>
    <w:p>
      <w:pPr>
        <w:spacing w:after="120"/>
      </w:pPr>
      <w:r>
        <w:t xml:space="preserve">Giai đoạn trước mua chịu ảnh hưởng mạnh của điểm chạm bên ngoài và điểm chạm do đối tác sở hữu (Lemon &amp; Verhoef, 2016). Với khách của Key Account, “mua” là quyết định dành một buổi tối và </w:t>
      </w:r>
      <w:r>
        <w:rPr>
          <w:b/>
          <w:bCs/>
        </w:rPr>
        <w:t xml:space="preserve">đến trực tiếp</w:t>
      </w:r>
      <w:r>
        <w:t xml:space="preserve">. Báo chí và diễn giả cho khách </w:t>
      </w:r>
      <w:r>
        <w:rPr>
          <w:b/>
          <w:bCs/>
        </w:rPr>
        <w:t xml:space="preserve">một lý do để đến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2409"/>
        <w:gridCol w:w="5134"/>
      </w:tblGrid>
      <w:tr>
        <w:trPr>
          <w:tblHeader/>
        </w:trPr>
        <w:tc>
          <w:tcPr>
            <w:tcW w:type="dxa" w:w="209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điểm</w:t>
            </w:r>
          </w:p>
        </w:tc>
        <w:tc>
          <w:tcPr>
            <w:tcW w:type="dxa" w:w="24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 của khách</w:t>
            </w:r>
          </w:p>
        </w:tc>
        <w:tc>
          <w:tcPr>
            <w:tcW w:type="dxa" w:w="513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Khuếch đại (ví dụ)</w:t>
            </w:r>
          </w:p>
        </w:tc>
      </w:tr>
      <w:tr>
        <w:trPr>
          <w:tblHeader w:val="off"/>
        </w:trPr>
        <w:tc>
          <w:tcPr>
            <w:tcW w:type="dxa" w:w="2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 − 6 tuần</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thư mời</w:t>
            </w:r>
          </w:p>
        </w:tc>
        <w:tc>
          <w:tcPr>
            <w:tcW w:type="dxa" w:w="5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diễn giả chính ngay trong thư mời (bảo chứng)</w:t>
            </w:r>
          </w:p>
        </w:tc>
      </w:tr>
      <w:tr>
        <w:trPr>
          <w:tblHeader w:val="off"/>
        </w:trPr>
        <w:tc>
          <w:tcPr>
            <w:tcW w:type="dxa" w:w="2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 − 5 đến T − 3 tuần</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hiểu chương trình</w:t>
            </w:r>
          </w:p>
        </w:tc>
        <w:tc>
          <w:tcPr>
            <w:tcW w:type="dxa" w:w="5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Bài phỏng vấn diễn giả trên báo kinh tế</w:t>
            </w:r>
          </w:p>
        </w:tc>
      </w:tr>
      <w:tr>
        <w:trPr>
          <w:tblHeader w:val="off"/>
        </w:trPr>
        <w:tc>
          <w:tcPr>
            <w:tcW w:type="dxa" w:w="2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 − 3 tuần</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Xác nhận, đăng ký phiên</w:t>
            </w:r>
          </w:p>
        </w:tc>
        <w:tc>
          <w:tcPr>
            <w:tcW w:type="dxa" w:w="5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Video ngắn của diễn giả gửi riêng khách mời</w:t>
            </w:r>
          </w:p>
        </w:tc>
      </w:tr>
      <w:tr>
        <w:trPr>
          <w:tblHeader w:val="off"/>
        </w:trPr>
        <w:tc>
          <w:tcPr>
            <w:tcW w:type="dxa" w:w="2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 − 1 tuần</w:t>
            </w:r>
          </w:p>
        </w:tc>
        <w:tc>
          <w:tcPr>
            <w:tcW w:type="dxa" w:w="24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lịch</w:t>
            </w:r>
          </w:p>
        </w:tc>
        <w:tc>
          <w:tcPr>
            <w:tcW w:type="dxa" w:w="51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khảo sát trước của diễn giả</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3486"/>
        <w:gridCol w:w="4102"/>
      </w:tblGrid>
      <w:tr>
        <w:trPr>
          <w:tblHeader/>
        </w:trPr>
        <w:tc>
          <w:tcPr>
            <w:tcW w:type="dxa" w:w="20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348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Earned (báo chí tự viết)</w:t>
            </w:r>
          </w:p>
        </w:tc>
        <w:tc>
          <w:tcPr>
            <w:tcW w:type="dxa" w:w="41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Paid (trả tiền cho KOL, bài có phí)</w:t>
            </w:r>
          </w:p>
        </w:tc>
      </w:tr>
      <w:tr>
        <w:trPr>
          <w:tblHeader w:val="off"/>
        </w:trPr>
        <w:tc>
          <w:tcPr>
            <w:tcW w:type="dxa" w:w="20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soát nội dung</w:t>
            </w:r>
          </w:p>
        </w:tc>
        <w:tc>
          <w:tcPr>
            <w:tcW w:type="dxa" w:w="34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Thấp</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duyệt được</w:t>
            </w:r>
          </w:p>
        </w:tc>
      </w:tr>
      <w:tr>
        <w:trPr>
          <w:tblHeader w:val="off"/>
        </w:trPr>
        <w:tc>
          <w:tcPr>
            <w:tcW w:type="dxa" w:w="20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 tin cậy với khách</w:t>
            </w:r>
          </w:p>
        </w:tc>
        <w:tc>
          <w:tcPr>
            <w:tcW w:type="dxa" w:w="34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hơn</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 thuộc người đăng</w:t>
            </w:r>
          </w:p>
        </w:tc>
      </w:tr>
      <w:tr>
        <w:trPr>
          <w:tblHeader w:val="off"/>
        </w:trPr>
        <w:tc>
          <w:tcPr>
            <w:tcW w:type="dxa" w:w="20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Nghĩa vụ</w:t>
            </w:r>
          </w:p>
        </w:tc>
        <w:tc>
          <w:tcPr>
            <w:tcW w:type="dxa" w:w="34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Cung cấp thông tin đúng, đúng mảng</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Gắn nhãn</w:t>
            </w:r>
            <w:r>
              <w:rPr>
                <w:sz w:val="20"/>
                <w:szCs w:val="20"/>
              </w:rPr>
              <w:t xml:space="preserve"> quảng cáo hoặc được tài trợ</w:t>
            </w:r>
          </w:p>
        </w:tc>
      </w:tr>
    </w:tbl>
    <w:p>
      <w:pPr>
        <w:spacing w:after="80" w:before="0"/>
      </w:pPr>
    </w:p>
    <w:p>
      <w:pPr>
        <w:spacing w:after="120"/>
      </w:pPr>
      <w:r>
        <w:rPr>
          <w:b/>
          <w:bCs/>
        </w:rPr>
        <w:t xml:space="preserve">Năm câu hỏi cho mỗi điểm chạm:</w:t>
      </w:r>
    </w:p>
    <w:p>
      <w:pPr>
        <w:pStyle w:val="ListParagraph"/>
        <w:numPr>
          <w:ilvl w:val="0"/>
          <w:numId w:val="6"/>
        </w:numPr>
        <w:spacing w:after="60"/>
      </w:pPr>
      <w:r>
        <w:t xml:space="preserve">Điểm chạm nào của khách?</w:t>
      </w:r>
    </w:p>
    <w:p>
      <w:pPr>
        <w:pStyle w:val="ListParagraph"/>
        <w:numPr>
          <w:ilvl w:val="0"/>
          <w:numId w:val="6"/>
        </w:numPr>
        <w:spacing w:after="60"/>
      </w:pPr>
      <w:r>
        <w:t xml:space="preserve">Ai khuếch đại, và vì sao khách tin họ?</w:t>
      </w:r>
    </w:p>
    <w:p>
      <w:pPr>
        <w:pStyle w:val="ListParagraph"/>
        <w:numPr>
          <w:ilvl w:val="0"/>
          <w:numId w:val="6"/>
        </w:numPr>
        <w:spacing w:after="60"/>
      </w:pPr>
      <w:r>
        <w:t xml:space="preserve">Khách được gì?</w:t>
      </w:r>
    </w:p>
    <w:p>
      <w:pPr>
        <w:pStyle w:val="ListParagraph"/>
        <w:numPr>
          <w:ilvl w:val="0"/>
          <w:numId w:val="6"/>
        </w:numPr>
        <w:spacing w:after="60"/>
      </w:pPr>
      <w:r>
        <w:t xml:space="preserve">Điều khoản nào bảo vệ Key Account?</w:t>
      </w:r>
    </w:p>
    <w:p>
      <w:pPr>
        <w:pStyle w:val="ListParagraph"/>
        <w:numPr>
          <w:ilvl w:val="0"/>
          <w:numId w:val="6"/>
        </w:numPr>
        <w:spacing w:after="60"/>
      </w:pPr>
      <w:r>
        <w:t xml:space="preserve">Đo bằng output nào, outcome nào?</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tblHeader/>
        </w:trPr>
        <w:tc>
          <w:tcPr>
            <w:tcW w:type="dxa" w:w="355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608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KOL / KOC / influencer</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dẫn dắt dư luận / người tiêu dùng có ảnh hưởng / người có ảnh hưởng</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Due diligence</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Thẩm định trước khi ký</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Earned / paid media</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Truyền thông lan tỏa tự nhiên / trả phí</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Outputs / outcomes / impact</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Đầu ra / kết quả / tác động</w:t>
            </w:r>
          </w:p>
        </w:tc>
      </w:tr>
      <w:tr>
        <w:trPr>
          <w:tblHeader w:val="off"/>
        </w:trPr>
        <w:tc>
          <w:tcPr>
            <w:tcW w:type="dxa" w:w="35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AVE (advertising value equivalency)</w:t>
            </w:r>
          </w:p>
        </w:tc>
        <w:tc>
          <w:tcPr>
            <w:tcW w:type="dxa" w:w="60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quảng cáo tương đương (không dùng)</w:t>
            </w:r>
          </w:p>
        </w:tc>
      </w:tr>
    </w:tbl>
    <w:p>
      <w:pPr>
        <w:spacing w:after="80" w:before="0"/>
      </w:pPr>
    </w:p>
    <w:p>
      <w:pPr>
        <w:pStyle w:val="Heading1"/>
      </w:pPr>
      <w:r>
        <w:t xml:space="preserve">Lỗi thường gặp</w:t>
      </w:r>
    </w:p>
    <w:p>
      <w:pPr>
        <w:pStyle w:val="ListParagraph"/>
        <w:numPr>
          <w:ilvl w:val="0"/>
          <w:numId w:val="3"/>
        </w:numPr>
        <w:spacing w:after="60"/>
      </w:pPr>
      <w:r>
        <w:t xml:space="preserve">Chọn KOL theo số follower thay vì vai trò, độ tin cậy, tương đồng với khách.</w:t>
      </w:r>
    </w:p>
    <w:p>
      <w:pPr>
        <w:pStyle w:val="ListParagraph"/>
        <w:numPr>
          <w:ilvl w:val="0"/>
          <w:numId w:val="3"/>
        </w:numPr>
        <w:spacing w:after="60"/>
      </w:pPr>
      <w:r>
        <w:t xml:space="preserve">Ký trước, kiểm tra sau.</w:t>
      </w:r>
    </w:p>
    <w:p>
      <w:pPr>
        <w:pStyle w:val="ListParagraph"/>
        <w:numPr>
          <w:ilvl w:val="0"/>
          <w:numId w:val="3"/>
        </w:numPr>
        <w:spacing w:after="60"/>
      </w:pPr>
      <w:r>
        <w:t xml:space="preserve">Gửi thông cáo lệch mảng, hoặc chỉ liên hệ nhà báo khi cần.</w:t>
      </w:r>
    </w:p>
    <w:p>
      <w:pPr>
        <w:pStyle w:val="ListParagraph"/>
        <w:numPr>
          <w:ilvl w:val="0"/>
          <w:numId w:val="3"/>
        </w:numPr>
        <w:spacing w:after="60"/>
      </w:pPr>
      <w:r>
        <w:t xml:space="preserve">Báo cáo bằng lượt xem và AVE thay vì outcome.</w:t>
      </w:r>
    </w:p>
    <w:p>
      <w:pPr>
        <w:pStyle w:val="ListParagraph"/>
        <w:numPr>
          <w:ilvl w:val="0"/>
          <w:numId w:val="3"/>
        </w:numPr>
        <w:spacing w:after="60"/>
      </w:pPr>
      <w:r>
        <w:t xml:space="preserve">Quên gắn nhãn nội dung trả phí.</w:t>
      </w:r>
    </w:p>
    <w:p>
      <w:pPr>
        <w:pStyle w:val="Heading1"/>
      </w:pPr>
      <w:r>
        <w:t xml:space="preserve">Liên hệ với kế hoạch cuối kỳ (SMP)</w:t>
      </w:r>
    </w:p>
    <w:p>
      <w:pPr>
        <w:spacing w:after="120"/>
      </w:pPr>
      <w:r>
        <w:t xml:space="preserve">Thuộc </w:t>
      </w:r>
      <w:r>
        <w:rPr>
          <w:b/>
          <w:bCs/>
        </w:rPr>
        <w:t xml:space="preserve">phần D (Value Delivery)</w:t>
      </w:r>
      <w:r>
        <w:t xml:space="preserve">, mảng bên liên quan bên ngoài (rubric tiêu chí 6): báo chí và KOL của khách hàng dự án cũ, gắn với điểm chạm (đặc biệt trước sự kiện), giá trị cho khách, cách quản lý (brief, hợp đồng, duyệt nội dung) và rủi ro.</w:t>
      </w:r>
    </w:p>
    <w:p>
      <w:pPr>
        <w:pStyle w:val="Heading1"/>
      </w:pPr>
      <w:r>
        <w:t xml:space="preserve">Câu hỏi tự ôn</w:t>
      </w:r>
    </w:p>
    <w:p>
      <w:pPr>
        <w:pStyle w:val="ListParagraph"/>
        <w:numPr>
          <w:ilvl w:val="0"/>
          <w:numId w:val="7"/>
        </w:numPr>
        <w:spacing w:after="60"/>
      </w:pPr>
      <w:r>
        <w:t xml:space="preserve">Với hội nghị dành cho 600 CEO, agency nên “mua” khán giả, bảo chứng hay nội dung từ một KOL? Vì sao?</w:t>
      </w:r>
    </w:p>
    <w:p>
      <w:pPr>
        <w:pStyle w:val="ListParagraph"/>
        <w:numPr>
          <w:ilvl w:val="0"/>
          <w:numId w:val="7"/>
        </w:numPr>
        <w:spacing w:after="60"/>
      </w:pPr>
      <w:r>
        <w:t xml:space="preserve">Nêu bốn câu hỏi due diligence và một ví dụ rủi ro mỗi câu giúp phát hiện.</w:t>
      </w:r>
    </w:p>
    <w:p>
      <w:pPr>
        <w:pStyle w:val="ListParagraph"/>
        <w:numPr>
          <w:ilvl w:val="0"/>
          <w:numId w:val="7"/>
        </w:numPr>
        <w:spacing w:after="60"/>
      </w:pPr>
      <w:r>
        <w:t xml:space="preserve">Phân biệt outputs, outcomes, impact bằng ví dụ. Vì sao không dùng AVE?</w:t>
      </w:r>
    </w:p>
    <w:p>
      <w:pPr>
        <w:pStyle w:val="ListParagraph"/>
        <w:numPr>
          <w:ilvl w:val="0"/>
          <w:numId w:val="7"/>
        </w:numPr>
        <w:spacing w:after="60"/>
      </w:pPr>
      <w:r>
        <w:t xml:space="preserve">Theo Luật Báo chí 2025, người được phỏng vấn có quyền gì? Agency cần chuẩn bị gì cho người phát ngôn của Key Account?</w:t>
      </w:r>
    </w:p>
    <w:p>
      <w:pPr>
        <w:pStyle w:val="Heading1"/>
      </w:pPr>
      <w:r>
        <w:t xml:space="preserve">Tài liệu tham khảo</w:t>
      </w:r>
    </w:p>
    <w:p>
      <w:pPr>
        <w:pStyle w:val="ListParagraph"/>
        <w:numPr>
          <w:ilvl w:val="0"/>
          <w:numId w:val="3"/>
        </w:numPr>
        <w:spacing w:after="60"/>
      </w:pPr>
      <w:r>
        <w:t xml:space="preserve">AMEC. (2025). </w:t>
      </w:r>
      <w:r>
        <w:rPr>
          <w:i/>
          <w:iCs/>
        </w:rPr>
        <w:t xml:space="preserve">Barcelona Principles V4.0</w:t>
      </w:r>
      <w:r>
        <w:t xml:space="preserve">. International Association for Measurement and Evaluation of Communication.</w:t>
      </w:r>
    </w:p>
    <w:p>
      <w:pPr>
        <w:pStyle w:val="ListParagraph"/>
        <w:numPr>
          <w:ilvl w:val="0"/>
          <w:numId w:val="3"/>
        </w:numPr>
        <w:spacing w:after="60"/>
      </w:pPr>
      <w:r>
        <w:t xml:space="preserve">Campbell, C., &amp; Farrell, J. R. (2020). More than meets the eye: The functional components underlying influencer marketing. </w:t>
      </w:r>
      <w:r>
        <w:rPr>
          <w:i/>
          <w:iCs/>
        </w:rPr>
        <w:t xml:space="preserve">Business Horizons, 63</w:t>
      </w:r>
      <w:r>
        <w:t xml:space="preserve">(4), 469–479.</w:t>
      </w:r>
    </w:p>
    <w:p>
      <w:pPr>
        <w:pStyle w:val="ListParagraph"/>
        <w:numPr>
          <w:ilvl w:val="0"/>
          <w:numId w:val="3"/>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3"/>
        </w:numPr>
        <w:spacing w:after="60"/>
      </w:pPr>
      <w:r>
        <w:t xml:space="preserve">Lou, C., &amp; Yuan, S. (2019). Influencer marketing: How message value and credibility affect consumer trust of branded content on social media. </w:t>
      </w:r>
      <w:r>
        <w:rPr>
          <w:i/>
          <w:iCs/>
        </w:rPr>
        <w:t xml:space="preserve">Journal of Interactive Advertising, 19</w:t>
      </w:r>
      <w:r>
        <w:t xml:space="preserve">(1), 58–73.</w:t>
      </w:r>
    </w:p>
    <w:p>
      <w:pPr>
        <w:pStyle w:val="ListParagraph"/>
        <w:numPr>
          <w:ilvl w:val="0"/>
          <w:numId w:val="3"/>
        </w:numPr>
        <w:spacing w:after="60"/>
      </w:pPr>
      <w:r>
        <w:t xml:space="preserve">Ohanian, R. (1990). Construction and validation of a scale to measure celebrity endorsers’ perceived expertise, trustworthiness, and attractiveness. </w:t>
      </w:r>
      <w:r>
        <w:rPr>
          <w:i/>
          <w:iCs/>
        </w:rPr>
        <w:t xml:space="preserve">Journal of Advertising, 19</w:t>
      </w:r>
      <w:r>
        <w:t xml:space="preserve">(3), 39–52.</w:t>
      </w:r>
    </w:p>
    <w:p>
      <w:pPr>
        <w:pStyle w:val="ListParagraph"/>
        <w:numPr>
          <w:ilvl w:val="0"/>
          <w:numId w:val="3"/>
        </w:numPr>
        <w:spacing w:after="60"/>
      </w:pPr>
      <w:r>
        <w:t xml:space="preserve">Quốc hội. (2025a). </w:t>
      </w:r>
      <w:r>
        <w:rPr>
          <w:i/>
          <w:iCs/>
        </w:rPr>
        <w:t xml:space="preserve">Luật số 75/2025/QH15 sửa đổi, bổ sung một số điều của Luật Quảng cáo</w:t>
      </w:r>
      <w:r>
        <w:t xml:space="preserve">.</w:t>
      </w:r>
    </w:p>
    <w:p>
      <w:pPr>
        <w:pStyle w:val="ListParagraph"/>
        <w:numPr>
          <w:ilvl w:val="0"/>
          <w:numId w:val="3"/>
        </w:numPr>
        <w:spacing w:after="60"/>
      </w:pPr>
      <w:r>
        <w:t xml:space="preserve">Quốc hội. (2025b). </w:t>
      </w:r>
      <w:r>
        <w:rPr>
          <w:i/>
          <w:iCs/>
        </w:rPr>
        <w:t xml:space="preserve">Luật Báo chí</w:t>
      </w:r>
      <w:r>
        <w:t xml:space="preserve"> (Luật số 126/2025/QH15).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11: Lan tỏa giá trị: báo chí và KOL</dc:title>
  <dc:creator>EVM1110E</dc:creator>
  <cp:lastModifiedBy>Un-named</cp:lastModifiedBy>
  <cp:revision>1</cp:revision>
  <dcterms:created xsi:type="dcterms:W3CDTF">2026-10-05T01:39:20.371Z</dcterms:created>
  <dcterms:modified xsi:type="dcterms:W3CDTF">2026-10-05T01:39:20.372Z</dcterms:modified>
</cp:coreProperties>
</file>

<file path=docProps/custom.xml><?xml version="1.0" encoding="utf-8"?>
<Properties xmlns="http://schemas.openxmlformats.org/officeDocument/2006/custom-properties" xmlns:vt="http://schemas.openxmlformats.org/officeDocument/2006/docPropsVTypes"/>
</file>