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Buổi 12: Tận dụng mạng lưới và xử lý xung đột</w:t>
      </w:r>
    </w:p>
    <w:p>
      <w:pPr>
        <w:pBdr>
          <w:bottom w:val="single" w:color="2E8B74" w:sz="8" w:space="6"/>
        </w:pBdr>
        <w:spacing w:after="240"/>
      </w:pPr>
      <w:r>
        <w:rPr>
          <w:color w:val="5A6478"/>
          <w:sz w:val="21"/>
          <w:szCs w:val="21"/>
        </w:rPr>
        <w:t xml:space="preserve">EVM1110E Quản trị mối quan hệ trong tổ chức sự kiện · Tài liệu tóm tắt kiến thức trọng tâm</w:t>
      </w:r>
    </w:p>
    <w:p>
      <w:pPr>
        <w:pBdr>
          <w:left w:val="single" w:color="2E8B74" w:sz="18" w:space="8"/>
        </w:pBdr>
        <w:shd w:fill="E8F4F0" w:color="auto" w:val="clear"/>
        <w:spacing w:after="160" w:before="80"/>
        <w:ind w:left="200" w:right="100"/>
      </w:pPr>
      <w:r>
        <w:rPr>
          <w:color w:val="333F55"/>
          <w:sz w:val="20"/>
          <w:szCs w:val="20"/>
        </w:rPr>
        <w:t xml:space="preserve">Tài liệu này giúp bạn ôn lại những ý chính của buổi học. Nó không thay thế việc tham dự lớp. Các tên “Nova Events”, “Ngân hàng An Phát”, “Bảo hiểm Bình An” và nhân vật trong ví dụ là tình huống giả định của môn học.</w:t>
      </w:r>
    </w:p>
    <w:p>
      <w:pPr>
        <w:pStyle w:val="Heading1"/>
      </w:pPr>
      <w:r>
        <w:t xml:space="preserve">Sau buổi này, bạn cần nắm được</w:t>
      </w:r>
    </w:p>
    <w:p>
      <w:pPr>
        <w:pStyle w:val="ListParagraph"/>
        <w:numPr>
          <w:ilvl w:val="0"/>
          <w:numId w:val="2"/>
        </w:numPr>
        <w:spacing w:after="60"/>
      </w:pPr>
      <w:r>
        <w:t xml:space="preserve">Vì sao hợp tác dài hạn và minh bạch thông tin tạo giá trị cho Key Account.</w:t>
      </w:r>
    </w:p>
    <w:p>
      <w:pPr>
        <w:pStyle w:val="ListParagraph"/>
        <w:numPr>
          <w:ilvl w:val="0"/>
          <w:numId w:val="2"/>
        </w:numPr>
        <w:spacing w:after="60"/>
      </w:pPr>
      <w:r>
        <w:t xml:space="preserve">Cách nhận diện xung đột lợi ích trong mạng lưới, đặc biệt xung đột do một bên giữ nhiều vai.</w:t>
      </w:r>
    </w:p>
    <w:p>
      <w:pPr>
        <w:pStyle w:val="ListParagraph"/>
        <w:numPr>
          <w:ilvl w:val="0"/>
          <w:numId w:val="2"/>
        </w:numPr>
        <w:spacing w:after="60"/>
      </w:pPr>
      <w:r>
        <w:t xml:space="preserve">Quy trình năm bước bảo vệ deliverables đã cam kết với Key Account; cách phân loại sự cố theo mức trách nhiệm (SCCT).</w:t>
      </w:r>
    </w:p>
    <w:p>
      <w:pPr>
        <w:pStyle w:val="Heading1"/>
      </w:pPr>
      <w:r>
        <w:t xml:space="preserve">1. Mạng lưới quanh Key Account</w:t>
      </w:r>
    </w:p>
    <w:p>
      <w:pPr>
        <w:spacing w:after="120"/>
      </w:pPr>
      <w:r>
        <w:t xml:space="preserve">Sau Buổi 9–11, Key Account đứng giữa một mạng lưới: nhà tài trợ, nhà cung cấp và địa điểm, báo chí và KOL. Agency nằm ở mọi mối nối, và các bên cũng quan hệ với nhau; có lúc lợi ích của họ va nhau. </w:t>
      </w:r>
      <w:r>
        <w:rPr>
          <w:b/>
          <w:bCs/>
        </w:rPr>
        <w:t xml:space="preserve">Một mạng lưới vỡ ở một mối nối là vỡ cả</w:t>
      </w:r>
      <w:r>
        <w:t xml:space="preserve">: khi một mắt xích hỏng, những bên không tranh chấp (địa điểm, kỹ thuật, khán giả) cũng chịu thiệt.</w:t>
      </w:r>
    </w:p>
    <w:p>
      <w:pPr>
        <w:pStyle w:val="Heading1"/>
      </w:pPr>
      <w:r>
        <w:t xml:space="preserve">2. Giá trị nằm trong quan hệ</w:t>
      </w:r>
    </w:p>
    <w:p>
      <w:pPr>
        <w:spacing w:after="120"/>
      </w:pPr>
      <w:r>
        <w:rPr>
          <w:b/>
          <w:bCs/>
        </w:rPr>
        <w:t xml:space="preserve">Quan điểm quan hệ</w:t>
      </w:r>
      <w:r>
        <w:t xml:space="preserve"> (Dyer &amp; Singh, 1998): nguồn lực then chốt của doanh nghiệp có thể nằm </w:t>
      </w:r>
      <w:r>
        <w:rPr>
          <w:b/>
          <w:bCs/>
        </w:rPr>
        <w:t xml:space="preserve">ngoài ranh giới doanh nghiệp</w:t>
      </w:r>
      <w:r>
        <w:t xml:space="preserve">, trong quan hệ giữa các doanh nghiệp, tạo ra lợi ích gọi là </w:t>
      </w:r>
      <w:r>
        <w:rPr>
          <w:i/>
          <w:iCs/>
        </w:rPr>
        <w:t xml:space="preserve">relational rents</w:t>
      </w:r>
      <w:r>
        <w:t xml:space="preserve">. Bốn nguồn: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91"/>
        <w:gridCol w:w="6647"/>
      </w:tblGrid>
      <w:tr>
        <w:trPr>
          <w:tblHeader/>
        </w:trPr>
        <w:tc>
          <w:tcPr>
            <w:tcW w:type="dxa" w:w="299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Nguồn</w:t>
            </w:r>
          </w:p>
        </w:tc>
        <w:tc>
          <w:tcPr>
            <w:tcW w:type="dxa" w:w="664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Ví dụ với agency sự kiện</w:t>
            </w:r>
          </w:p>
        </w:tc>
      </w:tr>
      <w:tr>
        <w:trPr>
          <w:tblHeader w:val="off"/>
        </w:trPr>
        <w:tc>
          <w:tcPr>
            <w:tcW w:type="dxa" w:w="29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Tài sản đặc thù cho quan hệ</w:t>
            </w:r>
          </w:p>
        </w:tc>
        <w:tc>
          <w:tcPr>
            <w:tcW w:type="dxa" w:w="66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Agency thuộc sơ đồ, quy trình bếp, giờ dựng của khách sạn quen</w:t>
            </w:r>
          </w:p>
        </w:tc>
      </w:tr>
      <w:tr>
        <w:trPr>
          <w:tblHeader w:val="off"/>
        </w:trPr>
        <w:tc>
          <w:tcPr>
            <w:tcW w:type="dxa" w:w="29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Thói quen chia sẻ tri thức</w:t>
            </w:r>
          </w:p>
        </w:tc>
        <w:tc>
          <w:tcPr>
            <w:tcW w:type="dxa" w:w="66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Họp rút kinh nghiệm chung với nhà cung cấp sau mỗi sự kiện</w:t>
            </w:r>
          </w:p>
        </w:tc>
      </w:tr>
      <w:tr>
        <w:trPr>
          <w:tblHeader w:val="off"/>
        </w:trPr>
        <w:tc>
          <w:tcPr>
            <w:tcW w:type="dxa" w:w="29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Nguồn lực bổ trợ</w:t>
            </w:r>
          </w:p>
        </w:tc>
        <w:tc>
          <w:tcPr>
            <w:tcW w:type="dxa" w:w="66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Đơn vị livestream quen cùng AV khách sạn làm được việc mỗi bên không làm một mình</w:t>
            </w:r>
          </w:p>
        </w:tc>
      </w:tr>
      <w:tr>
        <w:trPr>
          <w:tblHeader w:val="off"/>
        </w:trPr>
        <w:tc>
          <w:tcPr>
            <w:tcW w:type="dxa" w:w="299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Quản trị hiệu quả</w:t>
            </w:r>
          </w:p>
        </w:tc>
        <w:tc>
          <w:tcPr>
            <w:tcW w:type="dxa" w:w="664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Hợp đồng khung, cơ chế xử lý tranh chấp đã thống nhất</w:t>
            </w:r>
          </w:p>
        </w:tc>
      </w:tr>
    </w:tbl>
    <w:p>
      <w:pPr>
        <w:spacing w:after="80" w:before="0"/>
      </w:pPr>
    </w:p>
    <w:p>
      <w:pPr>
        <w:spacing w:after="120"/>
      </w:pPr>
      <w:r>
        <w:t xml:space="preserve">“Tận dụng” (leverage) trong môn này là </w:t>
      </w:r>
      <w:r>
        <w:rPr>
          <w:b/>
          <w:bCs/>
        </w:rPr>
        <w:t xml:space="preserve">giá trị do quan hệ dài hạn tạo ra</w:t>
      </w:r>
      <w:r>
        <w:t xml:space="preserve">, không phải dùng thế lớn để ép đối tác.</w:t>
      </w:r>
    </w:p>
    <w:p>
      <w:pPr>
        <w:spacing w:after="120"/>
      </w:pPr>
      <w:r>
        <w:t xml:space="preserve">Đối tác thành công có </w:t>
      </w:r>
      <w:r>
        <w:rPr>
          <w:b/>
          <w:bCs/>
        </w:rPr>
        <w:t xml:space="preserve">cam kết, phối hợp, niềm tin</w:t>
      </w:r>
      <w:r>
        <w:t xml:space="preserve">; </w:t>
      </w:r>
      <w:r>
        <w:rPr>
          <w:b/>
          <w:bCs/>
        </w:rPr>
        <w:t xml:space="preserve">giao tiếp</w:t>
      </w:r>
      <w:r>
        <w:t xml:space="preserve"> chất lượng, chia sẻ, cùng tham gia; và xử lý xung đột bằng </w:t>
      </w:r>
      <w:r>
        <w:rPr>
          <w:b/>
          <w:bCs/>
        </w:rPr>
        <w:t xml:space="preserve">cùng giải quyết vấn đề</w:t>
      </w:r>
      <w:r>
        <w:t xml:space="preserve"> (Mohr &amp; Spekman, 1994). Đây cũng là niềm tin – cam kết của Morgan &amp; Hunt (1994) ở Buổi 4.</w:t>
      </w:r>
    </w:p>
    <w:p>
      <w:pPr>
        <w:pStyle w:val="Heading1"/>
      </w:pPr>
      <w:r>
        <w:t xml:space="preserve">3. Minh bạch trong mạng lưới</w:t>
      </w:r>
    </w:p>
    <w:p>
      <w:pPr>
        <w:spacing w:after="120"/>
      </w:pPr>
      <w:r>
        <w:rPr>
          <w:b/>
          <w:bCs/>
        </w:rPr>
        <w:t xml:space="preserve">Hiệu ứng roi da</w:t>
      </w:r>
      <w:r>
        <w:t xml:space="preserve"> (Lee et al., 1997): thông tin truyền qua mỗi mắt xích bị bóp méo, càng xa càng lệch. Yêu cầu “bàn chay cho 12 khách” đi qua agency, khách sạn, đến bếp có thể thành “12 suất chay” hay “bàn số 12 ăn chay”.</w:t>
      </w:r>
    </w:p>
    <w:p>
      <w:pPr>
        <w:spacing w:after="120"/>
      </w:pPr>
      <w:r>
        <w:rPr>
          <w:b/>
          <w:bCs/>
        </w:rPr>
        <w:t xml:space="preserve">Công cụ minh bạch: APEX Event Specifications Guide (ESG).</w:t>
      </w:r>
      <w:r>
        <w:t xml:space="preserve"> ESG là tài liệu nhà tổ chức dùng để truyền đạt rõ ràng, chính xác mọi yêu cầu của sự kiện tới địa điểm và nhà cung cấp. Ba phần: </w:t>
      </w:r>
      <w:r>
        <w:rPr>
          <w:b/>
          <w:bCs/>
        </w:rPr>
        <w:t xml:space="preserve">Narrative</w:t>
      </w:r>
      <w:r>
        <w:t xml:space="preserve"> (tổng quan), </w:t>
      </w:r>
      <w:r>
        <w:rPr>
          <w:b/>
          <w:bCs/>
        </w:rPr>
        <w:t xml:space="preserve">Function Schedule</w:t>
      </w:r>
      <w:r>
        <w:t xml:space="preserve"> (lịch từng hoạt động), </w:t>
      </w:r>
      <w:r>
        <w:rPr>
          <w:b/>
          <w:bCs/>
        </w:rPr>
        <w:t xml:space="preserve">Function Set-up Order</w:t>
      </w:r>
      <w:r>
        <w:t xml:space="preserve"> (yêu cầu cho từng hoạt động), với ngày sửa đổi và đầu mối chính.</w:t>
      </w:r>
    </w:p>
    <w:p>
      <w:pPr>
        <w:spacing w:after="120"/>
      </w:pPr>
      <w:r>
        <w:rPr>
          <w:b/>
          <w:bCs/>
        </w:rPr>
        <w:t xml:space="preserve">Minh bạch không phải kể hết cho mọi người, mà là mọi bên cùng đọc một phiên bản đúng.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77"/>
        <w:gridCol w:w="5561"/>
      </w:tblGrid>
      <w:tr>
        <w:trPr>
          <w:tblHeader/>
        </w:trPr>
        <w:tc>
          <w:tcPr>
            <w:tcW w:type="dxa" w:w="407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Chia sẻ với cả mạng lưới</w:t>
            </w:r>
          </w:p>
        </w:tc>
        <w:tc>
          <w:tcPr>
            <w:tcW w:type="dxa" w:w="556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Bảo mật</w:t>
            </w:r>
          </w:p>
        </w:tc>
      </w:tr>
      <w:tr>
        <w:trPr>
          <w:tblHeader w:val="off"/>
        </w:trPr>
        <w:tc>
          <w:tcPr>
            <w:tcW w:type="dxa" w:w="40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Yêu cầu, thông số, sơ đồ</w:t>
            </w:r>
          </w:p>
        </w:tc>
        <w:tc>
          <w:tcPr>
            <w:tcW w:type="dxa" w:w="5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Danh sách, thông tin cá nhân khách của Key Account (trừ phần cần thiết, có sự đồng ý)</w:t>
            </w:r>
          </w:p>
        </w:tc>
      </w:tr>
      <w:tr>
        <w:trPr>
          <w:tblHeader w:val="off"/>
        </w:trPr>
        <w:tc>
          <w:tcPr>
            <w:tcW w:type="dxa" w:w="40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Lịch, giờ dựng, mốc duyệt</w:t>
            </w:r>
          </w:p>
        </w:tc>
        <w:tc>
          <w:tcPr>
            <w:tcW w:type="dxa" w:w="5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Giá của nhà cung cấp khác</w:t>
            </w:r>
          </w:p>
        </w:tc>
      </w:tr>
      <w:tr>
        <w:trPr>
          <w:tblHeader w:val="off"/>
        </w:trPr>
        <w:tc>
          <w:tcPr>
            <w:tcW w:type="dxa" w:w="40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Mọi thay đổi kèm ngày sửa đổi</w:t>
            </w:r>
          </w:p>
        </w:tc>
        <w:tc>
          <w:tcPr>
            <w:tcW w:type="dxa" w:w="5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Thông tin nội bộ của Key Account</w:t>
            </w:r>
          </w:p>
        </w:tc>
      </w:tr>
      <w:tr>
        <w:trPr>
          <w:tblHeader w:val="off"/>
        </w:trPr>
        <w:tc>
          <w:tcPr>
            <w:tcW w:type="dxa" w:w="407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Lịch thanh toán; đầu mối và thứ tự leo thang</w:t>
            </w:r>
          </w:p>
        </w:tc>
        <w:tc>
          <w:tcPr>
            <w:tcW w:type="dxa" w:w="556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p>
        </w:tc>
      </w:tr>
    </w:tbl>
    <w:p>
      <w:pPr>
        <w:spacing w:after="80" w:before="0"/>
      </w:pPr>
    </w:p>
    <w:p>
      <w:pPr>
        <w:pStyle w:val="Heading1"/>
      </w:pPr>
      <w:r>
        <w:t xml:space="preserve">4. Xung đột lợi ích trong mạng lưới</w:t>
      </w:r>
    </w:p>
    <w:p>
      <w:pPr>
        <w:spacing w:after="120"/>
      </w:pPr>
      <w:r>
        <w:rPr>
          <w:b/>
          <w:bCs/>
        </w:rPr>
        <w:t xml:space="preserve">Một bên, nhiều vai.</w:t>
      </w:r>
      <w:r>
        <w:t xml:space="preserve"> Getz, Andersson &amp; Larson (2006) thấy bên liên quan chủ chốt thường giữ nhiều vai cùng lúc. Khi các vai đi ngược nhau, xung đột lợi ích xuất hiện.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05"/>
        <w:gridCol w:w="3614"/>
        <w:gridCol w:w="4519"/>
      </w:tblGrid>
      <w:tr>
        <w:trPr>
          <w:tblHeader/>
        </w:trPr>
        <w:tc>
          <w:tcPr>
            <w:tcW w:type="dxa" w:w="1505"/>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Bên</w:t>
            </w:r>
          </w:p>
        </w:tc>
        <w:tc>
          <w:tcPr>
            <w:tcW w:type="dxa" w:w="3614"/>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Các vai</w:t>
            </w:r>
          </w:p>
        </w:tc>
        <w:tc>
          <w:tcPr>
            <w:tcW w:type="dxa" w:w="451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Xung đột có thể xảy ra</w:t>
            </w:r>
          </w:p>
        </w:tc>
      </w:tr>
      <w:tr>
        <w:trPr>
          <w:tblHeader w:val="off"/>
        </w:trPr>
        <w:tc>
          <w:tcPr>
            <w:tcW w:type="dxa" w:w="1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sạn</w:t>
            </w:r>
          </w:p>
        </w:tc>
        <w:tc>
          <w:tcPr>
            <w:tcW w:type="dxa" w:w="36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Địa điểm + nhà cung cấp AV độc quyền</w:t>
            </w:r>
          </w:p>
        </w:tc>
        <w:tc>
          <w:tcPr>
            <w:tcW w:type="dxa" w:w="4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Ưu tiên doanh thu AV hơn chất lượng livestream của Key Account</w:t>
            </w:r>
          </w:p>
        </w:tc>
      </w:tr>
      <w:tr>
        <w:trPr>
          <w:tblHeader w:val="off"/>
        </w:trPr>
        <w:tc>
          <w:tcPr>
            <w:tcW w:type="dxa" w:w="1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tài trợ bảo hiểm</w:t>
            </w:r>
          </w:p>
        </w:tc>
        <w:tc>
          <w:tcPr>
            <w:tcW w:type="dxa" w:w="36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tài trợ + đối tác kinh doanh của Key Account</w:t>
            </w:r>
          </w:p>
        </w:tc>
        <w:tc>
          <w:tcPr>
            <w:tcW w:type="dxa" w:w="4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Muốn bán hàng tại sự kiện, đi ngược trải nghiệm khách VIP</w:t>
            </w:r>
          </w:p>
        </w:tc>
      </w:tr>
      <w:tr>
        <w:trPr>
          <w:tblHeader w:val="off"/>
        </w:trPr>
        <w:tc>
          <w:tcPr>
            <w:tcW w:type="dxa" w:w="1505"/>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Diễn giả</w:t>
            </w:r>
          </w:p>
        </w:tc>
        <w:tc>
          <w:tcPr>
            <w:tcW w:type="dxa" w:w="3614"/>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Diễn giả + khách hàng của Key Account</w:t>
            </w:r>
          </w:p>
        </w:tc>
        <w:tc>
          <w:tcPr>
            <w:tcW w:type="dxa" w:w="451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Muốn quảng bá công ty mình, trong khi nội dung cần trung lập</w:t>
            </w:r>
          </w:p>
        </w:tc>
      </w:tr>
    </w:tbl>
    <w:p>
      <w:pPr>
        <w:spacing w:after="80" w:before="0"/>
      </w:pPr>
    </w:p>
    <w:p>
      <w:pPr>
        <w:spacing w:after="120"/>
      </w:pPr>
      <w:r>
        <w:rPr>
          <w:b/>
          <w:bCs/>
        </w:rPr>
        <w:t xml:space="preserve">Định nghĩa làm việc của môn:</w:t>
      </w:r>
      <w:r>
        <w:t xml:space="preserve"> xung đột lợi ích là khi lợi ích của một bên bên ngoài, hoặc các vai khác nhau của cùng một bên, đi ngược những gì agency đã cam kết với Key Account.</w:t>
      </w:r>
    </w:p>
    <w:p>
      <w:pPr>
        <w:spacing w:after="120"/>
      </w:pPr>
      <w:r>
        <w:rPr>
          <w:b/>
          <w:bCs/>
        </w:rPr>
        <w:t xml:space="preserve">“Quảng trường chợ chính trị”</w:t>
      </w:r>
      <w:r>
        <w:t xml:space="preserve"> (Larson &amp; Wikström, 2001). Mạng lưới sự kiện là không gian mở, nơi mỗi bên theo đuổi lợi ích riêng, có quyền lực và xung đột, và không ai có quyền hợp pháp với toàn mạng lưới. Xung đột là bình thường; nhiệm vụ của agency là </w:t>
      </w:r>
      <w:r>
        <w:rPr>
          <w:b/>
          <w:bCs/>
        </w:rPr>
        <w:t xml:space="preserve">quản lý</w:t>
      </w:r>
      <w:r>
        <w:t xml:space="preserve"> nó, không xóa nó.</w:t>
      </w:r>
    </w:p>
    <w:p>
      <w:pPr>
        <w:spacing w:after="120"/>
      </w:pPr>
      <w:r>
        <w:rPr>
          <w:b/>
          <w:bCs/>
        </w:rPr>
        <w:t xml:space="preserve">Đồng thuận và xung đột đan xen.</w:t>
      </w:r>
      <w:r>
        <w:t xml:space="preserve"> Larson &amp; Wikström (2001) nhìn mỗi quan hệ theo sáu chiều:</w:t>
      </w:r>
    </w:p>
    <w:p>
      <w:pPr>
        <w:pStyle w:val="ListParagraph"/>
        <w:numPr>
          <w:ilvl w:val="0"/>
          <w:numId w:val="3"/>
        </w:numPr>
        <w:spacing w:after="60"/>
      </w:pPr>
      <w:r>
        <w:t xml:space="preserve">lợi ích chung hay khác nhau;</w:t>
      </w:r>
    </w:p>
    <w:p>
      <w:pPr>
        <w:pStyle w:val="ListParagraph"/>
        <w:numPr>
          <w:ilvl w:val="0"/>
          <w:numId w:val="3"/>
        </w:numPr>
        <w:spacing w:after="60"/>
      </w:pPr>
      <w:r>
        <w:t xml:space="preserve">hài hòa hay căng thẳng;</w:t>
      </w:r>
    </w:p>
    <w:p>
      <w:pPr>
        <w:pStyle w:val="ListParagraph"/>
        <w:numPr>
          <w:ilvl w:val="0"/>
          <w:numId w:val="3"/>
        </w:numPr>
        <w:spacing w:after="60"/>
      </w:pPr>
      <w:r>
        <w:t xml:space="preserve">hợp tác hay trò chơi quyền lực;</w:t>
      </w:r>
    </w:p>
    <w:p>
      <w:pPr>
        <w:pStyle w:val="ListParagraph"/>
        <w:numPr>
          <w:ilvl w:val="0"/>
          <w:numId w:val="3"/>
        </w:numPr>
        <w:spacing w:after="60"/>
      </w:pPr>
      <w:r>
        <w:t xml:space="preserve">cam kết chung hay riêng;</w:t>
      </w:r>
    </w:p>
    <w:p>
      <w:pPr>
        <w:pStyle w:val="ListParagraph"/>
        <w:numPr>
          <w:ilvl w:val="0"/>
          <w:numId w:val="3"/>
        </w:numPr>
        <w:spacing w:after="60"/>
      </w:pPr>
      <w:r>
        <w:t xml:space="preserve">niềm tin hay nghi ngờ;</w:t>
      </w:r>
    </w:p>
    <w:p>
      <w:pPr>
        <w:pStyle w:val="ListParagraph"/>
        <w:numPr>
          <w:ilvl w:val="0"/>
          <w:numId w:val="3"/>
        </w:numPr>
        <w:spacing w:after="60"/>
      </w:pPr>
      <w:r>
        <w:t xml:space="preserve">đối thoại hay đàm phán.</w:t>
      </w:r>
    </w:p>
    <w:p>
      <w:pPr>
        <w:spacing w:after="120"/>
      </w:pPr>
      <w:r>
        <w:t xml:space="preserve">Dự án có </w:t>
      </w:r>
      <w:r>
        <w:rPr>
          <w:b/>
          <w:bCs/>
        </w:rPr>
        <w:t xml:space="preserve">tính chính danh</w:t>
      </w:r>
      <w:r>
        <w:t xml:space="preserve"> thấp thì thiên về xung đột. Hai chiến lược: </w:t>
      </w:r>
      <w:r>
        <w:rPr>
          <w:b/>
          <w:bCs/>
        </w:rPr>
        <w:t xml:space="preserve">xây tính chính danh</w:t>
      </w:r>
      <w:r>
        <w:t xml:space="preserve"> khi chưa được thừa nhận; </w:t>
      </w:r>
      <w:r>
        <w:rPr>
          <w:b/>
          <w:bCs/>
        </w:rPr>
        <w:t xml:space="preserve">xây cam kết chung</w:t>
      </w:r>
      <w:r>
        <w:t xml:space="preserve"> khi đã có chính danh.</w:t>
      </w:r>
    </w:p>
    <w:p>
      <w:pPr>
        <w:pStyle w:val="Heading1"/>
      </w:pPr>
      <w:r>
        <w:t xml:space="preserve">5. Năm bước bảo vệ deliverables</w:t>
      </w:r>
    </w:p>
    <w:p>
      <w:pPr>
        <w:pStyle w:val="ListParagraph"/>
        <w:numPr>
          <w:ilvl w:val="0"/>
          <w:numId w:val="4"/>
        </w:numPr>
        <w:spacing w:after="60"/>
      </w:pPr>
      <w:r>
        <w:rPr>
          <w:b/>
          <w:bCs/>
        </w:rPr>
        <w:t xml:space="preserve">Deliverable nào bị đe dọa?</w:t>
      </w:r>
      <w:r>
        <w:t xml:space="preserve"> Bắt đầu từ cam kết với Key Account, không từ bên đang to tiếng nhất.</w:t>
      </w:r>
    </w:p>
    <w:p>
      <w:pPr>
        <w:pStyle w:val="ListParagraph"/>
        <w:numPr>
          <w:ilvl w:val="0"/>
          <w:numId w:val="4"/>
        </w:numPr>
        <w:spacing w:after="60"/>
      </w:pPr>
      <w:r>
        <w:rPr>
          <w:b/>
          <w:bCs/>
        </w:rPr>
        <w:t xml:space="preserve">Ai liên quan, giữ vai gì, nổi bật đến đâu?</w:t>
      </w:r>
      <w:r>
        <w:t xml:space="preserve"> (Salience, Buổi 1)</w:t>
      </w:r>
    </w:p>
    <w:p>
      <w:pPr>
        <w:pStyle w:val="ListParagraph"/>
        <w:numPr>
          <w:ilvl w:val="0"/>
          <w:numId w:val="4"/>
        </w:numPr>
        <w:spacing w:after="60"/>
      </w:pPr>
      <w:r>
        <w:rPr>
          <w:b/>
          <w:bCs/>
        </w:rPr>
        <w:t xml:space="preserve">Lợi ích đằng sau lập trường.</w:t>
      </w:r>
      <w:r>
        <w:t xml:space="preserve"> Nhà tài trợ đòi bàn tư vấn cạnh khu tiệc, nhưng điều họ cần là khách hẹn gặp (Buổi 7).</w:t>
      </w:r>
    </w:p>
    <w:p>
      <w:pPr>
        <w:pStyle w:val="ListParagraph"/>
        <w:numPr>
          <w:ilvl w:val="0"/>
          <w:numId w:val="4"/>
        </w:numPr>
        <w:spacing w:after="60"/>
      </w:pPr>
      <w:r>
        <w:rPr>
          <w:b/>
          <w:bCs/>
        </w:rPr>
        <w:t xml:space="preserve">Cùng giải quyết;</w:t>
      </w:r>
      <w:r>
        <w:t xml:space="preserve"> nếu không được, leo thang theo thứ tự đã thống nhất.</w:t>
      </w:r>
    </w:p>
    <w:p>
      <w:pPr>
        <w:pStyle w:val="ListParagraph"/>
        <w:numPr>
          <w:ilvl w:val="0"/>
          <w:numId w:val="4"/>
        </w:numPr>
        <w:spacing w:after="60"/>
      </w:pPr>
      <w:r>
        <w:rPr>
          <w:b/>
          <w:bCs/>
        </w:rPr>
        <w:t xml:space="preserve">Báo Key Account minh bạch</w:t>
      </w:r>
      <w:r>
        <w:t xml:space="preserve"> và cập nhật ESG cho mọi bên.</w:t>
      </w:r>
    </w:p>
    <w:p>
      <w:pPr>
        <w:spacing w:after="120"/>
      </w:pPr>
      <w:r>
        <w:rPr>
          <w:b/>
          <w:bCs/>
        </w:rPr>
        <w:t xml:space="preserve">Tin nhắn báo Key Account gồm bốn ý:</w:t>
      </w:r>
    </w:p>
    <w:p>
      <w:pPr>
        <w:pStyle w:val="ListParagraph"/>
        <w:numPr>
          <w:ilvl w:val="0"/>
          <w:numId w:val="5"/>
        </w:numPr>
        <w:spacing w:after="60"/>
      </w:pPr>
      <w:r>
        <w:t xml:space="preserve">chuyện gì;</w:t>
      </w:r>
    </w:p>
    <w:p>
      <w:pPr>
        <w:pStyle w:val="ListParagraph"/>
        <w:numPr>
          <w:ilvl w:val="0"/>
          <w:numId w:val="5"/>
        </w:numPr>
        <w:spacing w:after="60"/>
      </w:pPr>
      <w:r>
        <w:t xml:space="preserve">ảnh hưởng gì;</w:t>
      </w:r>
    </w:p>
    <w:p>
      <w:pPr>
        <w:pStyle w:val="ListParagraph"/>
        <w:numPr>
          <w:ilvl w:val="0"/>
          <w:numId w:val="5"/>
        </w:numPr>
        <w:spacing w:after="60"/>
      </w:pPr>
      <w:r>
        <w:t xml:space="preserve">agency đề xuất gì;</w:t>
      </w:r>
    </w:p>
    <w:p>
      <w:pPr>
        <w:pStyle w:val="ListParagraph"/>
        <w:numPr>
          <w:ilvl w:val="0"/>
          <w:numId w:val="5"/>
        </w:numPr>
        <w:spacing w:after="60"/>
      </w:pPr>
      <w:r>
        <w:t xml:space="preserve">cần Key Account quyết gì.</w:t>
      </w:r>
    </w:p>
    <w:p>
      <w:pPr>
        <w:spacing w:after="120"/>
      </w:pPr>
      <w:r>
        <w:rPr>
          <w:i/>
          <w:iCs/>
        </w:rPr>
        <w:t xml:space="preserve">Ví dụ (giả định):</w:t>
      </w:r>
      <w:r>
        <w:t xml:space="preserve"> “Khách sạn lùi giờ dựng từ 8 giờ sang 13 giờ vì tiệc cưới tối hôm trước. Thời gian dựng và thử livestream còn 5 tiếng thay vì 10. Nova đề xuất dựng trước phần LED tại phòng phụ, thử livestream từ 13 giờ 30, bổ sung 4 kỹ thuật viên. Anh quyết: lùi tổng duyệt sang 16 giờ, hay yêu cầu khách sạn bồi hoàn theo hợp đồng?”</w:t>
      </w:r>
    </w:p>
    <w:p>
      <w:pPr>
        <w:spacing w:after="120"/>
      </w:pPr>
      <w:r>
        <w:rPr>
          <w:b/>
          <w:bCs/>
        </w:rPr>
        <w:t xml:space="preserve">Giấu Key Account là cách mất niềm tin nhanh nhất.</w:t>
      </w:r>
    </w:p>
    <w:p>
      <w:pPr>
        <w:pStyle w:val="Heading1"/>
      </w:pPr>
      <w:r>
        <w:t xml:space="preserve">6. Khi một bên trong mạng lưới gây sự cố</w:t>
      </w:r>
    </w:p>
    <w:p>
      <w:pPr>
        <w:spacing w:after="120"/>
      </w:pPr>
      <w:r>
        <w:rPr>
          <w:b/>
          <w:bCs/>
        </w:rPr>
        <w:t xml:space="preserve">SCCT</w:t>
      </w:r>
      <w:r>
        <w:t xml:space="preserve"> (Coombs, 2007): mức đe dọa danh tiếng phụ thuộc </w:t>
      </w:r>
      <w:r>
        <w:rPr>
          <w:b/>
          <w:bCs/>
        </w:rPr>
        <w:t xml:space="preserve">trách nhiệm mà bên liên quan quy cho tổ chức</w:t>
      </w:r>
      <w:r>
        <w:t xml:space="preser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8"/>
        <w:gridCol w:w="2370"/>
        <w:gridCol w:w="4740"/>
      </w:tblGrid>
      <w:tr>
        <w:trPr>
          <w:tblHeader/>
        </w:trPr>
        <w:tc>
          <w:tcPr>
            <w:tcW w:type="dxa" w:w="252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Nhóm</w:t>
            </w:r>
          </w:p>
        </w:tc>
        <w:tc>
          <w:tcPr>
            <w:tcW w:type="dxa" w:w="237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Mức trách nhiệm</w:t>
            </w:r>
          </w:p>
        </w:tc>
        <w:tc>
          <w:tcPr>
            <w:tcW w:type="dxa" w:w="4740"/>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Ví dụ</w:t>
            </w:r>
          </w:p>
        </w:tc>
      </w:tr>
      <w:tr>
        <w:trPr>
          <w:tblHeader w:val="off"/>
        </w:trPr>
        <w:tc>
          <w:tcPr>
            <w:tcW w:type="dxa" w:w="25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Nạn nhân</w:t>
            </w:r>
          </w:p>
        </w:tc>
        <w:tc>
          <w:tcPr>
            <w:tcW w:type="dxa" w:w="23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Rất thấp</w:t>
            </w:r>
          </w:p>
        </w:tc>
        <w:tc>
          <w:tcPr>
            <w:tcW w:type="dxa" w:w="47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Tin đồn, bị giả mạo</w:t>
            </w:r>
          </w:p>
        </w:tc>
      </w:tr>
      <w:tr>
        <w:trPr>
          <w:tblHeader w:val="off"/>
        </w:trPr>
        <w:tc>
          <w:tcPr>
            <w:tcW w:type="dxa" w:w="25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Tai nạn</w:t>
            </w:r>
          </w:p>
        </w:tc>
        <w:tc>
          <w:tcPr>
            <w:tcW w:type="dxa" w:w="23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Thấp</w:t>
            </w:r>
          </w:p>
        </w:tc>
        <w:tc>
          <w:tcPr>
            <w:tcW w:type="dxa" w:w="47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Lỗi kỹ thuật không lường trước</w:t>
            </w:r>
          </w:p>
        </w:tc>
      </w:tr>
      <w:tr>
        <w:trPr>
          <w:tblHeader w:val="off"/>
        </w:trPr>
        <w:tc>
          <w:tcPr>
            <w:tcW w:type="dxa" w:w="252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Có thể ngăn ngừa</w:t>
            </w:r>
          </w:p>
        </w:tc>
        <w:tc>
          <w:tcPr>
            <w:tcW w:type="dxa" w:w="237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Rất cao</w:t>
            </w:r>
          </w:p>
        </w:tc>
        <w:tc>
          <w:tcPr>
            <w:tcW w:type="dxa" w:w="4740"/>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Lỗi con người, sai phạm</w:t>
            </w:r>
          </w:p>
        </w:tc>
      </w:tr>
    </w:tbl>
    <w:p>
      <w:pPr>
        <w:spacing w:after="80" w:before="0"/>
      </w:pPr>
    </w:p>
    <w:p>
      <w:pPr>
        <w:spacing w:after="120"/>
      </w:pPr>
      <w:r>
        <w:t xml:space="preserve">Mức đe dọa còn tăng theo lịch sử khủng hoảng và danh tiếng trước đó. Một diễn giả vướng vụ việc ban đầu đặt Key Account gần nhóm nạn nhân. Nhưng nếu thông tin đã có từ trước mà không ai kiểm tra, khách sẽ thấy đó là lỗi có thể ngăn ngừa. Đó là lý do của due diligence (Buổi 11).</w:t>
      </w:r>
    </w:p>
    <w:p>
      <w:pPr>
        <w:spacing w:after="120"/>
      </w:pPr>
      <w:r>
        <w:rPr>
          <w:b/>
          <w:bCs/>
        </w:rPr>
        <w:t xml:space="preserve">Chiến lược phản hồi</w:t>
      </w:r>
      <w:r>
        <w:t xml:space="preserve"> (Coombs, 2007):</w:t>
      </w:r>
    </w:p>
    <w:p>
      <w:pPr>
        <w:pStyle w:val="ListParagraph"/>
        <w:numPr>
          <w:ilvl w:val="0"/>
          <w:numId w:val="3"/>
        </w:numPr>
        <w:spacing w:after="60"/>
      </w:pPr>
      <w:r>
        <w:rPr>
          <w:b/>
          <w:bCs/>
        </w:rPr>
        <w:t xml:space="preserve">Phủ nhận:</w:t>
      </w:r>
      <w:r>
        <w:t xml:space="preserve"> chỉ khi thông tin thật sự sai (tin đồn).</w:t>
      </w:r>
    </w:p>
    <w:p>
      <w:pPr>
        <w:pStyle w:val="ListParagraph"/>
        <w:numPr>
          <w:ilvl w:val="0"/>
          <w:numId w:val="3"/>
        </w:numPr>
        <w:spacing w:after="60"/>
      </w:pPr>
      <w:r>
        <w:rPr>
          <w:b/>
          <w:bCs/>
        </w:rPr>
        <w:t xml:space="preserve">Giảm nhẹ</w:t>
      </w:r>
      <w:r>
        <w:t xml:space="preserve"> (giải thích, bào chữa): hợp với nhóm tai nạn.</w:t>
      </w:r>
    </w:p>
    <w:p>
      <w:pPr>
        <w:pStyle w:val="ListParagraph"/>
        <w:numPr>
          <w:ilvl w:val="0"/>
          <w:numId w:val="3"/>
        </w:numPr>
        <w:spacing w:after="60"/>
      </w:pPr>
      <w:r>
        <w:rPr>
          <w:b/>
          <w:bCs/>
        </w:rPr>
        <w:t xml:space="preserve">Xây lại</w:t>
      </w:r>
      <w:r>
        <w:t xml:space="preserve"> (xin lỗi, bồi thường, sửa sai): cần khi trách nhiệm cao.</w:t>
      </w:r>
    </w:p>
    <w:p>
      <w:pPr>
        <w:pStyle w:val="ListParagraph"/>
        <w:numPr>
          <w:ilvl w:val="0"/>
          <w:numId w:val="3"/>
        </w:numPr>
        <w:spacing w:after="60"/>
      </w:pPr>
      <w:r>
        <w:rPr>
          <w:b/>
          <w:bCs/>
        </w:rPr>
        <w:t xml:space="preserve">Bổ trợ:</w:t>
      </w:r>
      <w:r>
        <w:t xml:space="preserve"> tri ân, bày tỏ quan tâm đến người bị ảnh hưởng.</w:t>
      </w:r>
    </w:p>
    <w:p>
      <w:pPr>
        <w:spacing w:after="120"/>
      </w:pPr>
      <w:r>
        <w:t xml:space="preserve">Nguyên tắc đã học ở môn PR: </w:t>
      </w:r>
      <w:r>
        <w:rPr>
          <w:b/>
          <w:bCs/>
        </w:rPr>
        <w:t xml:space="preserve">nói sớm và nói sự thật</w:t>
      </w:r>
      <w:r>
        <w:t xml:space="preserve">; không nói dối, chối bỏ, che giấu.</w:t>
      </w:r>
    </w:p>
    <w:p>
      <w:pPr>
        <w:spacing w:after="120"/>
      </w:pPr>
      <w:r>
        <w:rPr>
          <w:b/>
          <w:bCs/>
        </w:rPr>
        <w:t xml:space="preserve">Ma trận phản hồi:</w:t>
      </w:r>
      <w:r>
        <w:t xml:space="preserve"> mỗi đối tượng một thông điệp, một kênh, một thời điểm, một người nói.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21"/>
        <w:gridCol w:w="3623"/>
        <w:gridCol w:w="2246"/>
        <w:gridCol w:w="2248"/>
      </w:tblGrid>
      <w:tr>
        <w:trPr>
          <w:tblHeader/>
        </w:trPr>
        <w:tc>
          <w:tcPr>
            <w:tcW w:type="dxa" w:w="1521"/>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Đối tượng</w:t>
            </w:r>
          </w:p>
        </w:tc>
        <w:tc>
          <w:tcPr>
            <w:tcW w:type="dxa" w:w="3623"/>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Thông điệp</w:t>
            </w:r>
          </w:p>
        </w:tc>
        <w:tc>
          <w:tcPr>
            <w:tcW w:type="dxa" w:w="224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Kênh, thời điểm</w:t>
            </w:r>
          </w:p>
        </w:tc>
        <w:tc>
          <w:tcPr>
            <w:tcW w:type="dxa" w:w="2248"/>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Người nói</w:t>
            </w:r>
          </w:p>
        </w:tc>
      </w:tr>
      <w:tr>
        <w:trPr>
          <w:tblHeader w:val="off"/>
        </w:trPr>
        <w:tc>
          <w:tcPr>
            <w:tcW w:type="dxa" w:w="15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Khách của Key Account</w:t>
            </w:r>
          </w:p>
        </w:tc>
        <w:tc>
          <w:tcPr>
            <w:tcW w:type="dxa" w:w="36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Chuyện gì, ảnh hưởng gì đến họ, Key Account làm gì</w:t>
            </w:r>
          </w:p>
        </w:tc>
        <w:tc>
          <w:tcPr>
            <w:tcW w:type="dxa" w:w="22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Gửi riêng, sớm nhất</w:t>
            </w:r>
          </w:p>
        </w:tc>
        <w:tc>
          <w:tcPr>
            <w:tcW w:type="dxa" w:w="22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Key Account</w:t>
            </w:r>
          </w:p>
        </w:tc>
      </w:tr>
      <w:tr>
        <w:trPr>
          <w:tblHeader w:val="off"/>
        </w:trPr>
        <w:tc>
          <w:tcPr>
            <w:tcW w:type="dxa" w:w="15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tài trợ</w:t>
            </w:r>
          </w:p>
        </w:tc>
        <w:tc>
          <w:tcPr>
            <w:tcW w:type="dxa" w:w="36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Ảnh hưởng đến quyền lợi, phương án bù</w:t>
            </w:r>
          </w:p>
        </w:tc>
        <w:tc>
          <w:tcPr>
            <w:tcW w:type="dxa" w:w="22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Gọi trực tiếp trước khi công bố</w:t>
            </w:r>
          </w:p>
        </w:tc>
        <w:tc>
          <w:tcPr>
            <w:tcW w:type="dxa" w:w="22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Key Account (agency hỗ trợ)</w:t>
            </w:r>
          </w:p>
        </w:tc>
      </w:tr>
      <w:tr>
        <w:trPr>
          <w:tblHeader w:val="off"/>
        </w:trPr>
        <w:tc>
          <w:tcPr>
            <w:tcW w:type="dxa" w:w="15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cung cấp</w:t>
            </w:r>
          </w:p>
        </w:tc>
        <w:tc>
          <w:tcPr>
            <w:tcW w:type="dxa" w:w="36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Thay đổi yêu cầu, lịch</w:t>
            </w:r>
          </w:p>
        </w:tc>
        <w:tc>
          <w:tcPr>
            <w:tcW w:type="dxa" w:w="22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Cập nhật ESG ngay</w:t>
            </w:r>
          </w:p>
        </w:tc>
        <w:tc>
          <w:tcPr>
            <w:tcW w:type="dxa" w:w="22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Agency</w:t>
            </w:r>
          </w:p>
        </w:tc>
      </w:tr>
      <w:tr>
        <w:trPr>
          <w:tblHeader w:val="off"/>
        </w:trPr>
        <w:tc>
          <w:tcPr>
            <w:tcW w:type="dxa" w:w="1521"/>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Báo chí</w:t>
            </w:r>
          </w:p>
        </w:tc>
        <w:tc>
          <w:tcPr>
            <w:tcW w:type="dxa" w:w="3623"/>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Thông tin đã xác minh</w:t>
            </w:r>
          </w:p>
        </w:tc>
        <w:tc>
          <w:tcPr>
            <w:tcW w:type="dxa" w:w="224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Theo kế hoạch</w:t>
            </w:r>
          </w:p>
        </w:tc>
        <w:tc>
          <w:tcPr>
            <w:tcW w:type="dxa" w:w="2248"/>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Người phát ngôn của Key Account</w:t>
            </w:r>
          </w:p>
        </w:tc>
      </w:tr>
    </w:tbl>
    <w:p>
      <w:pPr>
        <w:spacing w:after="80" w:before="0"/>
      </w:pPr>
    </w:p>
    <w:p>
      <w:pPr>
        <w:spacing w:after="120"/>
      </w:pPr>
      <w:r>
        <w:rPr>
          <w:b/>
          <w:bCs/>
        </w:rPr>
        <w:t xml:space="preserve">Vai trò của agency:</w:t>
      </w:r>
    </w:p>
    <w:p>
      <w:pPr>
        <w:pStyle w:val="ListParagraph"/>
        <w:numPr>
          <w:ilvl w:val="0"/>
          <w:numId w:val="3"/>
        </w:numPr>
        <w:spacing w:after="60"/>
      </w:pPr>
      <w:r>
        <w:t xml:space="preserve">xác minh sự việc, không phản ứng theo tin đồn;</w:t>
      </w:r>
    </w:p>
    <w:p>
      <w:pPr>
        <w:pStyle w:val="ListParagraph"/>
        <w:numPr>
          <w:ilvl w:val="0"/>
          <w:numId w:val="3"/>
        </w:numPr>
        <w:spacing w:after="60"/>
      </w:pPr>
      <w:r>
        <w:t xml:space="preserve">giữ deliverables (phương án dự phòng);</w:t>
      </w:r>
    </w:p>
    <w:p>
      <w:pPr>
        <w:pStyle w:val="ListParagraph"/>
        <w:numPr>
          <w:ilvl w:val="0"/>
          <w:numId w:val="3"/>
        </w:numPr>
        <w:spacing w:after="60"/>
      </w:pPr>
      <w:r>
        <w:t xml:space="preserve">khuyến nghị mức phản hồi, soạn ma trận và bản nháp;</w:t>
      </w:r>
    </w:p>
    <w:p>
      <w:pPr>
        <w:pStyle w:val="ListParagraph"/>
        <w:numPr>
          <w:ilvl w:val="0"/>
          <w:numId w:val="3"/>
        </w:numPr>
        <w:spacing w:after="60"/>
      </w:pPr>
      <w:r>
        <w:t xml:space="preserve">ghi vào báo cáo sau sự kiện.</w:t>
      </w:r>
    </w:p>
    <w:p>
      <w:pPr>
        <w:spacing w:after="120"/>
      </w:pPr>
      <w:r>
        <w:rPr>
          <w:b/>
          <w:bCs/>
        </w:rPr>
        <w:t xml:space="preserve">Agency không nói thay Key Account; Key Account quyết và phát ngôn.</w:t>
      </w:r>
      <w:r>
        <w:t xml:space="preserve"> Nếu báo chí đưa tin chưa chính xác, Luật Báo chí 2025 (Điều 36) cho tổ chức quyền gửi ý kiến phản hồi bằng văn bản.</w:t>
      </w:r>
    </w:p>
    <w:p>
      <w:pPr>
        <w:spacing w:after="120"/>
      </w:pPr>
      <w:r>
        <w:rPr>
          <w:b/>
          <w:bCs/>
        </w:rPr>
        <w:t xml:space="preserve">Năm câu hỏi khi một bên gây sự cố:</w:t>
      </w:r>
    </w:p>
    <w:p>
      <w:pPr>
        <w:pStyle w:val="ListParagraph"/>
        <w:numPr>
          <w:ilvl w:val="0"/>
          <w:numId w:val="6"/>
        </w:numPr>
        <w:spacing w:after="60"/>
      </w:pPr>
      <w:r>
        <w:t xml:space="preserve">Sự việc đã được xác minh chưa?</w:t>
      </w:r>
    </w:p>
    <w:p>
      <w:pPr>
        <w:pStyle w:val="ListParagraph"/>
        <w:numPr>
          <w:ilvl w:val="0"/>
          <w:numId w:val="6"/>
        </w:numPr>
        <w:spacing w:after="60"/>
      </w:pPr>
      <w:r>
        <w:t xml:space="preserve">Trong mắt khách của Key Account, ai chịu trách nhiệm?</w:t>
      </w:r>
    </w:p>
    <w:p>
      <w:pPr>
        <w:pStyle w:val="ListParagraph"/>
        <w:numPr>
          <w:ilvl w:val="0"/>
          <w:numId w:val="6"/>
        </w:numPr>
        <w:spacing w:after="60"/>
      </w:pPr>
      <w:r>
        <w:t xml:space="preserve">Deliverable nào bị ảnh hưởng, phương án dự phòng là gì?</w:t>
      </w:r>
    </w:p>
    <w:p>
      <w:pPr>
        <w:pStyle w:val="ListParagraph"/>
        <w:numPr>
          <w:ilvl w:val="0"/>
          <w:numId w:val="6"/>
        </w:numPr>
        <w:spacing w:after="60"/>
      </w:pPr>
      <w:r>
        <w:t xml:space="preserve">Agency khuyến nghị phản hồi ở mức nào?</w:t>
      </w:r>
    </w:p>
    <w:p>
      <w:pPr>
        <w:pStyle w:val="ListParagraph"/>
        <w:numPr>
          <w:ilvl w:val="0"/>
          <w:numId w:val="6"/>
        </w:numPr>
        <w:spacing w:after="60"/>
      </w:pPr>
      <w:r>
        <w:t xml:space="preserve">Ai báo cho ai, khi nào?</w:t>
      </w:r>
    </w:p>
    <w:p>
      <w:pPr>
        <w:pStyle w:val="Heading1"/>
      </w:pPr>
      <w:r>
        <w:t xml:space="preserve">7. Phần 3 khép lại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17"/>
        <w:gridCol w:w="3072"/>
        <w:gridCol w:w="5449"/>
      </w:tblGrid>
      <w:tr>
        <w:trPr>
          <w:tblHeader/>
        </w:trPr>
        <w:tc>
          <w:tcPr>
            <w:tcW w:type="dxa" w:w="1117"/>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Buổi</w:t>
            </w:r>
          </w:p>
        </w:tc>
        <w:tc>
          <w:tcPr>
            <w:tcW w:type="dxa" w:w="307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Bên liên quan</w:t>
            </w:r>
          </w:p>
        </w:tc>
        <w:tc>
          <w:tcPr>
            <w:tcW w:type="dxa" w:w="5449"/>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Vai trò trên hành trình của Key Account</w:t>
            </w:r>
          </w:p>
        </w:tc>
      </w:tr>
      <w:tr>
        <w:trPr>
          <w:tblHeader w:val="off"/>
        </w:trPr>
        <w:tc>
          <w:tcPr>
            <w:tcW w:type="dxa" w:w="11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9</w:t>
            </w:r>
          </w:p>
        </w:tc>
        <w:tc>
          <w:tcPr>
            <w:tcW w:type="dxa" w:w="30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tài trợ</w:t>
            </w:r>
          </w:p>
        </w:tc>
        <w:tc>
          <w:tcPr>
            <w:tcW w:type="dxa" w:w="54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Làm giàu trải nghiệm của khách</w:t>
            </w:r>
          </w:p>
        </w:tc>
      </w:tr>
      <w:tr>
        <w:trPr>
          <w:tblHeader w:val="off"/>
        </w:trPr>
        <w:tc>
          <w:tcPr>
            <w:tcW w:type="dxa" w:w="11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10</w:t>
            </w:r>
          </w:p>
        </w:tc>
        <w:tc>
          <w:tcPr>
            <w:tcW w:type="dxa" w:w="30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Nhà cung cấp, địa điểm</w:t>
            </w:r>
          </w:p>
        </w:tc>
        <w:tc>
          <w:tcPr>
            <w:tcW w:type="dxa" w:w="54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Điểm chạm ở giai đoạn mua và sau mua</w:t>
            </w:r>
          </w:p>
        </w:tc>
      </w:tr>
      <w:tr>
        <w:trPr>
          <w:tblHeader w:val="off"/>
        </w:trPr>
        <w:tc>
          <w:tcPr>
            <w:tcW w:type="dxa" w:w="11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11</w:t>
            </w:r>
          </w:p>
        </w:tc>
        <w:tc>
          <w:tcPr>
            <w:tcW w:type="dxa" w:w="30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Báo chí, KOL</w:t>
            </w:r>
          </w:p>
        </w:tc>
        <w:tc>
          <w:tcPr>
            <w:tcW w:type="dxa" w:w="54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Khuếch đại điểm chạm trước sự kiện</w:t>
            </w:r>
          </w:p>
        </w:tc>
      </w:tr>
      <w:tr>
        <w:trPr>
          <w:tblHeader w:val="off"/>
        </w:trPr>
        <w:tc>
          <w:tcPr>
            <w:tcW w:type="dxa" w:w="1117"/>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12</w:t>
            </w:r>
          </w:p>
        </w:tc>
        <w:tc>
          <w:tcPr>
            <w:tcW w:type="dxa" w:w="30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Cả mạng lưới</w:t>
            </w:r>
          </w:p>
        </w:tc>
        <w:tc>
          <w:tcPr>
            <w:tcW w:type="dxa" w:w="5449"/>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Minh bạch, xử lý xung đột, sự cố</w:t>
            </w:r>
          </w:p>
        </w:tc>
      </w:tr>
    </w:tbl>
    <w:p>
      <w:pPr>
        <w:spacing w:after="80" w:before="0"/>
      </w:pPr>
    </w:p>
    <w:p>
      <w:pPr>
        <w:pStyle w:val="Heading1"/>
      </w:pPr>
      <w:r>
        <w:t xml:space="preserve">Thuật ngữ chính</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766"/>
        <w:gridCol w:w="5872"/>
      </w:tblGrid>
      <w:tr>
        <w:trPr>
          <w:tblHeader/>
        </w:trPr>
        <w:tc>
          <w:tcPr>
            <w:tcW w:type="dxa" w:w="3766"/>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Thuật ngữ</w:t>
            </w:r>
          </w:p>
        </w:tc>
        <w:tc>
          <w:tcPr>
            <w:tcW w:type="dxa" w:w="5872"/>
            <w:tcBorders>
              <w:top w:val="single" w:color="B7C4D6" w:sz="4"/>
              <w:left w:val="single" w:color="B7C4D6" w:sz="4"/>
              <w:bottom w:val="single" w:color="B7C4D6" w:sz="4"/>
              <w:right w:val="single" w:color="B7C4D6" w:sz="4"/>
            </w:tcBorders>
            <w:shd w:fill="D6ECE5" w:color="auto" w:val="clear"/>
            <w:tcMar>
              <w:top w:type="dxa" w:w="60"/>
              <w:left w:type="dxa" w:w="100"/>
              <w:bottom w:type="dxa" w:w="60"/>
              <w:right w:type="dxa" w:w="100"/>
            </w:tcMar>
          </w:tcPr>
          <w:p>
            <w:pPr>
              <w:spacing w:after="0" w:before="0"/>
            </w:pPr>
            <w:r>
              <w:rPr>
                <w:b/>
                <w:bCs/>
                <w:color w:val="172849"/>
                <w:sz w:val="20"/>
                <w:szCs w:val="20"/>
              </w:rPr>
              <w:t xml:space="preserve">Nghĩa</w:t>
            </w:r>
          </w:p>
        </w:tc>
      </w:tr>
      <w:tr>
        <w:trPr>
          <w:tblHeader w:val="off"/>
        </w:trPr>
        <w:tc>
          <w:tcPr>
            <w:tcW w:type="dxa" w:w="3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Relational view / relational rents</w:t>
            </w:r>
          </w:p>
        </w:tc>
        <w:tc>
          <w:tcPr>
            <w:tcW w:type="dxa" w:w="58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Quan điểm quan hệ / lợi ích tạo ra từ quan hệ</w:t>
            </w:r>
          </w:p>
        </w:tc>
      </w:tr>
      <w:tr>
        <w:trPr>
          <w:tblHeader w:val="off"/>
        </w:trPr>
        <w:tc>
          <w:tcPr>
            <w:tcW w:type="dxa" w:w="3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Bullwhip effect</w:t>
            </w:r>
          </w:p>
        </w:tc>
        <w:tc>
          <w:tcPr>
            <w:tcW w:type="dxa" w:w="58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Hiệu ứng roi da (thông tin lệch dần qua các mắt xích)</w:t>
            </w:r>
          </w:p>
        </w:tc>
      </w:tr>
      <w:tr>
        <w:trPr>
          <w:tblHeader w:val="off"/>
        </w:trPr>
        <w:tc>
          <w:tcPr>
            <w:tcW w:type="dxa" w:w="3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Event Specifications Guide (ESG)</w:t>
            </w:r>
          </w:p>
        </w:tc>
        <w:tc>
          <w:tcPr>
            <w:tcW w:type="dxa" w:w="58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Tài liệu đặc tả sự kiện</w:t>
            </w:r>
          </w:p>
        </w:tc>
      </w:tr>
      <w:tr>
        <w:trPr>
          <w:tblHeader w:val="off"/>
        </w:trPr>
        <w:tc>
          <w:tcPr>
            <w:tcW w:type="dxa" w:w="3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Conflict of interest</w:t>
            </w:r>
          </w:p>
        </w:tc>
        <w:tc>
          <w:tcPr>
            <w:tcW w:type="dxa" w:w="58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Xung đột lợi ích</w:t>
            </w:r>
          </w:p>
        </w:tc>
      </w:tr>
      <w:tr>
        <w:trPr>
          <w:tblHeader w:val="off"/>
        </w:trPr>
        <w:tc>
          <w:tcPr>
            <w:tcW w:type="dxa" w:w="3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Deliverables</w:t>
            </w:r>
          </w:p>
        </w:tc>
        <w:tc>
          <w:tcPr>
            <w:tcW w:type="dxa" w:w="58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Những gì agency đã cam kết giao cho Key Account</w:t>
            </w:r>
          </w:p>
        </w:tc>
      </w:tr>
      <w:tr>
        <w:trPr>
          <w:tblHeader w:val="off"/>
        </w:trPr>
        <w:tc>
          <w:tcPr>
            <w:tcW w:type="dxa" w:w="3766"/>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SCCT</w:t>
            </w:r>
          </w:p>
        </w:tc>
        <w:tc>
          <w:tcPr>
            <w:tcW w:type="dxa" w:w="5872"/>
            <w:tcBorders>
              <w:top w:val="single" w:color="B7C4D6" w:sz="4"/>
              <w:left w:val="single" w:color="B7C4D6" w:sz="4"/>
              <w:bottom w:val="single" w:color="B7C4D6" w:sz="4"/>
              <w:right w:val="single" w:color="B7C4D6" w:sz="4"/>
            </w:tcBorders>
            <w:tcMar>
              <w:top w:type="dxa" w:w="60"/>
              <w:left w:type="dxa" w:w="100"/>
              <w:bottom w:type="dxa" w:w="60"/>
              <w:right w:type="dxa" w:w="100"/>
            </w:tcMar>
          </w:tcPr>
          <w:p>
            <w:pPr>
              <w:spacing w:after="0" w:before="0"/>
            </w:pPr>
            <w:r>
              <w:rPr>
                <w:sz w:val="20"/>
                <w:szCs w:val="20"/>
              </w:rPr>
              <w:t xml:space="preserve">Lý thuyết truyền thông khủng hoảng theo tình huống</w:t>
            </w:r>
          </w:p>
        </w:tc>
      </w:tr>
    </w:tbl>
    <w:p>
      <w:pPr>
        <w:spacing w:after="80" w:before="0"/>
      </w:pPr>
    </w:p>
    <w:p>
      <w:pPr>
        <w:pStyle w:val="Heading1"/>
      </w:pPr>
      <w:r>
        <w:t xml:space="preserve">Lỗi thường gặp</w:t>
      </w:r>
    </w:p>
    <w:p>
      <w:pPr>
        <w:pStyle w:val="ListParagraph"/>
        <w:numPr>
          <w:ilvl w:val="0"/>
          <w:numId w:val="3"/>
        </w:numPr>
        <w:spacing w:after="60"/>
      </w:pPr>
      <w:r>
        <w:t xml:space="preserve">Xử lý theo bên to tiếng nhất thay vì theo deliverable đã cam kết.</w:t>
      </w:r>
    </w:p>
    <w:p>
      <w:pPr>
        <w:pStyle w:val="ListParagraph"/>
        <w:numPr>
          <w:ilvl w:val="0"/>
          <w:numId w:val="3"/>
        </w:numPr>
        <w:spacing w:after="60"/>
      </w:pPr>
      <w:r>
        <w:t xml:space="preserve">Hiểu minh bạch là chia sẻ mọi thứ, kể cả giá của nhà cung cấp khác và thông tin khách.</w:t>
      </w:r>
    </w:p>
    <w:p>
      <w:pPr>
        <w:pStyle w:val="ListParagraph"/>
        <w:numPr>
          <w:ilvl w:val="0"/>
          <w:numId w:val="3"/>
        </w:numPr>
        <w:spacing w:after="60"/>
      </w:pPr>
      <w:r>
        <w:t xml:space="preserve">Giấu Key Account để khỏi mất điểm.</w:t>
      </w:r>
    </w:p>
    <w:p>
      <w:pPr>
        <w:pStyle w:val="ListParagraph"/>
        <w:numPr>
          <w:ilvl w:val="0"/>
          <w:numId w:val="3"/>
        </w:numPr>
        <w:spacing w:after="60"/>
      </w:pPr>
      <w:r>
        <w:t xml:space="preserve">Agency tự phát ngôn thay Key Account khi có sự cố.</w:t>
      </w:r>
    </w:p>
    <w:p>
      <w:pPr>
        <w:pStyle w:val="ListParagraph"/>
        <w:numPr>
          <w:ilvl w:val="0"/>
          <w:numId w:val="3"/>
        </w:numPr>
        <w:spacing w:after="60"/>
      </w:pPr>
      <w:r>
        <w:t xml:space="preserve">Phản ứng theo tin đồn trước khi xác minh.</w:t>
      </w:r>
    </w:p>
    <w:p>
      <w:pPr>
        <w:pStyle w:val="Heading1"/>
      </w:pPr>
      <w:r>
        <w:t xml:space="preserve">Liên hệ với kế hoạch cuối kỳ (SMP)</w:t>
      </w:r>
    </w:p>
    <w:p>
      <w:pPr>
        <w:spacing w:after="120"/>
      </w:pPr>
      <w:r>
        <w:t xml:space="preserve">Thuộc </w:t>
      </w:r>
      <w:r>
        <w:rPr>
          <w:b/>
          <w:bCs/>
        </w:rPr>
        <w:t xml:space="preserve">phần D (Value Delivery)</w:t>
      </w:r>
      <w:r>
        <w:t xml:space="preserve">, mảng bên liên quan bên ngoài (rubric tiêu chí 6). Mức Xuất sắc yêu cầu </w:t>
      </w:r>
      <w:r>
        <w:rPr>
          <w:b/>
          <w:bCs/>
        </w:rPr>
        <w:t xml:space="preserve">ít nhất 2 xung đột</w:t>
      </w:r>
      <w:r>
        <w:t xml:space="preserve"> trong mạng lưới kèm cách </w:t>
      </w:r>
      <w:r>
        <w:rPr>
          <w:b/>
          <w:bCs/>
        </w:rPr>
        <w:t xml:space="preserve">bảo vệ deliverables</w:t>
      </w:r>
      <w:r>
        <w:t xml:space="preserve">, và một </w:t>
      </w:r>
      <w:r>
        <w:rPr>
          <w:b/>
          <w:bCs/>
        </w:rPr>
        <w:t xml:space="preserve">cơ chế minh bạch</w:t>
      </w:r>
      <w:r>
        <w:t xml:space="preserve"> cho cả mạng lưới.</w:t>
      </w:r>
    </w:p>
    <w:p>
      <w:pPr>
        <w:pStyle w:val="Heading1"/>
      </w:pPr>
      <w:r>
        <w:t xml:space="preserve">Câu hỏi tự ôn</w:t>
      </w:r>
    </w:p>
    <w:p>
      <w:pPr>
        <w:pStyle w:val="ListParagraph"/>
        <w:numPr>
          <w:ilvl w:val="0"/>
          <w:numId w:val="7"/>
        </w:numPr>
        <w:spacing w:after="60"/>
      </w:pPr>
      <w:r>
        <w:t xml:space="preserve">Nêu bốn nguồn relational rents, mỗi nguồn một ví dụ trong ngành sự kiện.</w:t>
      </w:r>
    </w:p>
    <w:p>
      <w:pPr>
        <w:pStyle w:val="ListParagraph"/>
        <w:numPr>
          <w:ilvl w:val="0"/>
          <w:numId w:val="7"/>
        </w:numPr>
        <w:spacing w:after="60"/>
      </w:pPr>
      <w:r>
        <w:t xml:space="preserve">Trong SMP của nhóm, bên liên quan bên ngoài nào giữ nhiều vai nhất? Điều đó có thể gây xung đột gì với deliverable đã cam kết?</w:t>
      </w:r>
    </w:p>
    <w:p>
      <w:pPr>
        <w:pStyle w:val="ListParagraph"/>
        <w:numPr>
          <w:ilvl w:val="0"/>
          <w:numId w:val="7"/>
        </w:numPr>
        <w:spacing w:after="60"/>
      </w:pPr>
      <w:r>
        <w:t xml:space="preserve">Áp dụng năm bước cho tình huống: nhà in báo trễ backdrop một ngày vì file được duyệt muộn và đề nghị phụ phí in gấp.</w:t>
      </w:r>
    </w:p>
    <w:p>
      <w:pPr>
        <w:pStyle w:val="ListParagraph"/>
        <w:numPr>
          <w:ilvl w:val="0"/>
          <w:numId w:val="7"/>
        </w:numPr>
        <w:spacing w:after="60"/>
      </w:pPr>
      <w:r>
        <w:t xml:space="preserve">Một diễn giả bị báo chí nêu tên trong một vụ thanh tra chưa có kết luận. Theo SCCT, Key Account đang ở nhóm nào? Agency khuyến nghị gì?</w:t>
      </w:r>
    </w:p>
    <w:p>
      <w:pPr>
        <w:pStyle w:val="Heading1"/>
      </w:pPr>
      <w:r>
        <w:t xml:space="preserve">Tài liệu tham khảo</w:t>
      </w:r>
    </w:p>
    <w:p>
      <w:pPr>
        <w:pStyle w:val="ListParagraph"/>
        <w:numPr>
          <w:ilvl w:val="0"/>
          <w:numId w:val="3"/>
        </w:numPr>
        <w:spacing w:after="60"/>
      </w:pPr>
      <w:r>
        <w:t xml:space="preserve">Convention Industry Council. (2005). </w:t>
      </w:r>
      <w:r>
        <w:rPr>
          <w:i/>
          <w:iCs/>
        </w:rPr>
        <w:t xml:space="preserve">The APEX event specifications guide template</w:t>
      </w:r>
      <w:r>
        <w:t xml:space="preserve">.</w:t>
      </w:r>
    </w:p>
    <w:p>
      <w:pPr>
        <w:pStyle w:val="ListParagraph"/>
        <w:numPr>
          <w:ilvl w:val="0"/>
          <w:numId w:val="3"/>
        </w:numPr>
        <w:spacing w:after="60"/>
      </w:pPr>
      <w:r>
        <w:t xml:space="preserve">Coombs, W. T. (2007). Protecting organization reputations during a crisis: The development and application of situational crisis communication theory. </w:t>
      </w:r>
      <w:r>
        <w:rPr>
          <w:i/>
          <w:iCs/>
        </w:rPr>
        <w:t xml:space="preserve">Corporate Reputation Review, 10</w:t>
      </w:r>
      <w:r>
        <w:t xml:space="preserve">(3), 163–176.</w:t>
      </w:r>
    </w:p>
    <w:p>
      <w:pPr>
        <w:pStyle w:val="ListParagraph"/>
        <w:numPr>
          <w:ilvl w:val="0"/>
          <w:numId w:val="3"/>
        </w:numPr>
        <w:spacing w:after="60"/>
      </w:pPr>
      <w:r>
        <w:t xml:space="preserve">Dyer, J. H., &amp; Singh, H. (1998). The relational view: Cooperative strategy and sources of interorganizational competitive advantage. </w:t>
      </w:r>
      <w:r>
        <w:rPr>
          <w:i/>
          <w:iCs/>
        </w:rPr>
        <w:t xml:space="preserve">Academy of Management Review, 23</w:t>
      </w:r>
      <w:r>
        <w:t xml:space="preserve">(4), 660–679.</w:t>
      </w:r>
    </w:p>
    <w:p>
      <w:pPr>
        <w:pStyle w:val="ListParagraph"/>
        <w:numPr>
          <w:ilvl w:val="0"/>
          <w:numId w:val="3"/>
        </w:numPr>
        <w:spacing w:after="60"/>
      </w:pPr>
      <w:r>
        <w:t xml:space="preserve">Getz, D., Andersson, T., &amp; Larson, M. (2006). Festival stakeholder roles: Concepts and case studies. </w:t>
      </w:r>
      <w:r>
        <w:rPr>
          <w:i/>
          <w:iCs/>
        </w:rPr>
        <w:t xml:space="preserve">Event Management, 10</w:t>
      </w:r>
      <w:r>
        <w:t xml:space="preserve">(2), 103–122.</w:t>
      </w:r>
    </w:p>
    <w:p>
      <w:pPr>
        <w:pStyle w:val="ListParagraph"/>
        <w:numPr>
          <w:ilvl w:val="0"/>
          <w:numId w:val="3"/>
        </w:numPr>
        <w:spacing w:after="60"/>
      </w:pPr>
      <w:r>
        <w:t xml:space="preserve">Larson, M., &amp; Wikström, E. (2001). Organizing events: Managing conflict and consensus in a political market square. </w:t>
      </w:r>
      <w:r>
        <w:rPr>
          <w:i/>
          <w:iCs/>
        </w:rPr>
        <w:t xml:space="preserve">Event Management, 7</w:t>
      </w:r>
      <w:r>
        <w:t xml:space="preserve">(1), 51–65.</w:t>
      </w:r>
    </w:p>
    <w:p>
      <w:pPr>
        <w:pStyle w:val="ListParagraph"/>
        <w:numPr>
          <w:ilvl w:val="0"/>
          <w:numId w:val="3"/>
        </w:numPr>
        <w:spacing w:after="60"/>
      </w:pPr>
      <w:r>
        <w:t xml:space="preserve">Lee, H. L., Padmanabhan, V., &amp; Whang, S. (1997). Information distortion in a supply chain: The bullwhip effect. </w:t>
      </w:r>
      <w:r>
        <w:rPr>
          <w:i/>
          <w:iCs/>
        </w:rPr>
        <w:t xml:space="preserve">Management Science, 43</w:t>
      </w:r>
      <w:r>
        <w:t xml:space="preserve">(4), 546–558.</w:t>
      </w:r>
    </w:p>
    <w:p>
      <w:pPr>
        <w:pStyle w:val="ListParagraph"/>
        <w:numPr>
          <w:ilvl w:val="0"/>
          <w:numId w:val="3"/>
        </w:numPr>
        <w:spacing w:after="60"/>
      </w:pPr>
      <w:r>
        <w:t xml:space="preserve">Mohr, J., &amp; Spekman, R. (1994). Characteristics of partnership success. </w:t>
      </w:r>
      <w:r>
        <w:rPr>
          <w:i/>
          <w:iCs/>
        </w:rPr>
        <w:t xml:space="preserve">Strategic Management Journal, 15</w:t>
      </w:r>
      <w:r>
        <w:t xml:space="preserve">(2), 135–152.</w:t>
      </w:r>
    </w:p>
    <w:p>
      <w:pPr>
        <w:pStyle w:val="ListParagraph"/>
        <w:numPr>
          <w:ilvl w:val="0"/>
          <w:numId w:val="3"/>
        </w:numPr>
        <w:spacing w:after="60"/>
      </w:pPr>
      <w:r>
        <w:t xml:space="preserve">Morgan, R. M., &amp; Hunt, S. D. (1994). The commitment-trust theory of relationship marketing. </w:t>
      </w:r>
      <w:r>
        <w:rPr>
          <w:i/>
          <w:iCs/>
        </w:rPr>
        <w:t xml:space="preserve">Journal of Marketing, 58</w:t>
      </w:r>
      <w:r>
        <w:t xml:space="preserve">(3), 20–38.</w:t>
      </w:r>
    </w:p>
    <w:p>
      <w:pPr>
        <w:pStyle w:val="ListParagraph"/>
        <w:numPr>
          <w:ilvl w:val="0"/>
          <w:numId w:val="3"/>
        </w:numPr>
        <w:spacing w:after="60"/>
      </w:pPr>
      <w:r>
        <w:t xml:space="preserve">Quốc hội. (2025). </w:t>
      </w:r>
      <w:r>
        <w:rPr>
          <w:i/>
          <w:iCs/>
        </w:rPr>
        <w:t xml:space="preserve">Luật Báo chí</w:t>
      </w:r>
      <w:r>
        <w:t xml:space="preserve"> (Luật số 126/2025/QH15).</w:t>
      </w:r>
    </w:p>
    <w:sectPr>
      <w:footerReference w:type="default" r:id="rId6"/>
      <w:pgSz w:w="11906" w:h="16838" w:orient="portrait"/>
      <w:pgMar w:top="1134" w:right="1134" w:bottom="1134" w:left="113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A6478"/>
        <w:sz w:val="16"/>
        <w:szCs w:val="16"/>
      </w:rPr>
      <w:t xml:space="preserve">EVM1110E · Tài liệu tóm tắt dành cho sinh viên · Trang </w:t>
    </w:r>
    <w:r>
      <w:rPr>
        <w:color w:val="5A647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270"/>
      </w:pPr>
    </w:lvl>
  </w:abstractNum>
  <w:abstractNum w:abstractNumId="3"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3"/>
    <w:lvlOverride w:ilvl="0">
      <w:startOverride w:val="1"/>
    </w:lvlOverride>
  </w:num>
  <w:num w:numId="5">
    <w:abstractNumId w:val="3"/>
    <w:lvlOverride w:ilvl="0">
      <w:startOverride w:val="1"/>
    </w:lvlOverride>
  </w:num>
  <w:num w:numId="6">
    <w:abstractNumId w:val="3"/>
    <w:lvlOverride w:ilvl="0">
      <w:startOverride w:val="1"/>
    </w:lvlOverride>
  </w:num>
  <w:num w:numId="7">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line="300"/>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80"/>
    </w:pPr>
    <w:rPr>
      <w:rFonts w:ascii="Arial" w:cs="Arial" w:eastAsia="Arial" w:hAnsi="Arial"/>
      <w:b/>
      <w:bCs/>
      <w:color w:val="172849"/>
      <w:sz w:val="34"/>
      <w:szCs w:val="34"/>
    </w:rPr>
  </w:style>
  <w:style w:type="paragraph" w:styleId="Heading1">
    <w:name w:val="Heading 1"/>
    <w:basedOn w:val="Normal"/>
    <w:next w:val="Normal"/>
    <w:qFormat/>
    <w:pPr>
      <w:keepNext/>
      <w:spacing w:after="120" w:before="300"/>
      <w:outlineLvl w:val="0"/>
    </w:pPr>
    <w:rPr>
      <w:rFonts w:ascii="Arial" w:cs="Arial" w:eastAsia="Arial" w:hAnsi="Arial"/>
      <w:b/>
      <w:bCs/>
      <w:color w:val="172849"/>
      <w:sz w:val="27"/>
      <w:szCs w:val="27"/>
    </w:rPr>
  </w:style>
  <w:style w:type="paragraph" w:styleId="Heading2">
    <w:name w:val="Heading 2"/>
    <w:basedOn w:val="Normal"/>
    <w:next w:val="Normal"/>
    <w:qFormat/>
    <w:pPr>
      <w:keepNext/>
      <w:spacing w:after="100" w:before="200"/>
      <w:outlineLvl w:val="1"/>
    </w:pPr>
    <w:rPr>
      <w:rFonts w:ascii="Arial" w:cs="Arial" w:eastAsia="Arial" w:hAnsi="Arial"/>
      <w:b/>
      <w:bCs/>
      <w:color w:val="2E8B74"/>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Buổi 12: Tận dụng mạng lưới và xử lý xung đột</dc:title>
  <dc:creator>EVM1110E</dc:creator>
  <cp:lastModifiedBy>Un-named</cp:lastModifiedBy>
  <cp:revision>1</cp:revision>
  <dcterms:created xsi:type="dcterms:W3CDTF">2026-10-05T01:39:21.266Z</dcterms:created>
  <dcterms:modified xsi:type="dcterms:W3CDTF">2026-10-05T01:39:21.266Z</dcterms:modified>
</cp:coreProperties>
</file>

<file path=docProps/custom.xml><?xml version="1.0" encoding="utf-8"?>
<Properties xmlns="http://schemas.openxmlformats.org/officeDocument/2006/custom-properties" xmlns:vt="http://schemas.openxmlformats.org/officeDocument/2006/docPropsVTypes"/>
</file>