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Buổi 13: Xây dựng SMP quanh Key Account Plan</w:t>
      </w:r>
    </w:p>
    <w:p>
      <w:pPr>
        <w:pBdr>
          <w:bottom w:val="single" w:color="2E8B74" w:sz="8" w:space="6"/>
        </w:pBdr>
        <w:spacing w:after="240"/>
      </w:pPr>
      <w:r>
        <w:rPr>
          <w:color w:val="5A6478"/>
          <w:sz w:val="21"/>
          <w:szCs w:val="21"/>
        </w:rPr>
        <w:t xml:space="preserve">EVM1110E Quản trị mối quan hệ trong tổ chức sự kiện · Tài liệu tóm tắt kiến thức trọng tâm</w:t>
      </w:r>
    </w:p>
    <w:p>
      <w:pPr>
        <w:pBdr>
          <w:left w:val="single" w:color="2E8B74" w:sz="18" w:space="8"/>
        </w:pBdr>
        <w:shd w:fill="E8F4F0" w:color="auto" w:val="clear"/>
        <w:spacing w:after="160" w:before="80"/>
        <w:ind w:left="200" w:right="100"/>
      </w:pPr>
      <w:r>
        <w:rPr>
          <w:color w:val="333F55"/>
          <w:sz w:val="20"/>
          <w:szCs w:val="20"/>
        </w:rPr>
        <w:t xml:space="preserve">Tài liệu này giúp bạn ôn lại những ý chính của buổi học. Nó không thay thế việc tham dự lớp, và </w:t>
      </w:r>
      <w:r>
        <w:rPr>
          <w:b/>
          <w:bCs/>
          <w:color w:val="333F55"/>
          <w:sz w:val="20"/>
          <w:szCs w:val="20"/>
        </w:rPr>
        <w:t xml:space="preserve">không thay thế đề thi chính thức</w:t>
      </w:r>
      <w:r>
        <w:rPr>
          <w:color w:val="333F55"/>
          <w:sz w:val="20"/>
          <w:szCs w:val="20"/>
        </w:rPr>
        <w:t xml:space="preserve">: yêu cầu, rubric và hạn nộp luôn theo đề thi do giảng viên công bố. Các tên “Nova Events”, “Ngân hàng An Phát” và mọi con số trong ví dụ là tình huống giả định của môn học.</w:t>
      </w:r>
    </w:p>
    <w:p>
      <w:pPr>
        <w:pStyle w:val="Heading1"/>
      </w:pPr>
      <w:r>
        <w:t xml:space="preserve">Sau buổi này, bạn cần nắm được</w:t>
      </w:r>
    </w:p>
    <w:p>
      <w:pPr>
        <w:pStyle w:val="ListParagraph"/>
        <w:numPr>
          <w:ilvl w:val="0"/>
          <w:numId w:val="2"/>
        </w:numPr>
        <w:spacing w:after="60"/>
      </w:pPr>
      <w:r>
        <w:t xml:space="preserve">Năm phần của Value Planning Framework và câu hỏi chính của mỗi phần.</w:t>
      </w:r>
    </w:p>
    <w:p>
      <w:pPr>
        <w:pStyle w:val="ListParagraph"/>
        <w:numPr>
          <w:ilvl w:val="0"/>
          <w:numId w:val="2"/>
        </w:numPr>
        <w:spacing w:after="60"/>
      </w:pPr>
      <w:r>
        <w:t xml:space="preserve">Cách ráp các trang đã làm vào khung A–E, chỉ ra phần còn thiếu và các giả định cần ghi rõ.</w:t>
      </w:r>
    </w:p>
    <w:p>
      <w:pPr>
        <w:pStyle w:val="ListParagraph"/>
        <w:numPr>
          <w:ilvl w:val="0"/>
          <w:numId w:val="2"/>
        </w:numPr>
        <w:spacing w:after="60"/>
      </w:pPr>
      <w:r>
        <w:t xml:space="preserve">Cách viết phần D (Value Delivery) tích hợp các bên liên quan bên ngoài.</w:t>
      </w:r>
    </w:p>
    <w:p>
      <w:pPr>
        <w:pStyle w:val="ListParagraph"/>
        <w:numPr>
          <w:ilvl w:val="0"/>
          <w:numId w:val="2"/>
        </w:numPr>
        <w:spacing w:after="60"/>
      </w:pPr>
      <w:r>
        <w:t xml:space="preserve">Cách viết Executive Summary một trang và chuẩn bị cho buổi bảo vệ.</w:t>
      </w:r>
    </w:p>
    <w:p>
      <w:pPr>
        <w:pStyle w:val="Heading1"/>
      </w:pPr>
      <w:r>
        <w:t xml:space="preserve">1. SMP của môn học là gì?</w:t>
      </w:r>
    </w:p>
    <w:p>
      <w:pPr>
        <w:spacing w:after="120"/>
      </w:pPr>
      <w:r>
        <w:rPr>
          <w:b/>
          <w:bCs/>
        </w:rPr>
        <w:t xml:space="preserve">Stakeholder Management Plan (SMP)</w:t>
      </w:r>
      <w:r>
        <w:t xml:space="preserve"> của môn = </w:t>
      </w:r>
      <w:r>
        <w:rPr>
          <w:b/>
          <w:bCs/>
        </w:rPr>
        <w:t xml:space="preserve">Key Account Plan (KAP)</w:t>
      </w:r>
      <w:r>
        <w:t xml:space="preserve"> ở lõi + </w:t>
      </w:r>
      <w:r>
        <w:rPr>
          <w:b/>
          <w:bCs/>
        </w:rPr>
        <w:t xml:space="preserve">điều phối các bên liên quan bên ngoài</w:t>
      </w:r>
      <w:r>
        <w:t xml:space="preserve"> (nhà đầu tư – tài trợ, nhà cung cấp – địa điểm, báo chí – KOL, cơ quan quản lý…) để giao giá trị cho Key Account.</w:t>
      </w:r>
    </w:p>
    <w:p>
      <w:pPr>
        <w:spacing w:after="120"/>
      </w:pPr>
      <w:r>
        <w:t xml:space="preserve">Theo đề thi, mỗi nhóm:</w:t>
      </w:r>
    </w:p>
    <w:p>
      <w:pPr>
        <w:pStyle w:val="ListParagraph"/>
        <w:numPr>
          <w:ilvl w:val="0"/>
          <w:numId w:val="3"/>
        </w:numPr>
        <w:spacing w:after="60"/>
      </w:pPr>
      <w:r>
        <w:t xml:space="preserve">chọn </w:t>
      </w:r>
      <w:r>
        <w:rPr>
          <w:b/>
          <w:bCs/>
        </w:rPr>
        <w:t xml:space="preserve">một khách hàng là tổ chức từ dự án sự kiện đã làm</w:t>
      </w:r>
      <w:r>
        <w:t xml:space="preserve"> ở học phần trước, không làm dự án mới;</w:t>
      </w:r>
    </w:p>
    <w:p>
      <w:pPr>
        <w:pStyle w:val="ListParagraph"/>
        <w:numPr>
          <w:ilvl w:val="0"/>
          <w:numId w:val="3"/>
        </w:numPr>
        <w:spacing w:after="60"/>
      </w:pPr>
      <w:r>
        <w:t xml:space="preserve">đóng vai agency và lập SMP xoay quanh KAP cho khách hàng đó;</w:t>
      </w:r>
    </w:p>
    <w:p>
      <w:pPr>
        <w:pStyle w:val="ListParagraph"/>
        <w:numPr>
          <w:ilvl w:val="0"/>
          <w:numId w:val="3"/>
        </w:numPr>
        <w:spacing w:after="60"/>
      </w:pPr>
      <w:r>
        <w:t xml:space="preserve">bảo vệ trước “Customer Board” (giảng viên).</w:t>
      </w:r>
    </w:p>
    <w:p>
      <w:pPr>
        <w:spacing w:after="120"/>
      </w:pPr>
      <w:r>
        <w:t xml:space="preserve">Phạm vi chỉ gồm các bên liên quan bên ngoài; không đi sâu nhân sự nội bộ, an toàn đám đông, phòng cháy chữa cháy.</w:t>
      </w:r>
    </w:p>
    <w:p>
      <w:pPr>
        <w:spacing w:after="120"/>
      </w:pPr>
      <w:r>
        <w:rPr>
          <w:b/>
          <w:bCs/>
        </w:rPr>
        <w:t xml:space="preserve">Vì sao phải lập kế hoạch cẩn thận?</w:t>
      </w:r>
      <w:r>
        <w:t xml:space="preserve"> Nghiên cứu ở Cranfield KAM Best Practice Club cho thấy công ty áp dụng tốt các công cụ lập kế hoạch key account có khả năng triển khai KAM thành công cao hơn rõ rệt. Phần làm kém nhất là </w:t>
      </w:r>
      <w:r>
        <w:rPr>
          <w:b/>
          <w:bCs/>
        </w:rPr>
        <w:t xml:space="preserve">hiểu thế giới của khách hàng</w:t>
      </w:r>
      <w:r>
        <w:t xml:space="preserve"> (Marcos et al., 2018). Kế hoạch là một </w:t>
      </w:r>
      <w:r>
        <w:rPr>
          <w:b/>
          <w:bCs/>
        </w:rPr>
        <w:t xml:space="preserve">quy trình</w:t>
      </w:r>
      <w:r>
        <w:t xml:space="preserve">, tầm nhìn khoảng ba năm, không phải tài liệu viết một lần.</w:t>
      </w:r>
    </w:p>
    <w:p>
      <w:pPr>
        <w:pStyle w:val="Heading1"/>
      </w:pPr>
      <w:r>
        <w:t xml:space="preserve">2. Value Planning Framework</w:t>
      </w:r>
    </w:p>
    <w:p>
      <w:pPr>
        <w:spacing w:after="120"/>
      </w:pPr>
      <w:r>
        <w:t xml:space="preserve">Khung do Davies &amp; Holt (Cranfield) trình bày năm 2013, gốc từ quy trình lập kế hoạch KAM của Ryals &amp; McDonald (2010) (Marcos et al., 2018, tr. 72–73).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5"/>
        <w:gridCol w:w="2243"/>
        <w:gridCol w:w="3008"/>
        <w:gridCol w:w="3062"/>
      </w:tblGrid>
      <w:tr>
        <w:trPr>
          <w:tblHeader/>
        </w:trPr>
        <w:tc>
          <w:tcPr>
            <w:tcW w:type="dxa" w:w="132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Phần</w:t>
            </w:r>
          </w:p>
        </w:tc>
        <w:tc>
          <w:tcPr>
            <w:tcW w:type="dxa" w:w="224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Giáo trình</w:t>
            </w:r>
          </w:p>
        </w:tc>
        <w:tc>
          <w:tcPr>
            <w:tcW w:type="dxa" w:w="300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Công cụ trong giáo trình</w:t>
            </w:r>
          </w:p>
        </w:tc>
        <w:tc>
          <w:tcPr>
            <w:tcW w:type="dxa" w:w="306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Đề thi yêu cầu (công cụ của môn)</w:t>
            </w:r>
          </w:p>
        </w:tc>
      </w:tr>
      <w:tr>
        <w:trPr>
          <w:tblHeader w:val="off"/>
        </w:trPr>
        <w:tc>
          <w:tcPr>
            <w:tcW w:type="dxa" w:w="13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 Value Insights</w:t>
            </w:r>
          </w:p>
        </w:tc>
        <w:tc>
          <w:tcPr>
            <w:tcW w:type="dxa" w:w="22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Phân tích thế giới của khách hàng</w:t>
            </w:r>
          </w:p>
        </w:tc>
        <w:tc>
          <w:tcPr>
            <w:tcW w:type="dxa" w:w="30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PESTEL, đối thủ của khách hàng, nội bộ khách hàng, SWOT 9 ô</w:t>
            </w:r>
          </w:p>
        </w:tc>
        <w:tc>
          <w:tcPr>
            <w:tcW w:type="dxa" w:w="30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PESTEL và đối thủ của khách hàng; DMU/GRASP; hành trình khách hàng; Grid, Salience</w:t>
            </w:r>
          </w:p>
        </w:tc>
      </w:tr>
      <w:tr>
        <w:trPr>
          <w:tblHeader w:val="off"/>
        </w:trPr>
        <w:tc>
          <w:tcPr>
            <w:tcW w:type="dxa" w:w="13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 Value Opportunities</w:t>
            </w:r>
          </w:p>
        </w:tc>
        <w:tc>
          <w:tcPr>
            <w:tcW w:type="dxa" w:w="22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Cơ hội của ta với khách hàng này</w:t>
            </w:r>
          </w:p>
        </w:tc>
        <w:tc>
          <w:tcPr>
            <w:tcW w:type="dxa" w:w="30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Đối thủ của ta, nội bộ ta, SWOT 9 ô của ta, bản đồ quan hệ</w:t>
            </w:r>
          </w:p>
        </w:tc>
        <w:tc>
          <w:tcPr>
            <w:tcW w:type="dxa" w:w="30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tiêu chí Key Account; chất lượng quan hệ; CLV; cost-to-serve; cơ hội và rủi ro</w:t>
            </w:r>
          </w:p>
        </w:tc>
      </w:tr>
      <w:tr>
        <w:trPr>
          <w:tblHeader w:val="off"/>
        </w:trPr>
        <w:tc>
          <w:tcPr>
            <w:tcW w:type="dxa" w:w="13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 Value Propositions</w:t>
            </w:r>
          </w:p>
        </w:tc>
        <w:tc>
          <w:tcPr>
            <w:tcW w:type="dxa" w:w="22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Tạo và bán giá trị, do khách hàng dẫn dắt</w:t>
            </w:r>
          </w:p>
        </w:tc>
        <w:tc>
          <w:tcPr>
            <w:tcW w:type="dxa" w:w="30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propositions</w:t>
            </w:r>
          </w:p>
        </w:tc>
        <w:tc>
          <w:tcPr>
            <w:tcW w:type="dxa" w:w="30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CVP: Future state – Offering 7P – Value appraisal; năm nguồn giá trị; đồng kiến tạo</w:t>
            </w:r>
          </w:p>
        </w:tc>
      </w:tr>
      <w:tr>
        <w:trPr>
          <w:tblHeader w:val="off"/>
        </w:trPr>
        <w:tc>
          <w:tcPr>
            <w:tcW w:type="dxa" w:w="13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 Value Delivery</w:t>
            </w:r>
          </w:p>
        </w:tc>
        <w:tc>
          <w:tcPr>
            <w:tcW w:type="dxa" w:w="22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Giao giá trị và đo thành công cho cả hai bên</w:t>
            </w:r>
          </w:p>
        </w:tc>
        <w:tc>
          <w:tcPr>
            <w:tcW w:type="dxa" w:w="30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 hoạch hành động, ghi nhận giá trị, tài chính</w:t>
            </w:r>
          </w:p>
        </w:tc>
        <w:tc>
          <w:tcPr>
            <w:tcW w:type="dxa" w:w="30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Kraljic và đàm phán; Bow-tie → Diamond; chỉ số; ROI 6 cấp; đánh giá chung; các bên bên ngoài</w:t>
            </w:r>
          </w:p>
        </w:tc>
      </w:tr>
      <w:tr>
        <w:trPr>
          <w:tblHeader w:val="off"/>
        </w:trPr>
        <w:tc>
          <w:tcPr>
            <w:tcW w:type="dxa" w:w="13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 Executive Summary</w:t>
            </w:r>
          </w:p>
        </w:tc>
        <w:tc>
          <w:tcPr>
            <w:tcW w:type="dxa" w:w="22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Bước cuối; công cụ để được lãnh đạo ủng hộ</w:t>
            </w:r>
          </w:p>
        </w:tc>
        <w:tc>
          <w:tcPr>
            <w:tcW w:type="dxa" w:w="30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Tóm tắt một trang</w:t>
            </w:r>
          </w:p>
        </w:tc>
        <w:tc>
          <w:tcPr>
            <w:tcW w:type="dxa" w:w="30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Tối đa một trang, đặt đầu kế hoạch</w:t>
            </w:r>
          </w:p>
        </w:tc>
      </w:tr>
    </w:tbl>
    <w:p>
      <w:pPr>
        <w:spacing w:after="80" w:before="0"/>
      </w:pPr>
    </w:p>
    <w:p>
      <w:pPr>
        <w:spacing w:after="120"/>
      </w:pPr>
      <w:r>
        <w:t xml:space="preserve">Phần B khác nhau nhiều nhất: giáo trình phân tích phía nhà cung cấp, còn đề thi dùng công cụ của môn. Cả hai cùng trả lời câu hỏi “ta có cơ hội gì với khách hàng này, đáng đầu tư đến đâu”. </w:t>
      </w:r>
      <w:r>
        <w:rPr>
          <w:b/>
          <w:bCs/>
        </w:rPr>
        <w:t xml:space="preserve">Khi viết, theo đề thi.</w:t>
      </w:r>
    </w:p>
    <w:p>
      <w:pPr>
        <w:spacing w:after="120"/>
      </w:pPr>
      <w:r>
        <w:rPr>
          <w:b/>
          <w:bCs/>
        </w:rPr>
        <w:t xml:space="preserve">Câu hỏi của từng phần (theo đề thi, rút gọn):</w:t>
      </w:r>
    </w:p>
    <w:p>
      <w:pPr>
        <w:pStyle w:val="ListParagraph"/>
        <w:numPr>
          <w:ilvl w:val="0"/>
          <w:numId w:val="3"/>
        </w:numPr>
        <w:spacing w:after="60"/>
      </w:pPr>
      <w:r>
        <w:rPr>
          <w:b/>
          <w:bCs/>
        </w:rPr>
        <w:t xml:space="preserve">A:</w:t>
      </w:r>
      <w:r>
        <w:t xml:space="preserve"> Khách hàng là ai, ở hoàn cảnh nào? Môi trường và đối thủ tạo ra nhu cầu gì? Ai quyết định? Khách của khách hàng đi hành trình nào?</w:t>
      </w:r>
    </w:p>
    <w:p>
      <w:pPr>
        <w:pStyle w:val="ListParagraph"/>
        <w:numPr>
          <w:ilvl w:val="0"/>
          <w:numId w:val="3"/>
        </w:numPr>
        <w:spacing w:after="60"/>
      </w:pPr>
      <w:r>
        <w:rPr>
          <w:b/>
          <w:bCs/>
        </w:rPr>
        <w:t xml:space="preserve">B:</w:t>
      </w:r>
      <w:r>
        <w:t xml:space="preserve"> Vì sao là Key Account? Quan hệ hiện tại ra sao? CLV, cost-to-serve bao nhiêu, với giả định nào? Cơ hội và rủi ro lớn nhất?</w:t>
      </w:r>
    </w:p>
    <w:p>
      <w:pPr>
        <w:pStyle w:val="ListParagraph"/>
        <w:numPr>
          <w:ilvl w:val="0"/>
          <w:numId w:val="3"/>
        </w:numPr>
        <w:spacing w:after="60"/>
      </w:pPr>
      <w:r>
        <w:rPr>
          <w:b/>
          <w:bCs/>
        </w:rPr>
        <w:t xml:space="preserve">C:</w:t>
      </w:r>
      <w:r>
        <w:t xml:space="preserve"> Agency đề xuất giá trị gì, từ nguồn nào, định lượng được bao nhiêu? Đồng kiến tạo theo bước nào?</w:t>
      </w:r>
    </w:p>
    <w:p>
      <w:pPr>
        <w:pStyle w:val="ListParagraph"/>
        <w:numPr>
          <w:ilvl w:val="0"/>
          <w:numId w:val="3"/>
        </w:numPr>
        <w:spacing w:after="60"/>
      </w:pPr>
      <w:r>
        <w:rPr>
          <w:b/>
          <w:bCs/>
        </w:rPr>
        <w:t xml:space="preserve">D:</w:t>
      </w:r>
      <w:r>
        <w:t xml:space="preserve"> Quản trị quan hệ với khách hàng thế nào? Mỗi bên bên ngoài gắn điểm chạm nào, tạo giá trị gì, quản lý bằng gì? Xung đột nào, bảo vệ cam kết ra sao?</w:t>
      </w:r>
    </w:p>
    <w:p>
      <w:pPr>
        <w:pStyle w:val="ListParagraph"/>
        <w:numPr>
          <w:ilvl w:val="0"/>
          <w:numId w:val="3"/>
        </w:numPr>
        <w:spacing w:after="60"/>
      </w:pPr>
      <w:r>
        <w:rPr>
          <w:b/>
          <w:bCs/>
        </w:rPr>
        <w:t xml:space="preserve">E:</w:t>
      </w:r>
      <w:r>
        <w:t xml:space="preserve"> Trong một trang, Customer Board cần biết gì để đồng ý với kế hoạch?</w:t>
      </w:r>
    </w:p>
    <w:p>
      <w:pPr>
        <w:spacing w:after="120"/>
      </w:pPr>
      <w:r>
        <w:rPr>
          <w:b/>
          <w:bCs/>
        </w:rPr>
        <w:t xml:space="preserve">Viết A → D rồi mới viết E, nhưng đặt E ở trang đầu.</w:t>
      </w:r>
      <w:r>
        <w:t xml:space="preserve"> E chỉ tóm tắt được điều đã phân tích xong; hội đồng đọc E trước.</w:t>
      </w:r>
    </w:p>
    <w:p>
      <w:pPr>
        <w:pStyle w:val="Heading1"/>
      </w:pPr>
      <w:r>
        <w:t xml:space="preserve">3. Giả định có lý do là câu trả lời hợp lệ</w:t>
      </w:r>
    </w:p>
    <w:p>
      <w:pPr>
        <w:spacing w:after="120"/>
      </w:pPr>
      <w:r>
        <w:t xml:space="preserve">Khi thiếu thông tin, Cranfield khuyên được đặt giả định, </w:t>
      </w:r>
      <w:r>
        <w:rPr>
          <w:i/>
          <w:iCs/>
        </w:rPr>
        <w:t xml:space="preserve">“but do make sure to make it clear in your plan that these are assumptions!”</w:t>
      </w:r>
      <w:r>
        <w:t xml:space="preserve"> (Davies, n.d.). Đề thi yêu cầu: </w:t>
      </w:r>
      <w:r>
        <w:rPr>
          <w:b/>
          <w:bCs/>
        </w:rPr>
        <w:t xml:space="preserve">mọi số liệu phải có nguồn, hoặc ghi rõ “Giả định: … vì …”. Không bịa số liệu về khách hàng.</w:t>
      </w:r>
    </w:p>
    <w:p>
      <w:pPr>
        <w:spacing w:after="120"/>
      </w:pPr>
      <w:r>
        <w:t xml:space="preserve">Mẫu: </w:t>
      </w:r>
      <w:r>
        <w:rPr>
          <w:i/>
          <w:iCs/>
        </w:rPr>
        <w:t xml:space="preserve">Giả định:</w:t>
      </w:r>
      <w:r>
        <w:t xml:space="preserve"> ngân sách sự kiện năm sau của khách hàng giảm 10% </w:t>
      </w:r>
      <w:r>
        <w:rPr>
          <w:i/>
          <w:iCs/>
        </w:rPr>
        <w:t xml:space="preserve">vì</w:t>
      </w:r>
      <w:r>
        <w:t xml:space="preserve"> báo cáo thường niên ghi kế hoạch cắt giảm chi phí; </w:t>
      </w:r>
      <w:r>
        <w:rPr>
          <w:i/>
          <w:iCs/>
        </w:rPr>
        <w:t xml:space="preserve">kiểm chứng bằng</w:t>
      </w:r>
      <w:r>
        <w:t xml:space="preserve"> hỏi đầu mối Marketing trước khi chốt ngân sách.</w:t>
      </w:r>
    </w:p>
    <w:p>
      <w:pPr>
        <w:spacing w:after="120"/>
      </w:pPr>
      <w:r>
        <w:t xml:space="preserve">Các giả định chính đưa vào Phụ lục 3. Hội đồng sẽ hỏi: “Nếu giả định này sai thì sao?”</w:t>
      </w:r>
    </w:p>
    <w:p>
      <w:pPr>
        <w:pStyle w:val="Heading1"/>
      </w:pPr>
      <w:r>
        <w:t xml:space="preserve">4. Phần C: giá trị có số</w:t>
      </w:r>
    </w:p>
    <w:p>
      <w:pPr>
        <w:spacing w:after="120"/>
      </w:pPr>
      <w:r>
        <w:t xml:space="preserve">Value proposition là việc dịch đề xuất của agency </w:t>
      </w:r>
      <w:r>
        <w:rPr>
          <w:b/>
          <w:bCs/>
        </w:rPr>
        <w:t xml:space="preserve">ra tiền</w:t>
      </w:r>
      <w:r>
        <w:t xml:space="preserve">, cho thấy đóng góp vào lợi nhuận (hoặc mục tiêu) của khách hàng (McDonald, n.d.). Cấu trúc CVP (Buổi 5): </w:t>
      </w:r>
      <w:r>
        <w:rPr>
          <w:b/>
          <w:bCs/>
        </w:rPr>
        <w:t xml:space="preserve">Future state → Offering (7P) → Value appraisal</w:t>
      </w:r>
      <w:r>
        <w:t xml:space="preserve">.</w:t>
      </w:r>
    </w:p>
    <w:p>
      <w:pPr>
        <w:spacing w:after="120"/>
      </w:pPr>
      <w:r>
        <w:t xml:space="preserve">Giá trị đến từ </w:t>
      </w:r>
      <w:r>
        <w:rPr>
          <w:b/>
          <w:bCs/>
        </w:rPr>
        <w:t xml:space="preserve">năm nguồn</w:t>
      </w:r>
      <w:r>
        <w:t xml:space="preserve"> (Marcos et al., 2018):</w:t>
      </w:r>
    </w:p>
    <w:p>
      <w:pPr>
        <w:pStyle w:val="ListParagraph"/>
        <w:numPr>
          <w:ilvl w:val="0"/>
          <w:numId w:val="4"/>
        </w:numPr>
        <w:spacing w:after="60"/>
      </w:pPr>
      <w:r>
        <w:rPr>
          <w:b/>
          <w:bCs/>
        </w:rPr>
        <w:t xml:space="preserve">top line:</w:t>
      </w:r>
      <w:r>
        <w:t xml:space="preserve"> tăng doanh thu;</w:t>
      </w:r>
    </w:p>
    <w:p>
      <w:pPr>
        <w:pStyle w:val="ListParagraph"/>
        <w:numPr>
          <w:ilvl w:val="0"/>
          <w:numId w:val="4"/>
        </w:numPr>
        <w:spacing w:after="60"/>
      </w:pPr>
      <w:r>
        <w:rPr>
          <w:b/>
          <w:bCs/>
        </w:rPr>
        <w:t xml:space="preserve">bottom line:</w:t>
      </w:r>
      <w:r>
        <w:t xml:space="preserve"> giảm chi phí;</w:t>
      </w:r>
    </w:p>
    <w:p>
      <w:pPr>
        <w:pStyle w:val="ListParagraph"/>
        <w:numPr>
          <w:ilvl w:val="0"/>
          <w:numId w:val="4"/>
        </w:numPr>
        <w:spacing w:after="60"/>
      </w:pPr>
      <w:r>
        <w:rPr>
          <w:b/>
          <w:bCs/>
        </w:rPr>
        <w:t xml:space="preserve">uy tín và tính liên tục (HSSEQ);</w:t>
      </w:r>
    </w:p>
    <w:p>
      <w:pPr>
        <w:pStyle w:val="ListParagraph"/>
        <w:numPr>
          <w:ilvl w:val="0"/>
          <w:numId w:val="4"/>
        </w:numPr>
        <w:spacing w:after="60"/>
      </w:pPr>
      <w:r>
        <w:rPr>
          <w:b/>
          <w:bCs/>
        </w:rPr>
        <w:t xml:space="preserve">advisory;</w:t>
      </w:r>
    </w:p>
    <w:p>
      <w:pPr>
        <w:pStyle w:val="ListParagraph"/>
        <w:numPr>
          <w:ilvl w:val="0"/>
          <w:numId w:val="4"/>
        </w:numPr>
        <w:spacing w:after="60"/>
      </w:pPr>
      <w:r>
        <w:rPr>
          <w:b/>
          <w:bCs/>
        </w:rPr>
        <w:t xml:space="preserve">khách của khách hàng.</w:t>
      </w:r>
    </w:p>
    <w:p>
      <w:pPr>
        <w:spacing w:after="120"/>
      </w:pPr>
      <w:r>
        <w:t xml:space="preserve">Không cần đủ năm nguồn; chọn nguồn mạnh nhất và định lượng.</w:t>
      </w:r>
    </w:p>
    <w:p>
      <w:pPr>
        <w:spacing w:after="120"/>
      </w:pPr>
      <w:r>
        <w:rPr>
          <w:i/>
          <w:iCs/>
        </w:rPr>
        <w:t xml:space="preserve">Công thức minh họa (giả định):</w:t>
      </w:r>
      <w:r>
        <w:t xml:space="preserve"> giá trị ước tính = (số khách doanh nghiệp giữ thêm × lợi nhuận bình quân mỗi khách/năm) + chi phí tránh được − chi phí chương trình.</w:t>
      </w:r>
    </w:p>
    <w:p>
      <w:pPr>
        <w:spacing w:after="120"/>
      </w:pPr>
      <w:r>
        <w:rPr>
          <w:b/>
          <w:bCs/>
        </w:rPr>
        <w:t xml:space="preserve">Chuẩn bị cho câu hỏi về độ nhạy.</w:t>
      </w:r>
      <w:r>
        <w:t xml:space="preserve"> Ví dụ Buổi 6: tỷ lệ giữ chân giảm từ 85% xuống 70%, CLV của An Phát mất khoảng 206 triệu. Rubric tiêu chí 9 chấm đúng điều này cho từng cá nhân.</w:t>
      </w:r>
    </w:p>
    <w:p>
      <w:pPr>
        <w:pStyle w:val="Heading1"/>
      </w:pPr>
      <w:r>
        <w:t xml:space="preserve">5. Phần D: hai mảnh</w:t>
      </w:r>
    </w:p>
    <w:p>
      <w:pPr>
        <w:spacing w:after="120"/>
      </w:pPr>
      <w:r>
        <w:rPr>
          <w:b/>
          <w:bCs/>
        </w:rPr>
        <w:t xml:space="preserve">Mỗi lời hứa ở phần C cần một dòng đo ở phần D.</w:t>
      </w:r>
      <w:r>
        <w:t xml:space="preserve"> “It is the supplier’s job to advise how the value that they promise within their value proposition will be captured (in ROI and KPI measures)” (Davies, n.d.).</w:t>
      </w:r>
    </w:p>
    <w:p>
      <w:pPr>
        <w:spacing w:after="120"/>
      </w:pPr>
      <w:r>
        <w:rPr>
          <w:b/>
          <w:bCs/>
        </w:rPr>
        <w:t xml:space="preserve">Kế hoạch hành động</w:t>
      </w:r>
      <w:r>
        <w:t xml:space="preserve"> (Marcos et al., 2018, tr. 81–82). Mỗi việc ghi đủ:</w:t>
      </w:r>
    </w:p>
    <w:p>
      <w:pPr>
        <w:pStyle w:val="ListParagraph"/>
        <w:numPr>
          <w:ilvl w:val="0"/>
          <w:numId w:val="3"/>
        </w:numPr>
        <w:spacing w:after="60"/>
      </w:pPr>
      <w:r>
        <w:t xml:space="preserve">việc chính;</w:t>
      </w:r>
    </w:p>
    <w:p>
      <w:pPr>
        <w:pStyle w:val="ListParagraph"/>
        <w:numPr>
          <w:ilvl w:val="0"/>
          <w:numId w:val="3"/>
        </w:numPr>
        <w:spacing w:after="60"/>
      </w:pPr>
      <w:r>
        <w:t xml:space="preserve">người phụ trách;</w:t>
      </w:r>
    </w:p>
    <w:p>
      <w:pPr>
        <w:pStyle w:val="ListParagraph"/>
        <w:numPr>
          <w:ilvl w:val="0"/>
          <w:numId w:val="3"/>
        </w:numPr>
        <w:spacing w:after="60"/>
      </w:pPr>
      <w:r>
        <w:t xml:space="preserve">bộ phận hoặc bên phối hợp;</w:t>
      </w:r>
    </w:p>
    <w:p>
      <w:pPr>
        <w:pStyle w:val="ListParagraph"/>
        <w:numPr>
          <w:ilvl w:val="0"/>
          <w:numId w:val="3"/>
        </w:numPr>
        <w:spacing w:after="60"/>
      </w:pPr>
      <w:r>
        <w:t xml:space="preserve">nguồn lực;</w:t>
      </w:r>
    </w:p>
    <w:p>
      <w:pPr>
        <w:pStyle w:val="ListParagraph"/>
        <w:numPr>
          <w:ilvl w:val="0"/>
          <w:numId w:val="3"/>
        </w:numPr>
        <w:spacing w:after="60"/>
      </w:pPr>
      <w:r>
        <w:t xml:space="preserve">đo tiến độ;</w:t>
      </w:r>
    </w:p>
    <w:p>
      <w:pPr>
        <w:pStyle w:val="ListParagraph"/>
        <w:numPr>
          <w:ilvl w:val="0"/>
          <w:numId w:val="3"/>
        </w:numPr>
        <w:spacing w:after="60"/>
      </w:pPr>
      <w:r>
        <w:t xml:space="preserve">KPI khi xong;</w:t>
      </w:r>
    </w:p>
    <w:p>
      <w:pPr>
        <w:pStyle w:val="ListParagraph"/>
        <w:numPr>
          <w:ilvl w:val="0"/>
          <w:numId w:val="3"/>
        </w:numPr>
        <w:spacing w:after="60"/>
      </w:pPr>
      <w:r>
        <w:t xml:space="preserve">hạn và ngày xong.</w:t>
      </w:r>
    </w:p>
    <w:p>
      <w:pPr>
        <w:spacing w:after="120"/>
      </w:pPr>
      <w:r>
        <w:t xml:space="preserve">Phần D của giáo trình còn có ghi nhận giá trị cho cả hai bên (D2) và dự phóng tài chính khoảng ba năm (D3).</w:t>
      </w:r>
    </w:p>
    <w:p>
      <w:pPr>
        <w:spacing w:after="120"/>
      </w:pPr>
      <w:r>
        <w:rPr>
          <w:b/>
          <w:bCs/>
        </w:rPr>
        <w:t xml:space="preserve">Mảnh 1: quan hệ với Key Account (rubric tiêu chí 5, 8%):</w:t>
      </w:r>
    </w:p>
    <w:p>
      <w:pPr>
        <w:pStyle w:val="ListParagraph"/>
        <w:numPr>
          <w:ilvl w:val="0"/>
          <w:numId w:val="3"/>
        </w:numPr>
        <w:spacing w:after="60"/>
      </w:pPr>
      <w:r>
        <w:t xml:space="preserve">chiến lược mua sắm các hạng mục (Kraljic) và đàm phán dựa trên giá trị với Key Account (Buổi 7);</w:t>
      </w:r>
    </w:p>
    <w:p>
      <w:pPr>
        <w:pStyle w:val="ListParagraph"/>
        <w:numPr>
          <w:ilvl w:val="0"/>
          <w:numId w:val="3"/>
        </w:numPr>
        <w:spacing w:after="60"/>
      </w:pPr>
      <w:r>
        <w:t xml:space="preserve">tiếp xúc nhiều cấp, Bow-tie → Diamond (Buổi 8);</w:t>
      </w:r>
    </w:p>
    <w:p>
      <w:pPr>
        <w:pStyle w:val="ListParagraph"/>
        <w:numPr>
          <w:ilvl w:val="0"/>
          <w:numId w:val="3"/>
        </w:numPr>
        <w:spacing w:after="60"/>
      </w:pPr>
      <w:r>
        <w:t xml:space="preserve">chỉ số kết quả và quá trình, ROI 6 cấp (Buổi 8);</w:t>
      </w:r>
    </w:p>
    <w:p>
      <w:pPr>
        <w:pStyle w:val="ListParagraph"/>
        <w:numPr>
          <w:ilvl w:val="0"/>
          <w:numId w:val="3"/>
        </w:numPr>
        <w:spacing w:after="60"/>
      </w:pPr>
      <w:r>
        <w:t xml:space="preserve">đánh giá chung định kỳ (Buổi 8).</w:t>
      </w:r>
    </w:p>
    <w:p>
      <w:pPr>
        <w:spacing w:after="120"/>
      </w:pPr>
      <w:r>
        <w:t xml:space="preserve">Rubric chấm thấp kế hoạch chỉ đo “hài lòng”.</w:t>
      </w:r>
    </w:p>
    <w:p>
      <w:pPr>
        <w:spacing w:after="120"/>
      </w:pPr>
      <w:r>
        <w:rPr>
          <w:b/>
          <w:bCs/>
        </w:rPr>
        <w:t xml:space="preserve">Mảnh 2: các bên liên quan bên ngoài (rubric tiêu chí 6, 10%).</w:t>
      </w:r>
      <w:r>
        <w:t xml:space="preserve"> Mỗi bên trả lời bốn câu:</w:t>
      </w:r>
    </w:p>
    <w:p>
      <w:pPr>
        <w:pStyle w:val="ListParagraph"/>
        <w:numPr>
          <w:ilvl w:val="0"/>
          <w:numId w:val="5"/>
        </w:numPr>
        <w:spacing w:after="60"/>
      </w:pPr>
      <w:r>
        <w:t xml:space="preserve">Gắn vào </w:t>
      </w:r>
      <w:r>
        <w:rPr>
          <w:b/>
          <w:bCs/>
        </w:rPr>
        <w:t xml:space="preserve">điểm chạm</w:t>
      </w:r>
      <w:r>
        <w:t xml:space="preserve"> nào (trước – trong – sau)?</w:t>
      </w:r>
    </w:p>
    <w:p>
      <w:pPr>
        <w:pStyle w:val="ListParagraph"/>
        <w:numPr>
          <w:ilvl w:val="0"/>
          <w:numId w:val="5"/>
        </w:numPr>
        <w:spacing w:after="60"/>
      </w:pPr>
      <w:r>
        <w:t xml:space="preserve">Tạo </w:t>
      </w:r>
      <w:r>
        <w:rPr>
          <w:b/>
          <w:bCs/>
        </w:rPr>
        <w:t xml:space="preserve">giá trị</w:t>
      </w:r>
      <w:r>
        <w:t xml:space="preserve"> gì cho khách của Key Account?</w:t>
      </w:r>
    </w:p>
    <w:p>
      <w:pPr>
        <w:pStyle w:val="ListParagraph"/>
        <w:numPr>
          <w:ilvl w:val="0"/>
          <w:numId w:val="5"/>
        </w:numPr>
        <w:spacing w:after="60"/>
      </w:pPr>
      <w:r>
        <w:rPr>
          <w:b/>
          <w:bCs/>
        </w:rPr>
        <w:t xml:space="preserve">Quản lý</w:t>
      </w:r>
      <w:r>
        <w:t xml:space="preserve"> bằng gì (hợp đồng, ESG, KPI, người phụ trách)?</w:t>
      </w:r>
    </w:p>
    <w:p>
      <w:pPr>
        <w:pStyle w:val="ListParagraph"/>
        <w:numPr>
          <w:ilvl w:val="0"/>
          <w:numId w:val="5"/>
        </w:numPr>
        <w:spacing w:after="60"/>
      </w:pPr>
      <w:r>
        <w:rPr>
          <w:b/>
          <w:bCs/>
        </w:rPr>
        <w:t xml:space="preserve">Rủi ro, xung đột</w:t>
      </w:r>
      <w:r>
        <w:t xml:space="preserve"> và cách bảo vệ deliverables?</w:t>
      </w:r>
    </w:p>
    <w:p>
      <w:pPr>
        <w:spacing w:after="120"/>
      </w:pPr>
      <w:r>
        <w:t xml:space="preserve">Mức Xuất sắc đòi hỏi:</w:t>
      </w:r>
    </w:p>
    <w:p>
      <w:pPr>
        <w:pStyle w:val="ListParagraph"/>
        <w:numPr>
          <w:ilvl w:val="0"/>
          <w:numId w:val="3"/>
        </w:numPr>
        <w:spacing w:after="60"/>
      </w:pPr>
      <w:r>
        <w:t xml:space="preserve">đủ ba nhóm: nhà đầu tư/nhà tài trợ, nhà cung cấp/địa điểm, báo chí/KOL;</w:t>
      </w:r>
    </w:p>
    <w:p>
      <w:pPr>
        <w:pStyle w:val="ListParagraph"/>
        <w:numPr>
          <w:ilvl w:val="0"/>
          <w:numId w:val="3"/>
        </w:numPr>
        <w:spacing w:after="60"/>
      </w:pPr>
      <w:r>
        <w:rPr>
          <w:b/>
          <w:bCs/>
        </w:rPr>
        <w:t xml:space="preserve">ít nhất 2 xung đột</w:t>
      </w:r>
      <w:r>
        <w:t xml:space="preserve"> kèm cách bảo vệ deliverables;</w:t>
      </w:r>
    </w:p>
    <w:p>
      <w:pPr>
        <w:pStyle w:val="ListParagraph"/>
        <w:numPr>
          <w:ilvl w:val="0"/>
          <w:numId w:val="3"/>
        </w:numPr>
        <w:spacing w:after="60"/>
      </w:pPr>
      <w:r>
        <w:t xml:space="preserve">một </w:t>
      </w:r>
      <w:r>
        <w:rPr>
          <w:b/>
          <w:bCs/>
        </w:rPr>
        <w:t xml:space="preserve">cơ chế minh bạch</w:t>
      </w:r>
      <w:r>
        <w:t xml:space="preserve"> cho mạng lưới.</w:t>
      </w:r>
    </w:p>
    <w:p>
      <w:pPr>
        <w:spacing w:after="120"/>
      </w:pPr>
      <w:r>
        <w:rPr>
          <w:b/>
          <w:bCs/>
        </w:rPr>
        <w:t xml:space="preserve">13.2 là một bảng trong phần D, không phải ba chương rời.</w:t>
      </w:r>
      <w:r>
        <w:t xml:space="preserve"> Trang Buổi 9 (tài trợ), Buổi 10 (nhà cung cấp, địa điểm), Buổi 11 (báo chí, KOL), Buổi 12 (mạng lưới, xung đột) cùng phục vụ một hành trình của khách hàng.</w:t>
      </w:r>
    </w:p>
    <w:p>
      <w:pPr>
        <w:pStyle w:val="Heading1"/>
      </w:pPr>
      <w:r>
        <w:t xml:space="preserve">6. Phần E: năm câu cho người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4"/>
        <w:gridCol w:w="7608"/>
        <w:gridCol w:w="1016"/>
      </w:tblGrid>
      <w:tr>
        <w:trPr>
          <w:tblHeader/>
        </w:trPr>
        <w:tc>
          <w:tcPr>
            <w:tcW w:type="dxa" w:w="101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760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Câu</w:t>
            </w:r>
          </w:p>
        </w:tc>
        <w:tc>
          <w:tcPr>
            <w:tcW w:type="dxa" w:w="101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Lấy từ</w:t>
            </w:r>
          </w:p>
        </w:tc>
      </w:tr>
      <w:tr>
        <w:trPr>
          <w:tblHeader w:val="off"/>
        </w:trPr>
        <w:tc>
          <w:tcPr>
            <w:tcW w:type="dxa" w:w="10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76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hàng là ai, đang cần gì</w:t>
            </w:r>
          </w:p>
        </w:tc>
        <w:tc>
          <w:tcPr>
            <w:tcW w:type="dxa" w:w="10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w:t>
            </w:r>
          </w:p>
        </w:tc>
      </w:tr>
      <w:tr>
        <w:trPr>
          <w:tblHeader w:val="off"/>
        </w:trPr>
        <w:tc>
          <w:tcPr>
            <w:tcW w:type="dxa" w:w="10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76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Cơ hội lớn nhất</w:t>
            </w:r>
          </w:p>
        </w:tc>
        <w:tc>
          <w:tcPr>
            <w:tcW w:type="dxa" w:w="10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w:t>
            </w:r>
          </w:p>
        </w:tc>
      </w:tr>
      <w:tr>
        <w:trPr>
          <w:tblHeader w:val="off"/>
        </w:trPr>
        <w:tc>
          <w:tcPr>
            <w:tcW w:type="dxa" w:w="10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76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 đề xuất gì, trong một câu</w:t>
            </w:r>
          </w:p>
        </w:tc>
        <w:tc>
          <w:tcPr>
            <w:tcW w:type="dxa" w:w="10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w:t>
            </w:r>
          </w:p>
        </w:tc>
      </w:tr>
      <w:tr>
        <w:trPr>
          <w:tblHeader w:val="off"/>
        </w:trPr>
        <w:tc>
          <w:tcPr>
            <w:tcW w:type="dxa" w:w="10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76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có số, đo bằng gì (ghi giả định)</w:t>
            </w:r>
          </w:p>
        </w:tc>
        <w:tc>
          <w:tcPr>
            <w:tcW w:type="dxa" w:w="10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 + D</w:t>
            </w:r>
          </w:p>
        </w:tc>
      </w:tr>
      <w:tr>
        <w:trPr>
          <w:tblHeader w:val="off"/>
        </w:trPr>
        <w:tc>
          <w:tcPr>
            <w:tcW w:type="dxa" w:w="10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76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Customer Board cần quyết gì (ngân sách, cam kết, chia sẻ dữ liệu…)</w:t>
            </w:r>
          </w:p>
        </w:tc>
        <w:tc>
          <w:tcPr>
            <w:tcW w:type="dxa" w:w="10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spacing w:after="120"/>
      </w:pPr>
      <w:r>
        <w:t xml:space="preserve">Rubric tiêu chí 1: tối đa một trang, </w:t>
      </w:r>
      <w:r>
        <w:rPr>
          <w:b/>
          <w:bCs/>
        </w:rPr>
        <w:t xml:space="preserve">đọc riêng vẫn hiểu</w:t>
      </w:r>
      <w:r>
        <w:t xml:space="preserve">. Mức Kém là kể lại quá trình làm bài, thiếu giá trị có số hoặc việc cần quyết.</w:t>
      </w:r>
    </w:p>
    <w:p>
      <w:pPr>
        <w:pStyle w:val="Heading1"/>
      </w:pPr>
      <w:r>
        <w:t xml:space="preserve">7. Mười lỗi khiến key account plan thất bại</w:t>
      </w:r>
    </w:p>
    <w:p>
      <w:pPr>
        <w:spacing w:after="120"/>
      </w:pPr>
      <w:r>
        <w:t xml:space="preserve">Theo Holt (n.d.), Cranfield:</w:t>
      </w:r>
    </w:p>
    <w:p>
      <w:pPr>
        <w:pStyle w:val="ListParagraph"/>
        <w:numPr>
          <w:ilvl w:val="0"/>
          <w:numId w:val="6"/>
        </w:numPr>
        <w:spacing w:after="60"/>
      </w:pPr>
      <w:r>
        <w:t xml:space="preserve">kế hoạch là của riêng KAM;</w:t>
      </w:r>
    </w:p>
    <w:p>
      <w:pPr>
        <w:pStyle w:val="ListParagraph"/>
        <w:numPr>
          <w:ilvl w:val="0"/>
          <w:numId w:val="6"/>
        </w:numPr>
        <w:spacing w:after="60"/>
      </w:pPr>
      <w:r>
        <w:rPr>
          <w:b/>
          <w:bCs/>
        </w:rPr>
        <w:t xml:space="preserve">KAM làm một mình;</w:t>
      </w:r>
    </w:p>
    <w:p>
      <w:pPr>
        <w:pStyle w:val="ListParagraph"/>
        <w:numPr>
          <w:ilvl w:val="0"/>
          <w:numId w:val="6"/>
        </w:numPr>
        <w:spacing w:after="60"/>
      </w:pPr>
      <w:r>
        <w:t xml:space="preserve">lãnh đạo không quan tâm;</w:t>
      </w:r>
    </w:p>
    <w:p>
      <w:pPr>
        <w:pStyle w:val="ListParagraph"/>
        <w:numPr>
          <w:ilvl w:val="0"/>
          <w:numId w:val="6"/>
        </w:numPr>
        <w:spacing w:after="60"/>
      </w:pPr>
      <w:r>
        <w:t xml:space="preserve">làm một lần rồi bỏ;</w:t>
      </w:r>
    </w:p>
    <w:p>
      <w:pPr>
        <w:pStyle w:val="ListParagraph"/>
        <w:numPr>
          <w:ilvl w:val="0"/>
          <w:numId w:val="6"/>
        </w:numPr>
        <w:spacing w:after="60"/>
      </w:pPr>
      <w:r>
        <w:t xml:space="preserve">quá ngắn hạn, giao dịch;</w:t>
      </w:r>
    </w:p>
    <w:p>
      <w:pPr>
        <w:pStyle w:val="ListParagraph"/>
        <w:numPr>
          <w:ilvl w:val="0"/>
          <w:numId w:val="6"/>
        </w:numPr>
        <w:spacing w:after="60"/>
      </w:pPr>
      <w:r>
        <w:t xml:space="preserve">không rà soát, cập nhật;</w:t>
      </w:r>
    </w:p>
    <w:p>
      <w:pPr>
        <w:pStyle w:val="ListParagraph"/>
        <w:numPr>
          <w:ilvl w:val="0"/>
          <w:numId w:val="6"/>
        </w:numPr>
        <w:spacing w:after="60"/>
      </w:pPr>
      <w:r>
        <w:rPr>
          <w:b/>
          <w:bCs/>
        </w:rPr>
        <w:t xml:space="preserve">toàn nói về nhà cung cấp, ít hiểu khách hàng;</w:t>
      </w:r>
    </w:p>
    <w:p>
      <w:pPr>
        <w:pStyle w:val="ListParagraph"/>
        <w:numPr>
          <w:ilvl w:val="0"/>
          <w:numId w:val="6"/>
        </w:numPr>
        <w:spacing w:after="60"/>
      </w:pPr>
      <w:r>
        <w:t xml:space="preserve">giữ kế hoạch cho riêng mình;</w:t>
      </w:r>
    </w:p>
    <w:p>
      <w:pPr>
        <w:pStyle w:val="ListParagraph"/>
        <w:numPr>
          <w:ilvl w:val="0"/>
          <w:numId w:val="6"/>
        </w:numPr>
        <w:spacing w:after="60"/>
      </w:pPr>
      <w:r>
        <w:rPr>
          <w:b/>
          <w:bCs/>
        </w:rPr>
        <w:t xml:space="preserve">coi là điền ô;</w:t>
      </w:r>
    </w:p>
    <w:p>
      <w:pPr>
        <w:pStyle w:val="ListParagraph"/>
        <w:numPr>
          <w:ilvl w:val="0"/>
          <w:numId w:val="6"/>
        </w:numPr>
        <w:spacing w:after="60"/>
      </w:pPr>
      <w:r>
        <w:t xml:space="preserve">không ai sở hữu.</w:t>
      </w:r>
    </w:p>
    <w:p>
      <w:pPr>
        <w:spacing w:after="120"/>
      </w:pPr>
      <w:r>
        <w:t xml:space="preserve">Ba lỗi in đậm dễ gặp nhất với nhóm sinh viên. Rubric phạt đúng các lỗi này: tiêu chí 2 (“nói về agency thay vì khách hàng”, “liệt kê công cụ như điền ô”) và tiêu chí 11 (hiểu cả phần không do mình viết).</w:t>
      </w:r>
    </w:p>
    <w:p>
      <w:pPr>
        <w:pStyle w:val="Heading1"/>
      </w:pPr>
      <w:r>
        <w:t xml:space="preserve">8. Đề thi: những điều cần nhớ</w:t>
      </w:r>
    </w:p>
    <w:p>
      <w:pPr>
        <w:spacing w:after="120"/>
      </w:pPr>
      <w:r>
        <w:rPr>
          <w:i/>
          <w:iCs/>
        </w:rPr>
        <w:t xml:space="preserve">Tóm tắt từ đề thi. Khi có khác biệt, đề thi chính thức là căn cứ.</w:t>
      </w:r>
    </w:p>
    <w:p>
      <w:pPr>
        <w:spacing w:after="120"/>
      </w:pPr>
      <w:r>
        <w:rPr>
          <w:b/>
          <w:bCs/>
        </w:rPr>
        <w:t xml:space="preserve">Rubric 11 tiêu chí: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5873"/>
        <w:gridCol w:w="1204"/>
        <w:gridCol w:w="1357"/>
      </w:tblGrid>
      <w:tr>
        <w:trPr>
          <w:tblHeader/>
        </w:trPr>
        <w:tc>
          <w:tcPr>
            <w:tcW w:type="dxa" w:w="120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587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chí</w:t>
            </w:r>
          </w:p>
        </w:tc>
        <w:tc>
          <w:tcPr>
            <w:tcW w:type="dxa" w:w="120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Trọng số</w:t>
            </w:r>
          </w:p>
        </w:tc>
        <w:tc>
          <w:tcPr>
            <w:tcW w:type="dxa" w:w="135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 điểm</w:t>
            </w:r>
          </w:p>
        </w:tc>
      </w:tr>
      <w:tr>
        <w:trPr>
          <w:tblHeader w:val="off"/>
        </w:trPr>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58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Executive Summary (E)</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13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w:t>
            </w:r>
          </w:p>
        </w:tc>
      </w:tr>
      <w:tr>
        <w:trPr>
          <w:tblHeader w:val="off"/>
        </w:trPr>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58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Insights (A)</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13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w:t>
            </w:r>
          </w:p>
        </w:tc>
      </w:tr>
      <w:tr>
        <w:trPr>
          <w:tblHeader w:val="off"/>
        </w:trPr>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58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Opportunities (B)</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13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w:t>
            </w:r>
          </w:p>
        </w:tc>
      </w:tr>
      <w:tr>
        <w:trPr>
          <w:tblHeader w:val="off"/>
        </w:trPr>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58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Propositions (C)</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13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w:t>
            </w:r>
          </w:p>
        </w:tc>
      </w:tr>
      <w:tr>
        <w:trPr>
          <w:tblHeader w:val="off"/>
        </w:trPr>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58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Delivery: quan hệ Key Account</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13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w:t>
            </w:r>
          </w:p>
        </w:tc>
      </w:tr>
      <w:tr>
        <w:trPr>
          <w:tblHeader w:val="off"/>
        </w:trPr>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58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Delivery: bên liên quan bên ngoài</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13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w:t>
            </w:r>
          </w:p>
        </w:tc>
      </w:tr>
      <w:tr>
        <w:trPr>
          <w:tblHeader w:val="off"/>
        </w:trPr>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58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Trình bày, nguồn, liêm chính</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13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w:t>
            </w:r>
          </w:p>
        </w:tc>
      </w:tr>
      <w:tr>
        <w:trPr>
          <w:tblHeader w:val="off"/>
        </w:trPr>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58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Trình bày (vai KAM Director)</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13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w:t>
            </w:r>
          </w:p>
        </w:tc>
      </w:tr>
      <w:tr>
        <w:trPr>
          <w:tblHeader w:val="off"/>
        </w:trPr>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w:t>
            </w:r>
          </w:p>
        </w:tc>
        <w:tc>
          <w:tcPr>
            <w:tcW w:type="dxa" w:w="58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Bảo vệ logic tài chính</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13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Cá nhân</w:t>
            </w:r>
          </w:p>
        </w:tc>
      </w:tr>
      <w:tr>
        <w:trPr>
          <w:tblHeader w:val="off"/>
        </w:trPr>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58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Bảo vệ chiến lược điểm chạm</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13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Cá nhân</w:t>
            </w:r>
          </w:p>
        </w:tc>
      </w:tr>
      <w:tr>
        <w:trPr>
          <w:tblHeader w:val="off"/>
        </w:trPr>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w:t>
            </w:r>
          </w:p>
        </w:tc>
        <w:tc>
          <w:tcPr>
            <w:tcW w:type="dxa" w:w="58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Phản biện và làm việc nhóm</w:t>
            </w:r>
          </w:p>
        </w:tc>
        <w:tc>
          <w:tcPr>
            <w:tcW w:type="dxa" w:w="12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13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Cá nhân</w:t>
            </w:r>
          </w:p>
        </w:tc>
      </w:tr>
    </w:tbl>
    <w:p>
      <w:pPr>
        <w:spacing w:after="80" w:before="0"/>
      </w:pPr>
    </w:p>
    <w:p>
      <w:pPr>
        <w:spacing w:after="120"/>
      </w:pPr>
      <w:r>
        <w:rPr>
          <w:b/>
          <w:bCs/>
        </w:rPr>
        <w:t xml:space="preserve">Hình thức:</w:t>
      </w:r>
    </w:p>
    <w:p>
      <w:pPr>
        <w:pStyle w:val="ListParagraph"/>
        <w:numPr>
          <w:ilvl w:val="0"/>
          <w:numId w:val="3"/>
        </w:numPr>
        <w:spacing w:after="60"/>
      </w:pPr>
      <w:r>
        <w:t xml:space="preserve">A4, Times New Roman 13, giãn dòng 1,3;</w:t>
      </w:r>
    </w:p>
    <w:p>
      <w:pPr>
        <w:pStyle w:val="ListParagraph"/>
        <w:numPr>
          <w:ilvl w:val="0"/>
          <w:numId w:val="3"/>
        </w:numPr>
        <w:spacing w:after="60"/>
      </w:pPr>
      <w:r>
        <w:t xml:space="preserve">lề trên, dưới 2 cm; trái 3 cm; phải 2 cm; đánh số trang;</w:t>
      </w:r>
    </w:p>
    <w:p>
      <w:pPr>
        <w:pStyle w:val="ListParagraph"/>
        <w:numPr>
          <w:ilvl w:val="0"/>
          <w:numId w:val="3"/>
        </w:numPr>
        <w:spacing w:after="60"/>
      </w:pPr>
      <w:r>
        <w:t xml:space="preserve">nội dung chính 20–30 trang (không tính bìa, mục lục, tài liệu tham khảo, phụ lục);</w:t>
      </w:r>
    </w:p>
    <w:p>
      <w:pPr>
        <w:pStyle w:val="ListParagraph"/>
        <w:numPr>
          <w:ilvl w:val="0"/>
          <w:numId w:val="3"/>
        </w:numPr>
        <w:spacing w:after="60"/>
      </w:pPr>
      <w:r>
        <w:t xml:space="preserve">trích dẫn APA 7.</w:t>
      </w:r>
    </w:p>
    <w:p>
      <w:pPr>
        <w:spacing w:after="120"/>
      </w:pPr>
      <w:r>
        <w:rPr>
          <w:b/>
          <w:bCs/>
        </w:rPr>
        <w:t xml:space="preserve">Nộp bài:</w:t>
      </w:r>
    </w:p>
    <w:p>
      <w:pPr>
        <w:pStyle w:val="ListParagraph"/>
        <w:numPr>
          <w:ilvl w:val="0"/>
          <w:numId w:val="3"/>
        </w:numPr>
        <w:spacing w:after="60"/>
      </w:pPr>
      <w:r>
        <w:t xml:space="preserve">trên LMS trước </w:t>
      </w:r>
      <w:r>
        <w:rPr>
          <w:b/>
          <w:bCs/>
        </w:rPr>
        <w:t xml:space="preserve">23:59 ngày 14/10/2026</w:t>
      </w:r>
      <w:r>
        <w:t xml:space="preserve">: 01 file PDF kế hoạch + 01 file slide;</w:t>
      </w:r>
    </w:p>
    <w:p>
      <w:pPr>
        <w:pStyle w:val="ListParagraph"/>
        <w:numPr>
          <w:ilvl w:val="0"/>
          <w:numId w:val="3"/>
        </w:numPr>
        <w:spacing w:after="60"/>
      </w:pPr>
      <w:r>
        <w:t xml:space="preserve">tên file EVM1110E_Nhom[số nhóm]_SMP.pdf và EVM1110E_Nhom[số nhóm]_Slide.pdf (hoặc .pptx);</w:t>
      </w:r>
    </w:p>
    <w:p>
      <w:pPr>
        <w:pStyle w:val="ListParagraph"/>
        <w:numPr>
          <w:ilvl w:val="0"/>
          <w:numId w:val="3"/>
        </w:numPr>
        <w:spacing w:after="60"/>
      </w:pPr>
      <w:r>
        <w:t xml:space="preserve">nộp trễ 1 ngày trừ 20% số điểm; không được nộp trễ quá 3 ngày.</w:t>
      </w:r>
    </w:p>
    <w:p>
      <w:pPr>
        <w:spacing w:after="120"/>
      </w:pPr>
      <w:r>
        <w:rPr>
          <w:b/>
          <w:bCs/>
        </w:rPr>
        <w:t xml:space="preserve">Bốn phụ lục bắt buộc:</w:t>
      </w:r>
    </w:p>
    <w:p>
      <w:pPr>
        <w:pStyle w:val="ListParagraph"/>
        <w:numPr>
          <w:ilvl w:val="0"/>
          <w:numId w:val="7"/>
        </w:numPr>
        <w:spacing w:after="60"/>
      </w:pPr>
      <w:r>
        <w:t xml:space="preserve">bảng phân công và tự đánh giá mức đóng góp của từng thành viên (căn cứ đánh giá làm việc nhóm);</w:t>
      </w:r>
    </w:p>
    <w:p>
      <w:pPr>
        <w:pStyle w:val="ListParagraph"/>
        <w:numPr>
          <w:ilvl w:val="0"/>
          <w:numId w:val="7"/>
        </w:numPr>
        <w:spacing w:after="60"/>
      </w:pPr>
      <w:r>
        <w:t xml:space="preserve">bảng truy vết các trang đã làm trên lớp (Buổi 1–13), kèm ảnh chụp;</w:t>
      </w:r>
    </w:p>
    <w:p>
      <w:pPr>
        <w:pStyle w:val="ListParagraph"/>
        <w:numPr>
          <w:ilvl w:val="0"/>
          <w:numId w:val="7"/>
        </w:numPr>
        <w:spacing w:after="60"/>
      </w:pPr>
      <w:r>
        <w:t xml:space="preserve">danh sách các giả định chính;</w:t>
      </w:r>
    </w:p>
    <w:p>
      <w:pPr>
        <w:pStyle w:val="ListParagraph"/>
        <w:numPr>
          <w:ilvl w:val="0"/>
          <w:numId w:val="7"/>
        </w:numPr>
        <w:spacing w:after="60"/>
      </w:pPr>
      <w:r>
        <w:t xml:space="preserve">công bố sử dụng công cụ AI (nếu có).</w:t>
      </w:r>
    </w:p>
    <w:p>
      <w:pPr>
        <w:spacing w:after="120"/>
      </w:pPr>
      <w:r>
        <w:rPr>
          <w:b/>
          <w:bCs/>
        </w:rPr>
        <w:t xml:space="preserve">Sử dụng AI.</w:t>
      </w:r>
      <w:r>
        <w:t xml:space="preserve"> Quy định của giảng viên: </w:t>
      </w:r>
      <w:r>
        <w:rPr>
          <w:i/>
          <w:iCs/>
        </w:rPr>
        <w:t xml:space="preserve">“Cho phép, chỉ cần khai báo và phải hiểu bài thông qua việc trả lời được các câu hỏi vấn đáp.”</w:t>
      </w:r>
      <w:r>
        <w:t xml:space="preserve"> Phụ lục công bố ghi: công cụ nào, dùng cho phần nào, nhóm đã kiểm tra và sửa gì. Mọi thành viên phải tự giải thích được mọi phần của kế hoạch.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4176"/>
        <w:gridCol w:w="4177"/>
      </w:tblGrid>
      <w:tr>
        <w:trPr>
          <w:tblHeader/>
        </w:trPr>
        <w:tc>
          <w:tcPr>
            <w:tcW w:type="dxa" w:w="128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Công cụ</w:t>
            </w:r>
          </w:p>
        </w:tc>
        <w:tc>
          <w:tcPr>
            <w:tcW w:type="dxa" w:w="417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Dùng cho phần nào, việc gì</w:t>
            </w:r>
          </w:p>
        </w:tc>
        <w:tc>
          <w:tcPr>
            <w:tcW w:type="dxa" w:w="417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Nhóm đã kiểm tra và sửa gì</w:t>
            </w:r>
          </w:p>
        </w:tc>
      </w:tr>
      <w:tr>
        <w:trPr>
          <w:tblHeader w:val="off"/>
        </w:trPr>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1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1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r>
    </w:tbl>
    <w:p>
      <w:pPr>
        <w:spacing w:after="80" w:before="0"/>
      </w:pPr>
    </w:p>
    <w:p>
      <w:pPr>
        <w:spacing w:after="120"/>
      </w:pPr>
      <w:r>
        <w:rPr>
          <w:b/>
          <w:bCs/>
        </w:rPr>
        <w:t xml:space="preserve">Dữ liệu cá nhân.</w:t>
      </w:r>
      <w:r>
        <w:t xml:space="preserve"> Không đưa thông tin cá nhân của người thật tại khách hàng; dùng </w:t>
      </w:r>
      <w:r>
        <w:rPr>
          <w:b/>
          <w:bCs/>
        </w:rPr>
        <w:t xml:space="preserve">chức danh</w:t>
      </w:r>
      <w:r>
        <w:t xml:space="preserve">. Có thể viết tắt tên khách hàng nếu cần bảo mật.</w:t>
      </w:r>
    </w:p>
    <w:p>
      <w:pPr>
        <w:spacing w:after="120"/>
      </w:pPr>
      <w:r>
        <w:rPr>
          <w:b/>
          <w:bCs/>
        </w:rPr>
        <w:t xml:space="preserve">Buổi bảo vệ (Buổi 14–15):</w:t>
      </w:r>
    </w:p>
    <w:p>
      <w:pPr>
        <w:pStyle w:val="ListParagraph"/>
        <w:numPr>
          <w:ilvl w:val="0"/>
          <w:numId w:val="3"/>
        </w:numPr>
        <w:spacing w:after="60"/>
      </w:pPr>
      <w:r>
        <w:t xml:space="preserve">mỗi nhóm 30 phút: 15 phút trình bày (vai KAM Director) và 15 phút hỏi đáp;</w:t>
      </w:r>
    </w:p>
    <w:p>
      <w:pPr>
        <w:pStyle w:val="ListParagraph"/>
        <w:numPr>
          <w:ilvl w:val="0"/>
          <w:numId w:val="3"/>
        </w:numPr>
        <w:spacing w:after="60"/>
      </w:pPr>
      <w:r>
        <w:t xml:space="preserve">Customer Board tập trung vào </w:t>
      </w:r>
      <w:r>
        <w:rPr>
          <w:b/>
          <w:bCs/>
        </w:rPr>
        <w:t xml:space="preserve">logic tài chính</w:t>
      </w:r>
      <w:r>
        <w:t xml:space="preserve"> (giá trị, CLV, cost-to-serve, giả định) và </w:t>
      </w:r>
      <w:r>
        <w:rPr>
          <w:b/>
          <w:bCs/>
        </w:rPr>
        <w:t xml:space="preserve">chiến lược điểm chạm</w:t>
      </w:r>
      <w:r>
        <w:t xml:space="preserve"> (trước – trong – sau, vai trò các bên bên ngoài);</w:t>
      </w:r>
    </w:p>
    <w:p>
      <w:pPr>
        <w:pStyle w:val="ListParagraph"/>
        <w:numPr>
          <w:ilvl w:val="0"/>
          <w:numId w:val="3"/>
        </w:numPr>
        <w:spacing w:after="60"/>
      </w:pPr>
      <w:r>
        <w:rPr>
          <w:b/>
          <w:bCs/>
        </w:rPr>
        <w:t xml:space="preserve">mỗi thành viên trả lời ít nhất một câu</w:t>
      </w:r>
      <w:r>
        <w:t xml:space="preserve">; Customer Board có thể chỉ định người trả lời;</w:t>
      </w:r>
    </w:p>
    <w:p>
      <w:pPr>
        <w:pStyle w:val="ListParagraph"/>
        <w:numPr>
          <w:ilvl w:val="0"/>
          <w:numId w:val="3"/>
        </w:numPr>
        <w:spacing w:after="60"/>
      </w:pPr>
      <w:r>
        <w:t xml:space="preserve">slide và trình bày bằng tiếng Việt.</w:t>
      </w:r>
    </w:p>
    <w:p>
      <w:pPr>
        <w:pStyle w:val="Heading1"/>
      </w:pPr>
      <w: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89"/>
        <w:gridCol w:w="4449"/>
      </w:tblGrid>
      <w:tr>
        <w:trPr>
          <w:tblHeader/>
        </w:trPr>
        <w:tc>
          <w:tcPr>
            <w:tcW w:type="dxa" w:w="518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Thuật ngữ</w:t>
            </w:r>
          </w:p>
        </w:tc>
        <w:tc>
          <w:tcPr>
            <w:tcW w:type="dxa" w:w="444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Nghĩa</w:t>
            </w:r>
          </w:p>
        </w:tc>
      </w:tr>
      <w:tr>
        <w:trPr>
          <w:tblHeader w:val="off"/>
        </w:trPr>
        <w:tc>
          <w:tcPr>
            <w:tcW w:type="dxa" w:w="51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Key Account Plan (KAP)</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 hoạch khách hàng trọng yếu</w:t>
            </w:r>
          </w:p>
        </w:tc>
      </w:tr>
      <w:tr>
        <w:trPr>
          <w:tblHeader w:val="off"/>
        </w:trPr>
        <w:tc>
          <w:tcPr>
            <w:tcW w:type="dxa" w:w="51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Stakeholder Management Plan (SMP)</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 hoạch quản trị các bên liên quan</w:t>
            </w:r>
          </w:p>
        </w:tc>
      </w:tr>
      <w:tr>
        <w:trPr>
          <w:tblHeader w:val="off"/>
        </w:trPr>
        <w:tc>
          <w:tcPr>
            <w:tcW w:type="dxa" w:w="51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Planning Framework</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Khung lập kế hoạch giá trị (A–E)</w:t>
            </w:r>
          </w:p>
        </w:tc>
      </w:tr>
      <w:tr>
        <w:trPr>
          <w:tblHeader w:val="off"/>
        </w:trPr>
        <w:tc>
          <w:tcPr>
            <w:tcW w:type="dxa" w:w="51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insights / opportunities / propositions / delivery</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Hiểu biết / cơ hội / đề xuất / thực hiện giá trị</w:t>
            </w:r>
          </w:p>
        </w:tc>
      </w:tr>
      <w:tr>
        <w:trPr>
          <w:tblHeader w:val="off"/>
        </w:trPr>
        <w:tc>
          <w:tcPr>
            <w:tcW w:type="dxa" w:w="51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Executive summary</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Tóm tắt cho lãnh đạo</w:t>
            </w:r>
          </w:p>
        </w:tc>
      </w:tr>
      <w:tr>
        <w:trPr>
          <w:tblHeader w:val="off"/>
        </w:trPr>
        <w:tc>
          <w:tcPr>
            <w:tcW w:type="dxa" w:w="51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Assumption</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w:t>
            </w:r>
          </w:p>
        </w:tc>
      </w:tr>
    </w:tbl>
    <w:p>
      <w:pPr>
        <w:spacing w:after="80" w:before="0"/>
      </w:pPr>
    </w:p>
    <w:p>
      <w:pPr>
        <w:pStyle w:val="Heading1"/>
      </w:pPr>
      <w:r>
        <w:t xml:space="preserve">Lỗi thường gặp</w:t>
      </w:r>
    </w:p>
    <w:p>
      <w:pPr>
        <w:pStyle w:val="ListParagraph"/>
        <w:numPr>
          <w:ilvl w:val="0"/>
          <w:numId w:val="3"/>
        </w:numPr>
        <w:spacing w:after="60"/>
      </w:pPr>
      <w:r>
        <w:t xml:space="preserve">Phần A nói về agency thay vì thế giới của khách hàng.</w:t>
      </w:r>
    </w:p>
    <w:p>
      <w:pPr>
        <w:pStyle w:val="ListParagraph"/>
        <w:numPr>
          <w:ilvl w:val="0"/>
          <w:numId w:val="3"/>
        </w:numPr>
        <w:spacing w:after="60"/>
      </w:pPr>
      <w:r>
        <w:t xml:space="preserve">Phần C hứa mà không có số, hoặc có số mà không có nguồn hay giả định.</w:t>
      </w:r>
    </w:p>
    <w:p>
      <w:pPr>
        <w:pStyle w:val="ListParagraph"/>
        <w:numPr>
          <w:ilvl w:val="0"/>
          <w:numId w:val="3"/>
        </w:numPr>
        <w:spacing w:after="60"/>
      </w:pPr>
      <w:r>
        <w:t xml:space="preserve">Phần D liệt kê các bên bên ngoài mà không gắn điểm chạm, cách quản lý, rủi ro.</w:t>
      </w:r>
    </w:p>
    <w:p>
      <w:pPr>
        <w:pStyle w:val="ListParagraph"/>
        <w:numPr>
          <w:ilvl w:val="0"/>
          <w:numId w:val="3"/>
        </w:numPr>
        <w:spacing w:after="60"/>
      </w:pPr>
      <w:r>
        <w:t xml:space="preserve">Executive Summary kể lại quá trình làm bài.</w:t>
      </w:r>
    </w:p>
    <w:p>
      <w:pPr>
        <w:pStyle w:val="ListParagraph"/>
        <w:numPr>
          <w:ilvl w:val="0"/>
          <w:numId w:val="3"/>
        </w:numPr>
        <w:spacing w:after="60"/>
      </w:pPr>
      <w:r>
        <w:t xml:space="preserve">Một người viết phần lớn kế hoạch; thành viên khác không giải thích được phần không do mình viết.</w:t>
      </w:r>
    </w:p>
    <w:p>
      <w:pPr>
        <w:pStyle w:val="ListParagraph"/>
        <w:numPr>
          <w:ilvl w:val="0"/>
          <w:numId w:val="3"/>
        </w:numPr>
        <w:spacing w:after="60"/>
      </w:pPr>
      <w:r>
        <w:t xml:space="preserve">Thiếu phụ lục bắt buộc.</w:t>
      </w:r>
    </w:p>
    <w:p>
      <w:pPr>
        <w:pStyle w:val="Heading1"/>
      </w:pPr>
      <w:r>
        <w:t xml:space="preserve">Câu hỏi tự ôn</w:t>
      </w:r>
    </w:p>
    <w:p>
      <w:pPr>
        <w:pStyle w:val="ListParagraph"/>
        <w:numPr>
          <w:ilvl w:val="0"/>
          <w:numId w:val="8"/>
        </w:numPr>
        <w:spacing w:after="60"/>
      </w:pPr>
      <w:r>
        <w:t xml:space="preserve">Phần nào trong A–E của SMP nhóm bạn đang yếu nhất? Nhóm cần thông tin gì, từ đâu để hoàn thiện?</w:t>
      </w:r>
    </w:p>
    <w:p>
      <w:pPr>
        <w:pStyle w:val="ListParagraph"/>
        <w:numPr>
          <w:ilvl w:val="0"/>
          <w:numId w:val="8"/>
        </w:numPr>
        <w:spacing w:after="60"/>
      </w:pPr>
      <w:r>
        <w:t xml:space="preserve">Viết một câu value proposition cho khách hàng của nhóm, có con số, ghi rõ đâu là giả định.</w:t>
      </w:r>
    </w:p>
    <w:p>
      <w:pPr>
        <w:pStyle w:val="ListParagraph"/>
        <w:numPr>
          <w:ilvl w:val="0"/>
          <w:numId w:val="8"/>
        </w:numPr>
        <w:spacing w:after="60"/>
      </w:pPr>
      <w:r>
        <w:t xml:space="preserve">Chọn một con số quan trọng trong SMP của nhóm. Nếu giả định đằng sau nó sai 20%, kết luận của nhóm thay đổi thế nào?</w:t>
      </w:r>
    </w:p>
    <w:p>
      <w:pPr>
        <w:pStyle w:val="ListParagraph"/>
        <w:numPr>
          <w:ilvl w:val="0"/>
          <w:numId w:val="8"/>
        </w:numPr>
        <w:spacing w:after="60"/>
      </w:pPr>
      <w:r>
        <w:t xml:space="preserve">Chọn một bên liên quan bên ngoài trong SMP. Trả lời bốn câu: điểm chạm, giá trị, cách quản lý, rủi ro.</w:t>
      </w:r>
    </w:p>
    <w:p>
      <w:pPr>
        <w:pStyle w:val="Heading1"/>
      </w:pPr>
      <w:r>
        <w:t xml:space="preserve">Tài liệu tham khảo</w:t>
      </w:r>
    </w:p>
    <w:p>
      <w:pPr>
        <w:pStyle w:val="ListParagraph"/>
        <w:numPr>
          <w:ilvl w:val="0"/>
          <w:numId w:val="3"/>
        </w:numPr>
        <w:spacing w:after="60"/>
      </w:pPr>
      <w:r>
        <w:t xml:space="preserve">Davies, M. (n.d.). </w:t>
      </w:r>
      <w:r>
        <w:rPr>
          <w:i/>
          <w:iCs/>
        </w:rPr>
        <w:t xml:space="preserve">Creating compelling customer value propositions</w:t>
      </w:r>
      <w:r>
        <w:t xml:space="preserve">. Cranfield School of Management Executive Development Blog.</w:t>
      </w:r>
    </w:p>
    <w:p>
      <w:pPr>
        <w:pStyle w:val="ListParagraph"/>
        <w:numPr>
          <w:ilvl w:val="0"/>
          <w:numId w:val="3"/>
        </w:numPr>
        <w:spacing w:after="60"/>
      </w:pPr>
      <w:r>
        <w:t xml:space="preserve">Davies, M. (n.d.). </w:t>
      </w:r>
      <w:r>
        <w:rPr>
          <w:i/>
          <w:iCs/>
        </w:rPr>
        <w:t xml:space="preserve">The value planning framework for key accounts</w:t>
      </w:r>
      <w:r>
        <w:t xml:space="preserve">. Key Account Management Forum.</w:t>
      </w:r>
    </w:p>
    <w:p>
      <w:pPr>
        <w:pStyle w:val="ListParagraph"/>
        <w:numPr>
          <w:ilvl w:val="0"/>
          <w:numId w:val="3"/>
        </w:numPr>
        <w:spacing w:after="60"/>
      </w:pPr>
      <w:r>
        <w:t xml:space="preserve">Holt, S. (n.d.). </w:t>
      </w:r>
      <w:r>
        <w:rPr>
          <w:i/>
          <w:iCs/>
        </w:rPr>
        <w:t xml:space="preserve">World class key account planning</w:t>
      </w:r>
      <w:r>
        <w:t xml:space="preserve">. Cranfield School of Management Executive Development Blog.</w:t>
      </w:r>
    </w:p>
    <w:p>
      <w:pPr>
        <w:pStyle w:val="ListParagraph"/>
        <w:numPr>
          <w:ilvl w:val="0"/>
          <w:numId w:val="3"/>
        </w:numPr>
        <w:spacing w:after="60"/>
      </w:pPr>
      <w:r>
        <w:t xml:space="preserve">Lemon, K. N., &amp; Verhoef, P. C. (2016). Understanding customer experience throughout the customer journey. </w:t>
      </w:r>
      <w:r>
        <w:rPr>
          <w:i/>
          <w:iCs/>
        </w:rPr>
        <w:t xml:space="preserve">Journal of Marketing, 80</w:t>
      </w:r>
      <w:r>
        <w:t xml:space="preserve">(6), 69–96.</w:t>
      </w:r>
    </w:p>
    <w:p>
      <w:pPr>
        <w:pStyle w:val="ListParagraph"/>
        <w:numPr>
          <w:ilvl w:val="0"/>
          <w:numId w:val="3"/>
        </w:numPr>
        <w:spacing w:after="60"/>
      </w:pPr>
      <w:r>
        <w:t xml:space="preserve">Marcos, J., Davies, M., Guesalaga, R., &amp; Holt, S. (2018). </w:t>
      </w:r>
      <w:r>
        <w:rPr>
          <w:i/>
          <w:iCs/>
        </w:rPr>
        <w:t xml:space="preserve">Implementing key account management: Designing customer-centric processes for mutual growth</w:t>
      </w:r>
      <w:r>
        <w:t xml:space="preserve">. Kogan Page.</w:t>
      </w:r>
    </w:p>
    <w:p>
      <w:pPr>
        <w:pStyle w:val="ListParagraph"/>
        <w:numPr>
          <w:ilvl w:val="0"/>
          <w:numId w:val="3"/>
        </w:numPr>
        <w:spacing w:after="60"/>
      </w:pPr>
      <w:r>
        <w:t xml:space="preserve">McDonald, M. (n.d.). </w:t>
      </w:r>
      <w:r>
        <w:rPr>
          <w:i/>
          <w:iCs/>
        </w:rPr>
        <w:t xml:space="preserve">How to create financially quantified value propositions in six (actionable!) steps</w:t>
      </w:r>
      <w:r>
        <w:t xml:space="preserve">. Strategic Account Management Association.</w:t>
      </w:r>
    </w:p>
    <w:p>
      <w:pPr>
        <w:pStyle w:val="ListParagraph"/>
        <w:numPr>
          <w:ilvl w:val="0"/>
          <w:numId w:val="3"/>
        </w:numPr>
        <w:spacing w:after="60"/>
      </w:pPr>
      <w:r>
        <w:t xml:space="preserve">Ryals, L. J., &amp; Rogers, B. (2007). Key account planning: Benefits, barriers and best practice. </w:t>
      </w:r>
      <w:r>
        <w:rPr>
          <w:i/>
          <w:iCs/>
        </w:rPr>
        <w:t xml:space="preserve">Journal of Strategic Marketing, 15</w:t>
      </w:r>
      <w:r>
        <w:t xml:space="preserve">, 209–222.</w:t>
      </w:r>
    </w:p>
    <w:p>
      <w:pPr>
        <w:pStyle w:val="ListParagraph"/>
        <w:numPr>
          <w:ilvl w:val="0"/>
          <w:numId w:val="3"/>
        </w:numPr>
        <w:spacing w:after="60"/>
      </w:pPr>
      <w:r>
        <w:t xml:space="preserve">Ryals, L., &amp; McDonald, M. (2010). </w:t>
      </w:r>
      <w:r>
        <w:rPr>
          <w:i/>
          <w:iCs/>
        </w:rPr>
        <w:t xml:space="preserve">Key account plans</w:t>
      </w:r>
      <w:r>
        <w:t xml:space="preserve">. Routledge.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Tài liệu tóm tắt dành cho sinh viên · Trang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13: Xây dựng SMP quanh Key Account Plan</dc:title>
  <dc:creator>EVM1110E</dc:creator>
  <cp:lastModifiedBy>Un-named</cp:lastModifiedBy>
  <cp:revision>1</cp:revision>
  <dcterms:created xsi:type="dcterms:W3CDTF">2026-10-05T01:39:45.525Z</dcterms:created>
  <dcterms:modified xsi:type="dcterms:W3CDTF">2026-10-05T01:39:45.525Z</dcterms:modified>
</cp:coreProperties>
</file>

<file path=docProps/custom.xml><?xml version="1.0" encoding="utf-8"?>
<Properties xmlns="http://schemas.openxmlformats.org/officeDocument/2006/custom-properties" xmlns:vt="http://schemas.openxmlformats.org/officeDocument/2006/docPropsVTypes"/>
</file>