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6: Năng lực tài chính trong KAM</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W06_slides.pptx (bản chính) và W06_slides_Roboto.pptx (bản font Roboto, dùng khi máy chiếu không có font Alexandria).</w:t>
      </w:r>
    </w:p>
    <w:p>
      <w:pPr>
        <w:pStyle w:val="Title"/>
      </w:pPr>
      <w:r>
        <w:t xml:space="preserve">Giáo án (kế hoạch buổi học)</w:t>
      </w:r>
    </w:p>
    <w:p>
      <w:pPr>
        <w:pStyle w:val="Heading1"/>
      </w:pPr>
      <w:r>
        <w:t xml:space="preserve">Giáo án — Buổi 6: Financial Acumen in KAM</w:t>
      </w:r>
    </w:p>
    <w:p>
      <w:pPr>
        <w:spacing w:after="120"/>
      </w:pPr>
      <w:r>
        <w:rPr>
          <w:b/>
          <w:bCs/>
        </w:rPr>
        <w:t xml:space="preserve">Học phần:</w:t>
      </w:r>
      <w:r>
        <w:t xml:space="preserve"> EVM1110E Quản trị mối quan hệ trong tổ chức sự kiện · </w:t>
      </w:r>
      <w:r>
        <w:rPr>
          <w:b/>
          <w:bCs/>
        </w:rPr>
        <w:t xml:space="preserve">Buổi:</w:t>
      </w:r>
      <w:r>
        <w:t xml:space="preserve"> 6/15 (Phần 2 — KAM, buổi 5/7)</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buoi-06_tu-lieu-tong-hop.md</w:t>
      </w:r>
      <w:r>
        <w:t xml:space="preserve"> (tư liệu F01–F07; quyết định GV 1–5 ngày 28/9/2026).</w:t>
      </w:r>
    </w:p>
    <w:p>
      <w:pPr>
        <w:spacing w:after="120"/>
      </w:pPr>
      <w:r>
        <w:rPr>
          <w:b/>
          <w:bCs/>
        </w:rPr>
        <w:t xml:space="preserve">Trạng thái:</w:t>
      </w:r>
      <w:r>
        <w:t xml:space="preserve"> BẢN SOẠN (28/9/2026) — cho kỳ dạy sau. </w:t>
      </w:r>
      <w:r>
        <w:rPr>
          <w:b/>
          <w:bCs/>
        </w:rPr>
        <w:t xml:space="preserve">Chờ GV xác nhận.</w:t>
      </w:r>
    </w:p>
    <w:p>
      <w:pPr>
        <w:spacing w:after="120"/>
      </w:pPr>
      <w:r>
        <w:rPr>
          <w:b/>
          <w:bCs/>
        </w:rPr>
        <w:t xml:space="preserve">Góc nhìn (quyết định GV):</w:t>
      </w:r>
      <w:r>
        <w:t xml:space="preserve"> agency (Nova) tính </w:t>
      </w:r>
      <w:r>
        <w:rPr>
          <w:b/>
          <w:bCs/>
        </w:rPr>
        <w:t xml:space="preserve">giá trị của Key Account với Nova</w:t>
      </w:r>
      <w:r>
        <w:t xml:space="preserve"> (CLV) và </w:t>
      </w:r>
      <w:r>
        <w:rPr>
          <w:b/>
          <w:bCs/>
        </w:rPr>
        <w:t xml:space="preserve">chi phí để phục vụ</w:t>
      </w:r>
      <w:r>
        <w:t xml:space="preserve"> — để quan hệ </w:t>
      </w:r>
      <w:r>
        <w:rPr>
          <w:b/>
          <w:bCs/>
        </w:rPr>
        <w:t xml:space="preserve">có lợi cho cả hai bên</w:t>
      </w:r>
      <w:r>
        <w:t xml:space="preserve">. CLV dùng </w:t>
      </w:r>
      <w:r>
        <w:rPr>
          <w:b/>
          <w:bCs/>
        </w:rPr>
        <w:t xml:space="preserve">công thức đơn giản</w:t>
      </w:r>
      <w:r>
        <w:t xml:space="preserve"> với số giả định. Ma trận dùng </w:t>
      </w:r>
      <w:r>
        <w:rPr>
          <w:b/>
          <w:bCs/>
        </w:rPr>
        <w:t xml:space="preserve">biến thể của ma trận Shapiro et al. (1987)</w:t>
      </w:r>
      <w:r>
        <w:t xml:space="preserve">: trục dọc </w:t>
      </w:r>
      <w:r>
        <w:rPr>
          <w:b/>
          <w:bCs/>
        </w:rPr>
        <w:t xml:space="preserve">biên lợi nhuận gộp</w:t>
      </w:r>
      <w:r>
        <w:t xml:space="preserve">, trục ngang </w:t>
      </w:r>
      <w:r>
        <w:rPr>
          <w:b/>
          <w:bCs/>
        </w:rPr>
        <w:t xml:space="preserve">cost-to-serve</w:t>
      </w:r>
      <w:r>
        <w:t xml:space="preserve"> (ghi rõ là biến thể của môn; tên bốn ô </w:t>
      </w:r>
      <w:r>
        <w:rPr>
          <w:rFonts w:ascii="Courier New" w:cs="Courier New" w:eastAsia="Courier New" w:hAnsi="Courier New"/>
        </w:rPr>
        <w:t xml:space="preserve">[VERIFY]</w:t>
      </w:r>
      <w:r>
        <w:t xml:space="preserve">). Thông điệp: không bán lỗ cho khách hàng nào, nhưng cũng </w:t>
      </w:r>
      <w:r>
        <w:rPr>
          <w:b/>
          <w:bCs/>
        </w:rPr>
        <w:t xml:space="preserve">không ép khách</w:t>
      </w:r>
      <w:r>
        <w:t xml:space="preserve"> — cùng khách giảm chi phí phục vụ. Năm khách hàng dùng lại từ Buổi 2.</w:t>
      </w:r>
    </w:p>
    <w:p>
      <w:pPr>
        <w:pStyle w:val="Heading2"/>
      </w:pPr>
      <w:r>
        <w:t xml:space="preserve">Chuẩn đầu ra phục vụ</w:t>
      </w:r>
    </w:p>
    <w:p>
      <w:pPr>
        <w:pStyle w:val="ListParagraph"/>
        <w:numPr>
          <w:ilvl w:val="0"/>
          <w:numId w:val="2"/>
        </w:numPr>
        <w:spacing w:after="60"/>
      </w:pPr>
      <w:r>
        <w:rPr>
          <w:b/>
          <w:bCs/>
        </w:rPr>
        <w:t xml:space="preserve">CLO1</w:t>
      </w:r>
      <w:r>
        <w:t xml:space="preserve"> — (theo đề cương; lõi KAM) </w:t>
      </w:r>
      <w:r>
        <w:rPr>
          <w:i/>
          <w:iCs/>
        </w:rPr>
        <w:t xml:space="preserve">(S2, S4, S5)</w:t>
      </w:r>
    </w:p>
    <w:p>
      <w:pPr>
        <w:pStyle w:val="ListParagraph"/>
        <w:numPr>
          <w:ilvl w:val="0"/>
          <w:numId w:val="2"/>
        </w:numPr>
        <w:spacing w:after="60"/>
      </w:pPr>
      <w:r>
        <w:rPr>
          <w:b/>
          <w:bCs/>
        </w:rPr>
        <w:t xml:space="preserve">CLO4</w:t>
      </w:r>
      <w:r>
        <w:t xml:space="preserve"> — Phân tích – tổng hợp </w:t>
      </w:r>
      <w:r>
        <w:rPr>
          <w:i/>
          <w:iCs/>
        </w:rPr>
        <w:t xml:space="preserve">(S3, S6)</w:t>
      </w:r>
    </w:p>
    <w:p>
      <w:pPr>
        <w:pStyle w:val="ListParagraph"/>
        <w:numPr>
          <w:ilvl w:val="0"/>
          <w:numId w:val="2"/>
        </w:numPr>
        <w:spacing w:after="60"/>
      </w:pPr>
      <w:r>
        <w:rPr>
          <w:b/>
          <w:bCs/>
        </w:rPr>
        <w:t xml:space="preserve">CLO5</w:t>
      </w:r>
      <w:r>
        <w:t xml:space="preserve"> — Xử lý tình huống, đề xuất hài hòa lợi ích </w:t>
      </w:r>
      <w:r>
        <w:rPr>
          <w:i/>
          <w:iCs/>
        </w:rPr>
        <w:t xml:space="preserve">(S6)</w:t>
      </w:r>
    </w:p>
    <w:p>
      <w:pPr>
        <w:pStyle w:val="ListParagraph"/>
        <w:numPr>
          <w:ilvl w:val="0"/>
          <w:numId w:val="2"/>
        </w:numPr>
        <w:spacing w:after="60"/>
      </w:pPr>
      <w:r>
        <w:rPr>
          <w:i/>
          <w:iCs/>
        </w:rPr>
        <w:t xml:space="preserve">Phụ:</w:t>
      </w:r>
      <w:r>
        <w:t xml:space="preserve"> CLO7.</w:t>
      </w:r>
    </w:p>
    <w:p>
      <w:pPr>
        <w:spacing w:after="120"/>
      </w:pPr>
      <w:r>
        <w:rPr>
          <w:b/>
          <w:bCs/>
        </w:rPr>
        <w:t xml:space="preserve">Mục tiêu cụ thể — cuối buổi SV có thể:</w:t>
      </w:r>
    </w:p>
    <w:p>
      <w:pPr>
        <w:pStyle w:val="ListParagraph"/>
        <w:numPr>
          <w:ilvl w:val="0"/>
          <w:numId w:val="3"/>
        </w:numPr>
        <w:spacing w:after="60"/>
      </w:pPr>
      <w:r>
        <w:rPr>
          <w:b/>
          <w:bCs/>
        </w:rPr>
        <w:t xml:space="preserve">Tính</w:t>
      </w:r>
      <w:r>
        <w:t xml:space="preserve"> CLV đơn giản của một Key Account và </w:t>
      </w:r>
      <w:r>
        <w:rPr>
          <w:b/>
          <w:bCs/>
        </w:rPr>
        <w:t xml:space="preserve">giải thích</w:t>
      </w:r>
      <w:r>
        <w:t xml:space="preserve"> ảnh hưởng của tỷ lệ giữ chân, chiết khấu.</w:t>
      </w:r>
    </w:p>
    <w:p>
      <w:pPr>
        <w:pStyle w:val="ListParagraph"/>
        <w:numPr>
          <w:ilvl w:val="0"/>
          <w:numId w:val="3"/>
        </w:numPr>
        <w:spacing w:after="60"/>
      </w:pPr>
      <w:r>
        <w:rPr>
          <w:b/>
          <w:bCs/>
        </w:rPr>
        <w:t xml:space="preserve">Liệt kê</w:t>
      </w:r>
      <w:r>
        <w:t xml:space="preserve"> thành phần cost-to-serve của agency sự kiện.</w:t>
      </w:r>
    </w:p>
    <w:p>
      <w:pPr>
        <w:pStyle w:val="ListParagraph"/>
        <w:numPr>
          <w:ilvl w:val="0"/>
          <w:numId w:val="3"/>
        </w:numPr>
        <w:spacing w:after="60"/>
      </w:pPr>
      <w:r>
        <w:rPr>
          <w:b/>
          <w:bCs/>
        </w:rPr>
        <w:t xml:space="preserve">Đặt</w:t>
      </w:r>
      <w:r>
        <w:t xml:space="preserve"> khách hàng lên ma trận biên lợi nhuận gộp × cost-to-serve và </w:t>
      </w:r>
      <w:r>
        <w:rPr>
          <w:b/>
          <w:bCs/>
        </w:rPr>
        <w:t xml:space="preserve">đề xuất</w:t>
      </w:r>
      <w:r>
        <w:t xml:space="preserve"> hành động có lợi cho cả hai bên.</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6 (theo </w:t>
            </w:r>
            <w:r>
              <w:rPr>
                <w:rFonts w:ascii="Courier New" w:cs="Courier New" w:eastAsia="Courier New" w:hAnsi="Courier New"/>
                <w:sz w:val="20"/>
                <w:szCs w:val="20"/>
              </w:rPr>
              <w:t xml:space="preserve">W06_slides_outline.md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W06_activity_S3_tinh_clv.md</w:t>
            </w:r>
            <w:r>
              <w:rPr>
                <w:sz w:val="20"/>
                <w:szCs w:val="20"/>
              </w:rPr>
              <w:t xml:space="preserve"> — in 6 bản</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W06_activity_S6_ma_tran_cost_to_serve.md</w:t>
            </w:r>
            <w:r>
              <w:rPr>
                <w:sz w:val="20"/>
                <w:szCs w:val="20"/>
              </w:rPr>
              <w:t xml:space="preserve"> — in 6 bản</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Máy tính cầm tay/điện thoại</w:t>
            </w:r>
            <w:r>
              <w:rPr>
                <w:sz w:val="20"/>
                <w:szCs w:val="20"/>
              </w:rPr>
              <w:t xml:space="preserve"> (SV); A1/A3, bút lông, note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 / SV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6"/>
        <w:gridCol w:w="458"/>
        <w:gridCol w:w="860"/>
        <w:gridCol w:w="3442"/>
        <w:gridCol w:w="2696"/>
        <w:gridCol w:w="1666"/>
      </w:tblGrid>
      <w:tr>
        <w:trPr>
          <w:tblHeader/>
        </w:trPr>
        <w:tc>
          <w:tcPr>
            <w:tcW w:type="dxa" w:w="51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8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4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26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66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 tỷ hay 2,3 tỷ — khách hàng nào đáng giá hơn với Nova?”</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6.1: CLV và định hướng dài hạn (F01, F02); công thức đơn giản; </w:t>
            </w:r>
            <w:r>
              <w:rPr>
                <w:sz w:val="20"/>
                <w:szCs w:val="20"/>
              </w:rPr>
              <w:t xml:space="preserve">tính mẫu An Phát trên bảng</w:t>
            </w:r>
            <w:r>
              <w:rPr>
                <w:sz w:val="20"/>
                <w:szCs w:val="20"/>
              </w:rPr>
              <w:t xml:space="preserve">; ý nghĩa tỷ lệ giữ chân, chiết khấu; giới hạn</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tính cùng GV</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3–9; lecture notes §1</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47–50 chốt</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tính CLV Sông Xanh, Bếp Việt; thử độ nhạy</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58–80</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6.2: doanh số ≠ lợi nhuận (F03); cost-to-serve phụ thuộc hành vi khách hàng; whale curve (F05, chưa KCC); thành phần cost-to-serve của agency; F07</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10–14; lecture notes §2</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80–93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ma trận biên lợi nhuận gộp × cost-to-serve (biến thể Shapiro — F03, F04); bốn ô và hướng hành động; “bilateral benefits” (F06)</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15–18; lecture notes §3</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93–123</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 mở đầu; 96–109 đặt 5 khách hàng lên ma trận + hành động; 109–117 xoay trạm (vòng 1: anh Đức – CEO Nova; vòng 2: anh Khoa – An Phát); 117–123 sửa, chốt</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ma trận + 2 đề xuất hai bên cùng lợi</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liên hệ SMP (phần B)</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19</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7</w:t>
            </w: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w:t>
            </w: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20</w:t>
            </w:r>
          </w:p>
        </w:tc>
      </w:tr>
      <w:tr>
        <w:trPr>
          <w:tblHeader w:val="off"/>
        </w:trPr>
        <w:tc>
          <w:tcPr>
            <w:tcW w:type="dxa" w:w="5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8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4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6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6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63 phút · Thực hành 61 phút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“Nếu tỷ lệ tái ký của An Phát giảm từ 85% xuống 70%, CLV thay đổi thế nào? Vì sao?”</w:t>
      </w:r>
    </w:p>
    <w:p>
      <w:pPr>
        <w:pStyle w:val="ListParagraph"/>
        <w:numPr>
          <w:ilvl w:val="0"/>
          <w:numId w:val="4"/>
        </w:numPr>
        <w:spacing w:after="60"/>
      </w:pPr>
      <w:r>
        <w:rPr>
          <w:i/>
          <w:iCs/>
        </w:rPr>
        <w:t xml:space="preserve">“Hai thành phần cost-to-serve lớn nhất với khách hàng trong dự án cũ của nhóm là gì? Có cách nào cùng khách hàng giảm chúng?”</w:t>
      </w:r>
    </w:p>
    <w:p>
      <w:pPr>
        <w:spacing w:after="120"/>
      </w:pPr>
      <w:r>
        <w:rPr>
          <w:b/>
          <w:bCs/>
        </w:rPr>
        <w:t xml:space="preserve">Cần xem:</w:t>
      </w:r>
      <w:r>
        <w:t xml:space="preserve"> (a) hiểu CLV nhạy với tỷ lệ giữ chân (định hướng dài hạn); (b) đề xuất giảm chi phí </w:t>
      </w:r>
      <w:r>
        <w:rPr>
          <w:b/>
          <w:bCs/>
        </w:rPr>
        <w:t xml:space="preserve">cùng khách hàng</w:t>
      </w:r>
      <w:r>
        <w:t xml:space="preserve">, không chỉ tăng giá.</w:t>
      </w:r>
    </w:p>
    <w:p>
      <w:pPr>
        <w:spacing w:after="120"/>
      </w:pPr>
      <w:r>
        <w:rPr>
          <w:b/>
          <w:bCs/>
        </w:rPr>
        <w:t xml:space="preserve">Câu nối sang Buổi 7:</w:t>
      </w:r>
      <w:r>
        <w:t xml:space="preserve"> </w:t>
      </w:r>
      <w:r>
        <w:rPr>
          <w:i/>
          <w:iCs/>
        </w:rPr>
        <w:t xml:space="preserve">“Biết khách hàng đáng bao nhiêu và tốn bao nhiêu, ta mới đàm phán được. Buổi sau: hiểu phòng mua sắm của khách hàng, ma trận Kraljic, và đàm phán dựa trên giá trị.”</w:t>
      </w:r>
    </w:p>
    <w:p>
      <w:pPr>
        <w:pStyle w:val="Heading2"/>
      </w:pPr>
      <w:r>
        <w:t xml:space="preserve">Phương án dự phòng</w:t>
      </w:r>
    </w:p>
    <w:p>
      <w:pPr>
        <w:spacing w:after="120"/>
      </w:pPr>
      <w:r>
        <w:rPr>
          <w:b/>
          <w:bCs/>
        </w:rPr>
        <w:t xml:space="preserve">Nếu trễ giờ:</w:t>
      </w:r>
      <w:r>
        <w:t xml:space="preserve"> S3 chỉ tính Sông Xanh; S6 xoay trạm 1 vòng (anh Khoa). </w:t>
      </w:r>
      <w:r>
        <w:rPr>
          <w:b/>
          <w:bCs/>
        </w:rPr>
        <w:t xml:space="preserve">Không cắt S8.</w:t>
      </w:r>
    </w:p>
    <w:p>
      <w:pPr>
        <w:spacing w:after="120"/>
      </w:pPr>
      <w:r>
        <w:rPr>
          <w:b/>
          <w:bCs/>
        </w:rPr>
        <w:t xml:space="preserve">Nếu dư giờ:</w:t>
      </w:r>
      <w:r>
        <w:t xml:space="preserve"> thêm chi phí thu hút khách hàng mới vào CLV và so sánh.</w:t>
      </w:r>
    </w:p>
    <w:p>
      <w:pPr>
        <w:pStyle w:val="Heading2"/>
      </w:pPr>
      <w:r>
        <w:t xml:space="preserve">Lưu ý phạm vi</w:t>
      </w:r>
    </w:p>
    <w:p>
      <w:pPr>
        <w:pStyle w:val="ListParagraph"/>
        <w:numPr>
          <w:ilvl w:val="0"/>
          <w:numId w:val="2"/>
        </w:numPr>
        <w:spacing w:after="60"/>
      </w:pPr>
      <w:r>
        <w:t xml:space="preserve">Mọi con số là </w:t>
      </w:r>
      <w:r>
        <w:rPr>
          <w:b/>
          <w:bCs/>
        </w:rPr>
        <w:t xml:space="preserve">giả định</w:t>
      </w:r>
      <w:r>
        <w:t xml:space="preserve">; công thức CLV là dạng đơn giản cho học tập </w:t>
      </w:r>
      <w:r>
        <w:rPr>
          <w:rFonts w:ascii="Courier New" w:cs="Courier New" w:eastAsia="Courier New" w:hAnsi="Courier New"/>
        </w:rPr>
        <w:t xml:space="preserve">[VERIFY]</w:t>
      </w:r>
      <w:r>
        <w:t xml:space="preserve"> với toàn văn/giáo trình trước khi lên slide.</w:t>
      </w:r>
    </w:p>
    <w:p>
      <w:pPr>
        <w:pStyle w:val="ListParagraph"/>
        <w:numPr>
          <w:ilvl w:val="0"/>
          <w:numId w:val="2"/>
        </w:numPr>
        <w:spacing w:after="60"/>
      </w:pPr>
      <w:r>
        <w:t xml:space="preserve">Ma trận là </w:t>
      </w:r>
      <w:r>
        <w:rPr>
          <w:b/>
          <w:bCs/>
        </w:rPr>
        <w:t xml:space="preserve">biến thể của môn</w:t>
      </w:r>
      <w:r>
        <w:t xml:space="preserve">; tên bốn ô </w:t>
      </w:r>
      <w:r>
        <w:rPr>
          <w:rFonts w:ascii="Courier New" w:cs="Courier New" w:eastAsia="Courier New" w:hAnsi="Courier New"/>
        </w:rPr>
        <w:t xml:space="preserve">[VERIFY]</w:t>
      </w:r>
      <w:r>
        <w:t xml:space="preserve"> với bản gốc Shapiro et al. (1987).</w:t>
      </w:r>
    </w:p>
    <w:p>
      <w:pPr>
        <w:pStyle w:val="ListParagraph"/>
        <w:numPr>
          <w:ilvl w:val="0"/>
          <w:numId w:val="2"/>
        </w:numPr>
        <w:spacing w:after="60"/>
      </w:pPr>
      <w:r>
        <w:t xml:space="preserve">Whale curve (F05) và số liệu F07 </w:t>
      </w:r>
      <w:r>
        <w:rPr>
          <w:b/>
          <w:bCs/>
        </w:rPr>
        <w:t xml:space="preserve">chưa kiểm chứng chéo</w:t>
      </w:r>
      <w:r>
        <w:t xml:space="preserve">; F07 không phải event agency.</w:t>
      </w:r>
    </w:p>
    <w:p>
      <w:pPr>
        <w:pStyle w:val="Heading2"/>
      </w:pPr>
      <w:r>
        <w:t xml:space="preserve">Các mục [VERIFY] / nhận định</w:t>
      </w:r>
    </w:p>
    <w:p>
      <w:pPr>
        <w:pStyle w:val="ListParagraph"/>
        <w:numPr>
          <w:ilvl w:val="0"/>
          <w:numId w:val="5"/>
        </w:numPr>
        <w:spacing w:after="60"/>
      </w:pPr>
      <w:r>
        <w:rPr>
          <w:rFonts w:ascii="Courier New" w:cs="Courier New" w:eastAsia="Courier New" w:hAnsi="Courier New"/>
        </w:rPr>
        <w:t xml:space="preserve">[VERIFY: công thức CLV nguyên văn — Gupta et al. (2006), Berger &amp; Nasr (1998)]</w:t>
      </w:r>
      <w:r>
        <w:t xml:space="preserve">.</w:t>
      </w:r>
    </w:p>
    <w:p>
      <w:pPr>
        <w:pStyle w:val="ListParagraph"/>
        <w:numPr>
          <w:ilvl w:val="0"/>
          <w:numId w:val="5"/>
        </w:numPr>
        <w:spacing w:after="60"/>
      </w:pPr>
      <w:r>
        <w:rPr>
          <w:rFonts w:ascii="Courier New" w:cs="Courier New" w:eastAsia="Courier New" w:hAnsi="Courier New"/>
        </w:rPr>
        <w:t xml:space="preserve">[VERIFY: tên và vị trí bốn ô của ma trận Shapiro et al. (1987)]</w:t>
      </w:r>
      <w:r>
        <w:t xml:space="preserve">.</w:t>
      </w:r>
    </w:p>
    <w:p>
      <w:pPr>
        <w:pStyle w:val="ListParagraph"/>
        <w:numPr>
          <w:ilvl w:val="0"/>
          <w:numId w:val="5"/>
        </w:numPr>
        <w:spacing w:after="60"/>
      </w:pPr>
      <w:r>
        <w:rPr>
          <w:b/>
          <w:bCs/>
        </w:rPr>
        <w:t xml:space="preserve">Nhận định:</w:t>
      </w:r>
      <w:r>
        <w:t xml:space="preserve"> thành phần cost-to-serve của agency; hướng hành động cho từng ô; ngưỡng chia ô; mọi số trong phiếu.</w:t>
      </w:r>
    </w:p>
    <w:p>
      <w:pPr>
        <w:pStyle w:val="Heading2"/>
      </w:pPr>
      <w:r>
        <w:t xml:space="preserve">Ghi chú sau buổi học</w:t>
      </w:r>
    </w:p>
    <w:p>
      <w:pPr>
        <w:spacing w:after="120"/>
      </w:pPr>
      <w:r>
        <w:rPr>
          <w:i/>
          <w:iCs/>
        </w:rPr>
        <w:t xml:space="preserve">(điền sau khi dạy)</w:t>
      </w:r>
    </w:p>
    <w:p>
      <w:pPr>
        <w:pStyle w:val="Title"/>
      </w:pPr>
      <w:r>
        <w:t xml:space="preserve">Ghi chú bài giảng</w:t>
      </w:r>
    </w:p>
    <w:p>
      <w:pPr>
        <w:pStyle w:val="Heading1"/>
      </w:pPr>
      <w:r>
        <w:t xml:space="preserve">Nội dung bài giảng — Buổi 6: Financial Acumen in KAM</w:t>
      </w:r>
    </w:p>
    <w:p>
      <w:pPr>
        <w:spacing w:after="120"/>
      </w:pPr>
      <w:r>
        <w:t xml:space="preserve">EVM1110E · Buổi 6 · Dùng cho các đoạn S1, S2, S4, S5, S7 của giáo án (</w:t>
      </w:r>
      <w:r>
        <w:rPr>
          <w:rFonts w:ascii="Courier New" w:cs="Courier New" w:eastAsia="Courier New" w:hAnsi="Courier New"/>
        </w:rPr>
        <w:t xml:space="preserve">W06_lesson_plan.md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w:t>
      </w:r>
      <w:r>
        <w:rPr>
          <w:color w:val="333F55"/>
          <w:sz w:val="20"/>
          <w:szCs w:val="20"/>
        </w:rPr>
        <w:t xml:space="preserve"> Nova tính giá trị của khách hàng </w:t>
      </w:r>
      <w:r>
        <w:rPr>
          <w:b/>
          <w:bCs/>
          <w:color w:val="333F55"/>
          <w:sz w:val="20"/>
          <w:szCs w:val="20"/>
        </w:rPr>
        <w:t xml:space="preserve">với Nova</w:t>
      </w:r>
      <w:r>
        <w:rPr>
          <w:color w:val="333F55"/>
          <w:sz w:val="20"/>
          <w:szCs w:val="20"/>
        </w:rPr>
        <w:t xml:space="preserve"> và chi phí phục vụ — để quan hệ công bằng </w:t>
      </w:r>
      <w:r>
        <w:rPr>
          <w:b/>
          <w:bCs/>
          <w:color w:val="333F55"/>
          <w:sz w:val="20"/>
          <w:szCs w:val="20"/>
        </w:rPr>
        <w:t xml:space="preserve">hai chiều</w:t>
      </w:r>
      <w:r>
        <w:rPr>
          <w:color w:val="333F55"/>
          <w:sz w:val="20"/>
          <w:szCs w:val="20"/>
        </w:rPr>
        <w:t xml:space="preserve">.</w:t>
      </w:r>
    </w:p>
    <w:p>
      <w:pPr>
        <w:pBdr>
          <w:left w:val="single" w:color="2E8B74" w:sz="18" w:space="8"/>
        </w:pBdr>
        <w:shd w:fill="E8F4F0" w:color="auto" w:val="clear"/>
        <w:spacing w:after="160" w:before="80"/>
        <w:ind w:left="200" w:right="100"/>
      </w:pPr>
      <w:r>
        <w:rPr>
          <w:color w:val="333F55"/>
          <w:sz w:val="20"/>
          <w:szCs w:val="20"/>
        </w:rPr>
        <w:t xml:space="preserve">- Mọi con số là </w:t>
      </w:r>
      <w:r>
        <w:rPr>
          <w:b/>
          <w:bCs/>
          <w:color w:val="333F55"/>
          <w:sz w:val="20"/>
          <w:szCs w:val="20"/>
        </w:rPr>
        <w:t xml:space="preserve">giả định</w:t>
      </w:r>
      <w:r>
        <w:rPr>
          <w:color w:val="333F55"/>
          <w:sz w:val="20"/>
          <w:szCs w:val="20"/>
        </w:rPr>
        <w:t xml:space="preserve">; công thức CLV là </w:t>
      </w:r>
      <w:r>
        <w:rPr>
          <w:b/>
          <w:bCs/>
          <w:color w:val="333F55"/>
          <w:sz w:val="20"/>
          <w:szCs w:val="20"/>
        </w:rPr>
        <w:t xml:space="preserve">dạng đơn giản cho học tập</w:t>
      </w:r>
      <w:r>
        <w:rPr>
          <w:color w:val="333F55"/>
          <w:sz w:val="20"/>
          <w:szCs w:val="20"/>
        </w:rPr>
        <w:t xml:space="preserve"> </w:t>
      </w:r>
      <w:r>
        <w:rPr>
          <w:rFonts w:ascii="Courier New" w:cs="Courier New" w:eastAsia="Courier New" w:hAnsi="Courier New"/>
          <w:color w:val="333F55"/>
          <w:sz w:val="20"/>
          <w:szCs w:val="20"/>
        </w:rPr>
        <w:t xml:space="preserve">[VERIFY]</w:t>
      </w:r>
      <w:r>
        <w:rPr>
          <w:color w:val="333F55"/>
          <w:sz w:val="20"/>
          <w:szCs w:val="20"/>
        </w:rPr>
        <w:t xml:space="preserve">.</w:t>
      </w:r>
    </w:p>
    <w:p>
      <w:pPr>
        <w:pBdr>
          <w:left w:val="single" w:color="2E8B74" w:sz="18" w:space="8"/>
        </w:pBdr>
        <w:shd w:fill="E8F4F0" w:color="auto" w:val="clear"/>
        <w:spacing w:after="160" w:before="80"/>
        <w:ind w:left="200" w:right="100"/>
      </w:pPr>
      <w:r>
        <w:rPr>
          <w:color w:val="333F55"/>
          <w:sz w:val="20"/>
          <w:szCs w:val="20"/>
        </w:rPr>
        <w:t xml:space="preserve">- Ma trận là </w:t>
      </w:r>
      <w:r>
        <w:rPr>
          <w:b/>
          <w:bCs/>
          <w:color w:val="333F55"/>
          <w:sz w:val="20"/>
          <w:szCs w:val="20"/>
        </w:rPr>
        <w:t xml:space="preserve">biến thể của môn</w:t>
      </w:r>
      <w:r>
        <w:rPr>
          <w:color w:val="333F55"/>
          <w:sz w:val="20"/>
          <w:szCs w:val="20"/>
        </w:rPr>
        <w:t xml:space="preserve"> từ Shapiro et al. (1987) — trục dọc biên lợi nhuận gộp.</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(customer lifetime value – CLV, customer equity, retention rate, discount rate, gross margin, cost-to-serve, whale curve).</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F01–F07</w:t>
      </w:r>
      <w:r>
        <w:rPr>
          <w:color w:val="333F55"/>
          <w:sz w:val="20"/>
          <w:szCs w:val="20"/>
        </w:rPr>
        <w:t xml:space="preserve"> trỏ tới </w:t>
      </w:r>
      <w:r>
        <w:rPr>
          <w:rFonts w:ascii="Courier New" w:cs="Courier New" w:eastAsia="Courier New" w:hAnsi="Courier New"/>
          <w:color w:val="333F55"/>
          <w:sz w:val="20"/>
          <w:szCs w:val="20"/>
        </w:rPr>
        <w:t xml:space="preserve">buoi-06_tu-lieu-tong-hop.md</w:t>
      </w:r>
      <w:r>
        <w:rPr>
          <w:color w:val="333F55"/>
          <w:sz w:val="20"/>
          <w:szCs w:val="20"/>
        </w:rPr>
        <w:t xml:space="preserve">. Năm khách hàng dùng lại từ Buổi 2.</w:t>
      </w:r>
    </w:p>
    <w:p>
      <w:pPr>
        <w:pStyle w:val="Heading2"/>
      </w:pPr>
      <w:r>
        <w:t xml:space="preserve">S1 — Khởi động (5 phút)</w:t>
      </w:r>
    </w:p>
    <w:p>
      <w:pPr>
        <w:spacing w:after="120"/>
      </w:pPr>
      <w:r>
        <w:rPr>
          <w:i/>
          <w:iCs/>
        </w:rPr>
        <w:t xml:space="preserve">[Chiếu slide 2: "Địa ốc Sông Xanh: doanh thu cho Nova 3,5 tỷ/năm. Ngân hàng An Phát: 2,3 tỷ/năm." (Buổi 2, giả định)]</w:t>
      </w:r>
    </w:p>
    <w:p>
      <w:pPr>
        <w:spacing w:after="120"/>
      </w:pPr>
      <w:r>
        <w:t xml:space="preserve">Giơ tay: </w:t>
      </w:r>
      <w:r>
        <w:rPr>
          <w:i/>
          <w:iCs/>
        </w:rPr>
        <w:t xml:space="preserve">"Khách hàng nào </w:t>
      </w:r>
      <w:r>
        <w:rPr>
          <w:i/>
          <w:iCs/>
        </w:rPr>
        <w:t xml:space="preserve">đáng giá hơn</w:t>
      </w:r>
      <w:r>
        <w:rPr>
          <w:i/>
          <w:iCs/>
        </w:rPr>
        <w:t xml:space="preserve"> với Nova?"</w:t>
      </w:r>
    </w:p>
    <w:p>
      <w:pPr>
        <w:spacing w:after="120"/>
      </w:pPr>
      <w:r>
        <w:rPr>
          <w:i/>
          <w:iCs/>
        </w:rPr>
        <w:t xml:space="preserve">[Chốt: "Doanh thu chỉ là một phần. Cần biết: </w:t>
      </w:r>
      <w:r>
        <w:rPr>
          <w:i/>
          <w:iCs/>
        </w:rPr>
        <w:t xml:space="preserve">lãi bao nhiêu</w:t>
      </w:r>
      <w:r>
        <w:rPr>
          <w:i/>
          <w:iCs/>
        </w:rPr>
        <w:t xml:space="preserve">, </w:t>
      </w:r>
      <w:r>
        <w:rPr>
          <w:i/>
          <w:iCs/>
        </w:rPr>
        <w:t xml:space="preserve">tốn bao nhiêu để phục vụ</w:t>
      </w:r>
      <w:r>
        <w:rPr>
          <w:i/>
          <w:iCs/>
        </w:rPr>
        <w:t xml:space="preserve">, và </w:t>
      </w:r>
      <w:r>
        <w:rPr>
          <w:i/>
          <w:iCs/>
        </w:rPr>
        <w:t xml:space="preserve">ở lại bao lâu</w:t>
      </w:r>
      <w:r>
        <w:rPr>
          <w:i/>
          <w:iCs/>
        </w:rPr>
        <w:t xml:space="preserve">. Hôm nay ta tính."]</w:t>
      </w:r>
    </w:p>
    <w:p>
      <w:pPr>
        <w:pStyle w:val="Heading2"/>
      </w:pPr>
      <w:r>
        <w:t xml:space="preserve">S2 — Lý thuyết 1 (25 phút)</w:t>
      </w:r>
    </w:p>
    <w:p>
      <w:pPr>
        <w:pStyle w:val="Heading2"/>
      </w:pPr>
      <w:r>
        <w:t xml:space="preserve">§1. 6.1 — Customer Lifetime Value</w:t>
      </w:r>
    </w:p>
    <w:p>
      <w:pPr>
        <w:pStyle w:val="Heading2"/>
      </w:pPr>
      <w:r>
        <w:t xml:space="preserve">1.1 Vì sao CLV (F01)</w:t>
      </w:r>
    </w:p>
    <w:p>
      <w:pPr>
        <w:spacing w:after="120"/>
      </w:pPr>
      <w:r>
        <w:t xml:space="preserve">Gupta et al. (2006): khi doanh thu đến từ </w:t>
      </w:r>
      <w:r>
        <w:rPr>
          <w:b/>
          <w:bCs/>
        </w:rPr>
        <w:t xml:space="preserve">quan hệ dài hạn</w:t>
      </w:r>
      <w:r>
        <w:t xml:space="preserve">, marketing nhằm tối đa hóa </w:t>
      </w:r>
      <w:r>
        <w:rPr>
          <w:b/>
          <w:bCs/>
        </w:rPr>
        <w:t xml:space="preserve">CLV</w:t>
      </w:r>
      <w:r>
        <w:t xml:space="preserve"> và </w:t>
      </w:r>
      <w:r>
        <w:rPr>
          <w:b/>
          <w:bCs/>
        </w:rPr>
        <w:t xml:space="preserve">customer equity</w:t>
      </w:r>
      <w:r>
        <w:t xml:space="preserve"> (tổng CLV của mọi khách hàng); CLV dùng để </w:t>
      </w:r>
      <w:r>
        <w:rPr>
          <w:b/>
          <w:bCs/>
        </w:rPr>
        <w:t xml:space="preserve">phân bổ nguồn lực</w:t>
      </w:r>
      <w:r>
        <w:t xml:space="preserve"> cho thu hút, giữ chân, bán thêm. → Nối Buổi 2: chọn Key Account là quyết định </w:t>
      </w:r>
      <w:r>
        <w:rPr>
          <w:b/>
          <w:bCs/>
        </w:rPr>
        <w:t xml:space="preserve">phân bổ nguồn lực</w:t>
      </w:r>
      <w:r>
        <w:t xml:space="preserve">.</w:t>
      </w:r>
    </w:p>
    <w:p>
      <w:pPr>
        <w:pStyle w:val="Heading2"/>
      </w:pPr>
      <w:r>
        <w:t xml:space="preserve">1.2 Công thức đơn giản dùng trong môn (dạng học tập — </w:t>
      </w:r>
      <w:r>
        <w:rPr>
          <w:rFonts w:ascii="Courier New" w:cs="Courier New" w:eastAsia="Courier New" w:hAnsi="Courier New"/>
        </w:rPr>
        <w:t xml:space="preserve">[VERIFY]</w:t>
      </w:r>
      <w:r>
        <w:t xml:space="preserve">)</w:t>
      </w:r>
    </w:p>
    <w:p>
      <w:pPr>
        <w:spacing w:after="120"/>
      </w:pPr>
      <w:r>
        <w:t xml:space="preserve">CLV ≈ Σ (từ năm 1 đến năm T) </w:t>
      </w:r>
      <w:r>
        <w:rPr>
          <w:b/>
          <w:bCs/>
        </w:rPr>
        <w:t xml:space="preserve">m × r^(t−1) / (1 + d)^t</w:t>
      </w:r>
    </w:p>
    <w:p>
      <w:pPr>
        <w:pStyle w:val="ListParagraph"/>
        <w:numPr>
          <w:ilvl w:val="0"/>
          <w:numId w:val="2"/>
        </w:numPr>
        <w:spacing w:after="60"/>
      </w:pPr>
      <w:r>
        <w:rPr>
          <w:b/>
          <w:bCs/>
        </w:rPr>
        <w:t xml:space="preserve">m</w:t>
      </w:r>
      <w:r>
        <w:t xml:space="preserve"> — đóng góp ròng mỗi năm = lợi nhuận gộp − cost-to-serve riêng của khách hàng</w:t>
      </w:r>
    </w:p>
    <w:p>
      <w:pPr>
        <w:pStyle w:val="ListParagraph"/>
        <w:numPr>
          <w:ilvl w:val="0"/>
          <w:numId w:val="2"/>
        </w:numPr>
        <w:spacing w:after="60"/>
      </w:pPr>
      <w:r>
        <w:rPr>
          <w:b/>
          <w:bCs/>
        </w:rPr>
        <w:t xml:space="preserve">r</w:t>
      </w:r>
      <w:r>
        <w:t xml:space="preserve"> — tỷ lệ giữ chân (xác suất tái ký mỗi năm); năm 1 coi như chắc chắn</w:t>
      </w:r>
    </w:p>
    <w:p>
      <w:pPr>
        <w:pStyle w:val="ListParagraph"/>
        <w:numPr>
          <w:ilvl w:val="0"/>
          <w:numId w:val="2"/>
        </w:numPr>
        <w:spacing w:after="60"/>
      </w:pPr>
      <w:r>
        <w:rPr>
          <w:b/>
          <w:bCs/>
        </w:rPr>
        <w:t xml:space="preserve">d</w:t>
      </w:r>
      <w:r>
        <w:t xml:space="preserve"> — tỷ lệ chiết khấu (giá trị tiền theo thời gian)</w:t>
      </w:r>
    </w:p>
    <w:p>
      <w:pPr>
        <w:pStyle w:val="ListParagraph"/>
        <w:numPr>
          <w:ilvl w:val="0"/>
          <w:numId w:val="2"/>
        </w:numPr>
        <w:spacing w:after="60"/>
      </w:pPr>
      <w:r>
        <w:rPr>
          <w:b/>
          <w:bCs/>
        </w:rPr>
        <w:t xml:space="preserve">T</w:t>
      </w:r>
      <w:r>
        <w:t xml:space="preserve"> — số năm xem xét (ví dụ 5)</w:t>
      </w:r>
    </w:p>
    <w:p>
      <w:pPr>
        <w:spacing w:after="120"/>
      </w:pPr>
      <w:r>
        <w:rPr>
          <w:i/>
          <w:iCs/>
        </w:rPr>
        <w:t xml:space="preserve">Berger &amp; Nasr (1998) trình bày nhiều mô hình CLV cho các trường hợp khác nhau; ta dùng dạng đơn giản nhất.</w:t>
      </w:r>
    </w:p>
    <w:p>
      <w:pPr>
        <w:pStyle w:val="Heading2"/>
      </w:pPr>
      <w:r>
        <w:t xml:space="preserve">1.3 Tính mẫu An Phát cùng lớp (GIẢ ĐỊNH)</w:t>
      </w:r>
    </w:p>
    <w:p>
      <w:pPr>
        <w:spacing w:after="120"/>
      </w:pPr>
      <w:r>
        <w:t xml:space="preserve">Doanh thu 2.300 triệu/năm · biên lợi nhuận gộp 18% → lợi nhuận gộp 414 triệu · cost-to-serve riêng 80 triệu → </w:t>
      </w:r>
      <w:r>
        <w:rPr>
          <w:b/>
          <w:bCs/>
        </w:rPr>
        <w:t xml:space="preserve">m = 334 triệu</w:t>
      </w:r>
      <w:r>
        <w:t xml:space="preserve"> · r = 85% · d = 12% · T =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7"/>
        <w:gridCol w:w="3270"/>
        <w:gridCol w:w="4131"/>
      </w:tblGrid>
      <w:tr>
        <w:trPr>
          <w:tblHeader/>
        </w:trPr>
        <w:tc>
          <w:tcPr>
            <w:tcW w:type="dxa" w:w="223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Năm</w:t>
            </w:r>
          </w:p>
        </w:tc>
        <w:tc>
          <w:tcPr>
            <w:tcW w:type="dxa" w:w="32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Tính</w:t>
            </w:r>
          </w:p>
        </w:tc>
        <w:tc>
          <w:tcPr>
            <w:tcW w:type="dxa" w:w="413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Giá trị hiện tại (triệu)</w:t>
            </w:r>
          </w:p>
        </w:tc>
      </w:tr>
      <w:tr>
        <w:trPr>
          <w:tblHeader w:val="off"/>
        </w:trPr>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32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1,12</w:t>
            </w:r>
          </w:p>
        </w:tc>
        <w:tc>
          <w:tcPr>
            <w:tcW w:type="dxa" w:w="41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298,2</w:t>
            </w:r>
          </w:p>
        </w:tc>
      </w:tr>
      <w:tr>
        <w:trPr>
          <w:tblHeader w:val="off"/>
        </w:trPr>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32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 / 1,12²</w:t>
            </w:r>
          </w:p>
        </w:tc>
        <w:tc>
          <w:tcPr>
            <w:tcW w:type="dxa" w:w="41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226,3</w:t>
            </w:r>
          </w:p>
        </w:tc>
      </w:tr>
      <w:tr>
        <w:trPr>
          <w:tblHeader w:val="off"/>
        </w:trPr>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32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0,85² / 1,12³</w:t>
            </w:r>
          </w:p>
        </w:tc>
        <w:tc>
          <w:tcPr>
            <w:tcW w:type="dxa" w:w="41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171,8</w:t>
            </w:r>
          </w:p>
        </w:tc>
      </w:tr>
      <w:tr>
        <w:trPr>
          <w:tblHeader w:val="off"/>
        </w:trPr>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32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0,85³ / 1,12⁴</w:t>
            </w:r>
          </w:p>
        </w:tc>
        <w:tc>
          <w:tcPr>
            <w:tcW w:type="dxa" w:w="41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130,4</w:t>
            </w:r>
          </w:p>
        </w:tc>
      </w:tr>
      <w:tr>
        <w:trPr>
          <w:tblHeader w:val="off"/>
        </w:trPr>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32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334 × 0,85⁴ / 1,12⁵</w:t>
            </w:r>
          </w:p>
        </w:tc>
        <w:tc>
          <w:tcPr>
            <w:tcW w:type="dxa" w:w="41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98,9</w:t>
            </w:r>
          </w:p>
        </w:tc>
      </w:tr>
      <w:tr>
        <w:trPr>
          <w:tblHeader w:val="off"/>
        </w:trPr>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CLV 5 năm</w:t>
            </w:r>
          </w:p>
        </w:tc>
        <w:tc>
          <w:tcPr>
            <w:tcW w:type="dxa" w:w="32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41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926</w:t>
            </w:r>
          </w:p>
        </w:tc>
      </w:tr>
    </w:tbl>
    <w:p>
      <w:pPr>
        <w:spacing w:after="80" w:before="0"/>
      </w:pPr>
    </w:p>
    <w:p>
      <w:pPr>
        <w:spacing w:after="120"/>
      </w:pPr>
      <w:r>
        <w:rPr>
          <w:i/>
          <w:iCs/>
        </w:rPr>
        <w:t xml:space="preserve">[Hỏi: "Nếu r giảm còn 70%, CLV giảm nhiều hay ít?" — Chốt: "Rất nhiều. Vì thế </w:t>
      </w:r>
      <w:r>
        <w:rPr>
          <w:i/>
          <w:iCs/>
        </w:rPr>
        <w:t xml:space="preserve">giữ chân</w:t>
      </w:r>
      <w:r>
        <w:rPr>
          <w:i/>
          <w:iCs/>
        </w:rPr>
        <w:t xml:space="preserve"> — chất lượng quan hệ ở Buổi 4 — là tiền thật."]</w:t>
      </w:r>
    </w:p>
    <w:p>
      <w:pPr>
        <w:pStyle w:val="Heading2"/>
      </w:pPr>
      <w:r>
        <w:t xml:space="preserve">1.4 Giới hạn</w:t>
      </w:r>
    </w:p>
    <w:p>
      <w:pPr>
        <w:pStyle w:val="ListParagraph"/>
        <w:numPr>
          <w:ilvl w:val="0"/>
          <w:numId w:val="2"/>
        </w:numPr>
        <w:spacing w:after="60"/>
      </w:pPr>
      <w:r>
        <w:t xml:space="preserve">Kết quả </w:t>
      </w:r>
      <w:r>
        <w:rPr>
          <w:b/>
          <w:bCs/>
        </w:rPr>
        <w:t xml:space="preserve">phụ thuộc giả định</w:t>
      </w:r>
      <w:r>
        <w:t xml:space="preserve"> (r, d, m) → ghi rõ giả định, thử </w:t>
      </w:r>
      <w:r>
        <w:rPr>
          <w:b/>
          <w:bCs/>
        </w:rPr>
        <w:t xml:space="preserve">độ nhạy</w:t>
      </w:r>
      <w:r>
        <w:t xml:space="preserve">.</w:t>
      </w:r>
    </w:p>
    <w:p>
      <w:pPr>
        <w:pStyle w:val="ListParagraph"/>
        <w:numPr>
          <w:ilvl w:val="0"/>
          <w:numId w:val="2"/>
        </w:numPr>
        <w:spacing w:after="60"/>
      </w:pPr>
      <w:r>
        <w:t xml:space="preserve">CLV không đo được hết giá trị </w:t>
      </w:r>
      <w:r>
        <w:rPr>
          <w:b/>
          <w:bCs/>
        </w:rPr>
        <w:t xml:space="preserve">vô hình</w:t>
      </w:r>
      <w:r>
        <w:t xml:space="preserve"> (uy tín, hồ sơ năng lực, học hỏi) — ghi bên cạnh, không bỏ.</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W06_activity_S3_tinh_clv.md</w:t>
      </w:r>
      <w:r>
        <w:t xml:space="preserve">).</w:t>
      </w:r>
    </w:p>
    <w:p>
      <w:pPr>
        <w:pStyle w:val="Heading2"/>
      </w:pPr>
      <w:r>
        <w:t xml:space="preserve">S4 — Lý thuyết 2 (22 phút)</w:t>
      </w:r>
    </w:p>
    <w:p>
      <w:pPr>
        <w:pStyle w:val="Heading2"/>
      </w:pPr>
      <w:r>
        <w:t xml:space="preserve">§2. 6.2 — Cost-to-serve</w:t>
      </w:r>
    </w:p>
    <w:p>
      <w:pPr>
        <w:pStyle w:val="Heading2"/>
      </w:pPr>
      <w:r>
        <w:t xml:space="preserve">2.1 Doanh số cao không có nghĩa lợi nhuận cao (F03)</w:t>
      </w:r>
    </w:p>
    <w:p>
      <w:pPr>
        <w:spacing w:after="120"/>
      </w:pPr>
      <w:r>
        <w:t xml:space="preserve">Shapiro, Rangan, Moriarty &amp; Ross (1987): lợi nhuận trên từng đơn hàng, từng khách hàng </w:t>
      </w:r>
      <w:r>
        <w:rPr>
          <w:b/>
          <w:bCs/>
        </w:rPr>
        <w:t xml:space="preserve">khác nhau rất lớn</w:t>
      </w:r>
      <w:r>
        <w:t xml:space="preserve">, nhiều khi quản lý không hiểu vì sao — vì </w:t>
      </w:r>
      <w:r>
        <w:rPr>
          <w:b/>
          <w:bCs/>
        </w:rPr>
        <w:t xml:space="preserve">giá thực nhận</w:t>
      </w:r>
      <w:r>
        <w:t xml:space="preserve"> và </w:t>
      </w:r>
      <w:r>
        <w:rPr>
          <w:b/>
          <w:bCs/>
        </w:rPr>
        <w:t xml:space="preserve">chi phí phục vụ</w:t>
      </w:r>
      <w:r>
        <w:t xml:space="preserve"> khác nhau.</w:t>
      </w:r>
    </w:p>
    <w:p>
      <w:pPr>
        <w:pStyle w:val="Heading2"/>
      </w:pPr>
      <w:r>
        <w:t xml:space="preserve">2.2 Cost-to-serve phụ thuộc hành vi khách hàng (F05)</w:t>
      </w:r>
    </w:p>
    <w:p>
      <w:pPr>
        <w:spacing w:after="120"/>
      </w:pPr>
      <w:r>
        <w:t xml:space="preserve">Doanh nghiệp thường biết rõ chi phí làm ra sản phẩm nhưng </w:t>
      </w:r>
      <w:r>
        <w:rPr>
          <w:b/>
          <w:bCs/>
        </w:rPr>
        <w:t xml:space="preserve">ít biết chi phí phục vụ khách hàng</w:t>
      </w:r>
      <w:r>
        <w:t xml:space="preserve">; chi phí phục vụ </w:t>
      </w:r>
      <w:r>
        <w:rPr>
          <w:b/>
          <w:bCs/>
        </w:rPr>
        <w:t xml:space="preserve">phụ thuộc hành vi của khách hàng</w:t>
      </w:r>
      <w:r>
        <w:t xml:space="preserve"> (dẫn Kaplan &amp; Narayanan, 2001). Nghiên cứu Kanthal của Kaplan (1989), theo dẫn lại: 20% khách hàng tạo </w:t>
      </w:r>
      <w:r>
        <w:rPr>
          <w:b/>
          <w:bCs/>
        </w:rPr>
        <w:t xml:space="preserve">225%</w:t>
      </w:r>
      <w:r>
        <w:t xml:space="preserve"> lợi nhuận, 10% khách hàng gây lỗ bằng </w:t>
      </w:r>
      <w:r>
        <w:rPr>
          <w:b/>
          <w:bCs/>
        </w:rPr>
        <w:t xml:space="preserve">125%</w:t>
      </w:r>
      <w:r>
        <w:t xml:space="preserve"> lợi nhuận — “</w:t>
      </w:r>
      <w:r>
        <w:rPr>
          <w:b/>
          <w:bCs/>
        </w:rPr>
        <w:t xml:space="preserve">whale curve</w:t>
      </w:r>
      <w:r>
        <w:t xml:space="preserve">” </w:t>
      </w:r>
      <w:r>
        <w:rPr>
          <w:i/>
          <w:iCs/>
        </w:rPr>
        <w:t xml:space="preserve">(chưa kiểm chứng chéo)</w:t>
      </w:r>
      <w:r>
        <w:t xml:space="preserve">.</w:t>
      </w:r>
    </w:p>
    <w:p>
      <w:pPr>
        <w:pStyle w:val="Heading2"/>
      </w:pPr>
      <w:r>
        <w:t xml:space="preserve">2.3 Cost-to-serve của agency sự kiện (nhận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20"/>
        <w:gridCol w:w="5118"/>
      </w:tblGrid>
      <w:tr>
        <w:trPr>
          <w:tblHeader/>
        </w:trPr>
        <w:tc>
          <w:tcPr>
            <w:tcW w:type="dxa" w:w="45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Thành phần</w:t>
            </w:r>
          </w:p>
        </w:tc>
        <w:tc>
          <w:tcPr>
            <w:tcW w:type="dxa" w:w="51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Giờ làm việc của đội KAM, họp</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buổi họp, số người tham gia</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 concept nhiều vòng</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vòng hay 6 vòng</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sinh ngoài phạm vi không tính tiền (scope creep)</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hạng mục sát ngày</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vốn do trả chậm</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Thanh toán sau 90 ngày trong khi Nova phải đặt cọc nhà cung cấp trước (Buổi 7)</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đấu thầu lại mỗi năm</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đề xuất, pitch</w:t>
            </w:r>
          </w:p>
        </w:tc>
      </w:tr>
      <w:tr>
        <w:trPr>
          <w:tblHeader w:val="off"/>
        </w:trPr>
        <w:tc>
          <w:tcPr>
            <w:tcW w:type="dxa" w:w="45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Nhân sự cấp cao phải có mặt</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CEO, trưởng bộ phận</w:t>
            </w:r>
          </w:p>
        </w:tc>
      </w:tr>
    </w:tbl>
    <w:p>
      <w:pPr>
        <w:spacing w:after="80" w:before="0"/>
      </w:pPr>
    </w:p>
    <w:p>
      <w:pPr>
        <w:spacing w:after="120"/>
      </w:pPr>
      <w:r>
        <w:rPr>
          <w:b/>
          <w:bCs/>
        </w:rPr>
        <w:t xml:space="preserve">Minh họa quốc tế (F07, chưa KCC; không phải event agency):</w:t>
      </w:r>
      <w:r>
        <w:t xml:space="preserve"> khảo sát 273 lãnh đạo agency ở Mỹ: 97% gặp khách trả chậm; 57% mất 1.000–5.000 USD/tháng do scope creep.</w:t>
      </w:r>
    </w:p>
    <w:p>
      <w:pPr>
        <w:spacing w:after="120"/>
      </w:pPr>
      <w:r>
        <w:rPr>
          <w:i/>
          <w:iCs/>
        </w:rPr>
        <w:t xml:space="preserve">[Ví dụ tính nhanh: Sông Xanh trả sau 90 ngày trên 3.500 triệu, chi phí vốn 12%/năm → khoảng 3.500 × 12% × 90/365 ≈ </w:t>
      </w:r>
      <w:r>
        <w:rPr>
          <w:i/>
          <w:iCs/>
        </w:rPr>
        <w:t xml:space="preserve">104 triệu</w:t>
      </w:r>
      <w:r>
        <w:rPr>
          <w:i/>
          <w:iCs/>
        </w:rPr>
        <w:t xml:space="preserve">/năm chỉ riêng chi phí vốn.]</w:t>
      </w:r>
    </w:p>
    <w:p>
      <w:pPr>
        <w:pStyle w:val="Heading2"/>
      </w:pPr>
      <w:r>
        <w:t xml:space="preserve">S5 — Lý thuyết 3 (13 phút)</w:t>
      </w:r>
    </w:p>
    <w:p>
      <w:pPr>
        <w:pStyle w:val="Heading2"/>
      </w:pPr>
      <w:r>
        <w:t xml:space="preserve">§3. Ma trận biên lợi nhuận gộp × cost-to-serve (biến thể của môn)</w:t>
      </w:r>
    </w:p>
    <w:p>
      <w:pPr>
        <w:pStyle w:val="Heading2"/>
      </w:pPr>
      <w:r>
        <w:t xml:space="preserve">3.1 Nguồn gốc (F03, F04)</w:t>
      </w:r>
    </w:p>
    <w:p>
      <w:pPr>
        <w:spacing w:after="120"/>
      </w:pPr>
      <w:r>
        <w:t xml:space="preserve">Ma trận của Shapiro et al. (1987) dùng hai trục </w:t>
      </w:r>
      <w:r>
        <w:rPr>
          <w:b/>
          <w:bCs/>
        </w:rPr>
        <w:t xml:space="preserve">giá thực nhận</w:t>
      </w:r>
      <w:r>
        <w:t xml:space="preserve"> và </w:t>
      </w:r>
      <w:r>
        <w:rPr>
          <w:b/>
          <w:bCs/>
        </w:rPr>
        <w:t xml:space="preserve">chi phí phục vụ</w:t>
      </w:r>
      <w:r>
        <w:t xml:space="preserve">; Ang &amp; Taylor (2005) ghi nhận đây là mô hình đầu tiên gần với </w:t>
      </w:r>
      <w:r>
        <w:rPr>
          <w:b/>
          <w:bCs/>
        </w:rPr>
        <w:t xml:space="preserve">lợi nhuận khách hàng</w:t>
      </w:r>
      <w:r>
        <w:t xml:space="preserve">: khách chi phí phục vụ thấp mà trả giá cao là có lợi nhất. Môn dùng </w:t>
      </w:r>
      <w:r>
        <w:rPr>
          <w:b/>
          <w:bCs/>
        </w:rPr>
        <w:t xml:space="preserve">biên lợi nhuận gộp</w:t>
      </w:r>
      <w:r>
        <w:t xml:space="preserve"> thay cho giá thực nhận (quyết định GV 3).</w:t>
      </w:r>
    </w:p>
    <w:p>
      <w:pPr>
        <w:pStyle w:val="Heading2"/>
      </w:pPr>
      <w:r>
        <w:t xml:space="preserve">3.2 Bốn ô và hướng hành động (tên ô theo nguồn thứ cấp </w:t>
      </w:r>
      <w:r>
        <w:rPr>
          <w:rFonts w:ascii="Courier New" w:cs="Courier New" w:eastAsia="Courier New" w:hAnsi="Courier New"/>
        </w:rPr>
        <w:t xml:space="preserve">[VERIFY]</w:t>
      </w:r>
      <w:r>
        <w:t xml:space="preserve">; hướng hành động là nhận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9"/>
        <w:gridCol w:w="3517"/>
        <w:gridCol w:w="4222"/>
      </w:tblGrid>
      <w:tr>
        <w:trPr>
          <w:tblHeader/>
        </w:trPr>
        <w:tc>
          <w:tcPr>
            <w:tcW w:type="dxa" w:w="189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35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Cost-to-serve </w:t>
            </w:r>
            <w:r>
              <w:rPr>
                <w:b/>
                <w:bCs/>
                <w:color w:val="172849"/>
                <w:sz w:val="20"/>
                <w:szCs w:val="20"/>
              </w:rPr>
              <w:t xml:space="preserve">thấp</w:t>
            </w:r>
          </w:p>
        </w:tc>
        <w:tc>
          <w:tcPr>
            <w:tcW w:type="dxa" w:w="422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Cost-to-serve </w:t>
            </w:r>
            <w:r>
              <w:rPr>
                <w:b/>
                <w:bCs/>
                <w:color w:val="172849"/>
                <w:sz w:val="20"/>
                <w:szCs w:val="20"/>
              </w:rPr>
              <w:t xml:space="preserve">cao</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Biên lợi nhuận gộp cao</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Passive</w:t>
            </w:r>
            <w:r>
              <w:rPr>
                <w:sz w:val="20"/>
                <w:szCs w:val="20"/>
              </w:rPr>
              <w:t xml:space="preserve"> — lợi nhất; giữ gìn, đầu tư quan hệ</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Carriage trade</w:t>
            </w:r>
            <w:r>
              <w:rPr>
                <w:sz w:val="20"/>
                <w:szCs w:val="20"/>
              </w:rPr>
              <w:t xml:space="preserve"> — lãi nếu giá bù được chi phí; kiểm soát chi phí phục vụ</w:t>
            </w:r>
          </w:p>
        </w:tc>
      </w:tr>
      <w:tr>
        <w:trPr>
          <w:tblHeader w:val="off"/>
        </w:trPr>
        <w:tc>
          <w:tcPr>
            <w:tcW w:type="dxa" w:w="1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Biên lợi nhuận gộp thấp</w:t>
            </w:r>
          </w:p>
        </w:tc>
        <w:tc>
          <w:tcPr>
            <w:tcW w:type="dxa" w:w="35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Bargain basement</w:t>
            </w:r>
            <w:r>
              <w:rPr>
                <w:sz w:val="20"/>
                <w:szCs w:val="20"/>
              </w:rPr>
              <w:t xml:space="preserve"> — phục vụ chuẩn hóa, hiệu quả</w:t>
            </w:r>
          </w:p>
        </w:tc>
        <w:tc>
          <w:tcPr>
            <w:tcW w:type="dxa" w:w="42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Aggressive</w:t>
            </w:r>
            <w:r>
              <w:rPr>
                <w:sz w:val="20"/>
                <w:szCs w:val="20"/>
              </w:rPr>
              <w:t xml:space="preserve"> — nguy cơ lỗ; </w:t>
            </w:r>
            <w:r>
              <w:rPr>
                <w:sz w:val="20"/>
                <w:szCs w:val="20"/>
              </w:rPr>
              <w:t xml:space="preserve">cùng khách</w:t>
            </w:r>
            <w:r>
              <w:rPr>
                <w:sz w:val="20"/>
                <w:szCs w:val="20"/>
              </w:rPr>
              <w:t xml:space="preserve"> giảm chi phí hoặc điều chỉnh phạm vi, giá</w:t>
            </w:r>
          </w:p>
        </w:tc>
      </w:tr>
    </w:tbl>
    <w:p>
      <w:pPr>
        <w:spacing w:after="80" w:before="0"/>
      </w:pPr>
    </w:p>
    <w:p>
      <w:pPr>
        <w:pStyle w:val="Heading2"/>
      </w:pPr>
      <w:r>
        <w:t xml:space="preserve">3.3 “Bilateral benefits and fair relationships” (F06)</w:t>
      </w:r>
    </w:p>
    <w:p>
      <w:pPr>
        <w:pBdr>
          <w:left w:val="single" w:color="2E8B74" w:sz="18" w:space="8"/>
        </w:pBdr>
        <w:shd w:fill="E8F4F0" w:color="auto" w:val="clear"/>
        <w:spacing w:after="160" w:before="80"/>
        <w:ind w:left="200" w:right="100"/>
      </w:pPr>
      <w:r>
        <w:rPr>
          <w:i/>
          <w:iCs/>
          <w:color w:val="333F55"/>
          <w:sz w:val="20"/>
          <w:szCs w:val="20"/>
        </w:rPr>
        <w:t xml:space="preserve">“We do not sell unprofitably to any customer. We analyze our cost-to-serve customer figures to be sure of this.”</w:t>
      </w:r>
      <w:r>
        <w:rPr>
          <w:color w:val="333F55"/>
          <w:sz w:val="20"/>
          <w:szCs w:val="20"/>
        </w:rPr>
        <w:t xml:space="preserve"> (câu tự đánh giá trong bài của McDonald)</w:t>
      </w:r>
    </w:p>
    <w:p>
      <w:pPr>
        <w:spacing w:after="120"/>
      </w:pPr>
      <w:r>
        <w:t xml:space="preserve">Nhưng </w:t>
      </w:r>
      <w:r>
        <w:rPr>
          <w:b/>
          <w:bCs/>
        </w:rPr>
        <w:t xml:space="preserve">không ép khách</w:t>
      </w:r>
      <w:r>
        <w:t xml:space="preserve">: nhiều chi phí phục vụ giảm được </w:t>
      </w:r>
      <w:r>
        <w:rPr>
          <w:b/>
          <w:bCs/>
        </w:rPr>
        <w:t xml:space="preserve">khi cùng khách hàng</w:t>
      </w:r>
      <w:r>
        <w:t xml:space="preserve"> thay đổi cách làm — lịch duyệt rõ, gộp sự kiện, lịch thanh toán theo tiến độ, phạm vi viết rõ. </w:t>
      </w:r>
      <w:r>
        <w:rPr>
          <w:i/>
          <w:iCs/>
        </w:rPr>
        <w:t xml:space="preserve">[Nói: "Công bằng là cả hai cùng thấy quan hệ đáng giữ."]</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W06_activity_S6_ma_tran_cost_to_serve.md</w:t>
      </w:r>
      <w:r>
        <w:t xml:space="preserve">).</w:t>
      </w:r>
    </w:p>
    <w:p>
      <w:pPr>
        <w:pStyle w:val="Heading2"/>
      </w:pPr>
      <w:r>
        <w:t xml:space="preserve">S7 — Tổng hợp (3 phút)</w:t>
      </w:r>
    </w:p>
    <w:p>
      <w:pPr>
        <w:pStyle w:val="ListParagraph"/>
        <w:numPr>
          <w:ilvl w:val="0"/>
          <w:numId w:val="6"/>
        </w:numPr>
        <w:spacing w:after="60"/>
      </w:pPr>
      <w:r>
        <w:rPr>
          <w:b/>
          <w:bCs/>
        </w:rPr>
        <w:t xml:space="preserve">6.1:</w:t>
      </w:r>
      <w:r>
        <w:t xml:space="preserve"> CLV = giá trị hiện tại của đóng góp ròng trong nhiều năm; </w:t>
      </w:r>
      <w:r>
        <w:rPr>
          <w:b/>
          <w:bCs/>
        </w:rPr>
        <w:t xml:space="preserve">rất nhạy với tỷ lệ giữ chân</w:t>
      </w:r>
      <w:r>
        <w:t xml:space="preserve"> → quan hệ là tiền thật.</w:t>
      </w:r>
    </w:p>
    <w:p>
      <w:pPr>
        <w:pStyle w:val="ListParagraph"/>
        <w:numPr>
          <w:ilvl w:val="0"/>
          <w:numId w:val="6"/>
        </w:numPr>
        <w:spacing w:after="60"/>
      </w:pPr>
      <w:r>
        <w:rPr>
          <w:b/>
          <w:bCs/>
        </w:rPr>
        <w:t xml:space="preserve">6.2:</w:t>
      </w:r>
      <w:r>
        <w:t xml:space="preserve"> Doanh số ≠ lợi nhuận; </w:t>
      </w:r>
      <w:r>
        <w:rPr>
          <w:b/>
          <w:bCs/>
        </w:rPr>
        <w:t xml:space="preserve">cost-to-serve</w:t>
      </w:r>
      <w:r>
        <w:t xml:space="preserve"> phụ thuộc hành vi khách hàng; agency có nhiều chi phí ẩn.</w:t>
      </w:r>
    </w:p>
    <w:p>
      <w:pPr>
        <w:pStyle w:val="ListParagraph"/>
        <w:numPr>
          <w:ilvl w:val="0"/>
          <w:numId w:val="6"/>
        </w:numPr>
        <w:spacing w:after="60"/>
      </w:pPr>
      <w:r>
        <w:rPr>
          <w:b/>
          <w:bCs/>
        </w:rPr>
        <w:t xml:space="preserve">Ma trận</w:t>
      </w:r>
      <w:r>
        <w:t xml:space="preserve"> biên lợi nhuận gộp × cost-to-serve giúp chọn hành động; mục tiêu là quan hệ </w:t>
      </w:r>
      <w:r>
        <w:rPr>
          <w:b/>
          <w:bCs/>
        </w:rPr>
        <w:t xml:space="preserve">có lợi cho cả hai</w:t>
      </w:r>
      <w:r>
        <w:t xml:space="preserve">.</w:t>
      </w:r>
    </w:p>
    <w:p>
      <w:pPr>
        <w:spacing w:after="120"/>
      </w:pPr>
      <w:r>
        <w:rPr>
          <w:b/>
          <w:bCs/>
        </w:rPr>
        <w:t xml:space="preserve">Liên hệ SMP:</w:t>
      </w:r>
      <w:r>
        <w:t xml:space="preserve"> phần </w:t>
      </w:r>
      <w:r>
        <w:rPr>
          <w:b/>
          <w:bCs/>
        </w:rPr>
        <w:t xml:space="preserve">B. Value Opportunities</w:t>
      </w:r>
      <w:r>
        <w:t xml:space="preserve"> — CLV và vị trí trên ma trận của khách hàng dự án cũ (số giả định ghi rõ). Đây cũng là nền cho câu hỏi “logic tài chính” ở Buổi 14–15.</w:t>
      </w:r>
    </w:p>
    <w:p>
      <w:pPr>
        <w:pStyle w:val="Heading2"/>
      </w:pPr>
      <w:r>
        <w:t xml:space="preserve">Tài liệu tham khảo cho buổi này</w:t>
      </w:r>
    </w:p>
    <w:p>
      <w:pPr>
        <w:pStyle w:val="ListParagraph"/>
        <w:numPr>
          <w:ilvl w:val="0"/>
          <w:numId w:val="2"/>
        </w:numPr>
        <w:spacing w:after="60"/>
      </w:pPr>
      <w:r>
        <w:t xml:space="preserve">Ang, L., &amp; Taylor, B. (2005). Managing customer profitability using portfolio matrices. </w:t>
      </w:r>
      <w:r>
        <w:rPr>
          <w:i/>
          <w:iCs/>
        </w:rPr>
        <w:t xml:space="preserve">Journal of Database Marketing &amp; Customer Strategy Management, 12</w:t>
      </w:r>
      <w:r>
        <w:t xml:space="preserve">(4), 298–304.</w:t>
      </w:r>
    </w:p>
    <w:p>
      <w:pPr>
        <w:pStyle w:val="ListParagraph"/>
        <w:numPr>
          <w:ilvl w:val="0"/>
          <w:numId w:val="2"/>
        </w:numPr>
        <w:spacing w:after="60"/>
      </w:pPr>
      <w:r>
        <w:t xml:space="preserve">Berger, P. D., &amp; Nasr, N. I. (1998). Customer lifetime value: Marketing models and applications. </w:t>
      </w:r>
      <w:r>
        <w:rPr>
          <w:i/>
          <w:iCs/>
        </w:rPr>
        <w:t xml:space="preserve">Journal of Interactive Marketing, 12</w:t>
      </w:r>
      <w:r>
        <w:t xml:space="preserve">(1), 17–30.</w:t>
      </w:r>
    </w:p>
    <w:p>
      <w:pPr>
        <w:pStyle w:val="ListParagraph"/>
        <w:numPr>
          <w:ilvl w:val="0"/>
          <w:numId w:val="2"/>
        </w:numPr>
        <w:spacing w:after="60"/>
      </w:pPr>
      <w:r>
        <w:t xml:space="preserve">Gupta, S., Hanssens, D., Hardie, B., Kahn, W., Kumar, V., Lin, N., Ravishanker, N., &amp; Sriram, S. (2006). Modeling customer lifetime value. </w:t>
      </w:r>
      <w:r>
        <w:rPr>
          <w:i/>
          <w:iCs/>
        </w:rPr>
        <w:t xml:space="preserve">Journal of Service Research, 9</w:t>
      </w:r>
      <w:r>
        <w:t xml:space="preserve">(2), 139–155.</w:t>
      </w:r>
    </w:p>
    <w:p>
      <w:pPr>
        <w:pStyle w:val="ListParagraph"/>
        <w:numPr>
          <w:ilvl w:val="0"/>
          <w:numId w:val="2"/>
        </w:numPr>
        <w:spacing w:after="60"/>
      </w:pPr>
      <w:r>
        <w:t xml:space="preserve">Shapiro, B. P., Rangan, V. K., Moriarty, R. T., &amp; Ross, E. B. (1987). Manage customers for profits (not just sales). </w:t>
      </w:r>
      <w:r>
        <w:rPr>
          <w:i/>
          <w:iCs/>
        </w:rPr>
        <w:t xml:space="preserve">Harvard Business Review, 65</w:t>
      </w:r>
      <w:r>
        <w:t xml:space="preserve">(5), 101–108.</w:t>
      </w:r>
    </w:p>
    <w:p>
      <w:pPr>
        <w:spacing w:after="120"/>
      </w:pPr>
      <w:r>
        <w:t xml:space="preserve">Nguồn khác: </w:t>
      </w:r>
      <w:r>
        <w:rPr>
          <w:rFonts w:ascii="Courier New" w:cs="Courier New" w:eastAsia="Courier New" w:hAnsi="Courier New"/>
        </w:rPr>
        <w:t xml:space="preserve">buoi-06_tu-lieu-tong-hop.md</w:t>
      </w:r>
      <w:r>
        <w:t xml:space="preserve">, mục 6.</w:t>
      </w:r>
    </w:p>
    <w:p>
      <w:pPr>
        <w:pStyle w:val="Title"/>
      </w:pPr>
      <w:r>
        <w:t xml:space="preserve">Dàn ý slide</w:t>
      </w:r>
    </w:p>
    <w:p>
      <w:pPr>
        <w:pStyle w:val="Heading1"/>
      </w:pPr>
      <w:r>
        <w:t xml:space="preserve">Dàn ý slide — Buổi 6: Financial Acumen in KAM</w:t>
      </w:r>
    </w:p>
    <w:p>
      <w:pPr>
        <w:spacing w:after="120"/>
      </w:pPr>
      <w:r>
        <w:t xml:space="preserve">EVM1110E · 20 slide · Mỗi slide một ý; tiêu đề là </w:t>
      </w:r>
      <w:r>
        <w:rPr>
          <w:b/>
          <w:bCs/>
        </w:rPr>
        <w:t xml:space="preserve">câu khẳng định</w:t>
      </w:r>
      <w:r>
        <w:t xml:space="preserve">. Hình có alt-text. Mọi con số tình huống ghi </w:t>
      </w:r>
      <w:r>
        <w:rPr>
          <w:b/>
          <w:bCs/>
        </w:rPr>
        <w:t xml:space="preserve">GIẢ ĐỊNH</w:t>
      </w:r>
      <w:r>
        <w:t xml:space="preserve"> ở chân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
        <w:gridCol w:w="456"/>
        <w:gridCol w:w="3421"/>
        <w:gridCol w:w="3421"/>
        <w:gridCol w:w="1884"/>
      </w:tblGrid>
      <w:tr>
        <w:trPr>
          <w:tblHeader/>
        </w:trPr>
        <w:tc>
          <w:tcPr>
            <w:tcW w:type="dxa" w:w="4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4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4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1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6</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GV; phụ đề</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thu lớn nhất chưa chắc đáng giá nhất</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Sông Xanh 3,5 tỷ vs An Phát 2,3 tỷ</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CLV giúp phân bổ nguồn lực cho quan hệ dài hạn</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Gupta et al. (F01): customer equity</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CLV tính trên đóng góp ròng, không trên doanh thu</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 = lợi nhuận gộp − cost-to-serve</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thức đơn giản: đóng góp × tỷ lệ giữ chân, chiết khấu về hiện tại</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Công thức §1.2</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CLV 5 năm của An Phát khoảng 926 triệu</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tính §1.3</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Tính cùng lớp</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giữ chân thay đổi CLV rất mạnh</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So sánh r = 85% và 70%</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tốt là tiền thật</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Buổi 4</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CLV là ước lượng theo giả định</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Giới hạn §1.4</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S3</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(phiếu Thực hành 1 — Sông Xanh, Bếp Việt)</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3 / 10 / 7</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số cao không có nghĩa lợi nhuận cao</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Shapiro et al. (F03)</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 phí phục vụ phụ thuộc hành vi khách hàng</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F05; whale curve 20% → 225%</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có sáu loại chi phí phục vụ ẩn</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§2.3</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 chậm 90 ngày tốn khoảng 104 triệu chi phí vốn</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Tính nhanh Sông Xanh</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 định</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khắp nơi gặp trả chậm và phát sinh ngoài phạm vi</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F07: 97%, 57%</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 không phải event agency</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đặt khách hàng theo biên lợi nhuận và chi phí phục vụ</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Shapiro et al.; Ang &amp; Taylor (F04)</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Biến thể của môn</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ô, bốn hướng hành động</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 trận §3.2. </w:t>
            </w:r>
            <w:r>
              <w:rPr>
                <w:i/>
                <w:iCs/>
                <w:sz w:val="20"/>
                <w:szCs w:val="20"/>
              </w:rPr>
              <w:t xml:space="preserve">Alt: ma trận 2×2</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ô </w:t>
            </w:r>
            <w:r>
              <w:rPr>
                <w:rFonts w:ascii="Courier New" w:cs="Courier New" w:eastAsia="Courier New" w:hAnsi="Courier New"/>
                <w:sz w:val="20"/>
                <w:szCs w:val="20"/>
              </w:rPr>
              <w:t xml:space="preserve">[VERIFY]</w:t>
            </w:r>
            <w:r>
              <w:rPr>
                <w:sz w:val="20"/>
                <w:szCs w:val="20"/>
              </w:rPr>
              <w:t xml:space="preserve">; chiếu suốt S6</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bán lỗ cho khách hàng nào</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F06</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Nhưng giảm chi phí phục vụ cùng khách hàng</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lịch duyệt, thanh toán theo tiến độ</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 S6</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(phiếu Thực hành 2 — ma trận 5 khách hàng + xoay trạm hai vai)</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5 / 8 / 4 / 4 / 6</w:t>
            </w: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6</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6.1 CLV · 6.2 cost-to-serve · ma trận và công bằng hai chiều; dòng cuối: phần B của SMP, logic tài chính Buổi 14</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4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 câu nối Buổi 7</w:t>
            </w:r>
          </w:p>
        </w:tc>
        <w:tc>
          <w:tcPr>
            <w:tcW w:type="dxa" w:w="1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Bdr>
          <w:left w:val="single" w:color="2E8B74" w:sz="18" w:space="8"/>
        </w:pBdr>
        <w:shd w:fill="E8F4F0" w:color="auto" w:val="clear"/>
        <w:spacing w:after="160" w:before="80"/>
        <w:ind w:left="200" w:right="100"/>
      </w:pPr>
      <w:r>
        <w:rPr>
          <w:b/>
          <w:bCs/>
          <w:color w:val="333F55"/>
          <w:sz w:val="20"/>
          <w:szCs w:val="20"/>
        </w:rPr>
        <w:t xml:space="preserve">Cập nhật 4/10/2026:</w:t>
      </w:r>
      <w:r>
        <w:rPr>
          <w:color w:val="333F55"/>
          <w:sz w:val="20"/>
          <w:szCs w:val="20"/>
        </w:rPr>
        <w:t xml:space="preserve"> deck đầy đủ theo khuôn MKT1107 đã dựng tại </w:t>
      </w:r>
      <w:r>
        <w:rPr>
          <w:rFonts w:ascii="Courier New" w:cs="Courier New" w:eastAsia="Courier New" w:hAnsi="Courier New"/>
          <w:color w:val="333F55"/>
          <w:sz w:val="20"/>
          <w:szCs w:val="20"/>
        </w:rPr>
        <w:t xml:space="preserve">slides/W06_slides.pptx</w:t>
      </w:r>
      <w:r>
        <w:rPr>
          <w:color w:val="333F55"/>
          <w:sz w:val="20"/>
          <w:szCs w:val="20"/>
        </w:rPr>
        <w:t xml:space="preserve"> (và bản Roboto), thay cho dàn ý này; xem </w:t>
      </w:r>
      <w:r>
        <w:rPr>
          <w:rFonts w:ascii="Courier New" w:cs="Courier New" w:eastAsia="Courier New" w:hAnsi="Courier New"/>
          <w:color w:val="333F55"/>
          <w:sz w:val="20"/>
          <w:szCs w:val="20"/>
        </w:rPr>
        <w:t xml:space="preserve">buoi-06_tu-lieu-tong-hop.md</w:t>
      </w:r>
      <w:r>
        <w:rPr>
          <w:color w:val="333F55"/>
          <w:sz w:val="20"/>
          <w:szCs w:val="20"/>
        </w:rPr>
        <w:t xml:space="preserve"> mục 8 về nguồn mới từ giáo trình.</w:t>
      </w:r>
    </w:p>
    <w:p>
      <w:pPr>
        <w:pStyle w:val="Title"/>
      </w:pPr>
      <w:r>
        <w:t xml:space="preserve">Phiếu hoạt động</w:t>
      </w:r>
    </w:p>
    <w:p>
      <w:pPr>
        <w:pStyle w:val="Heading1"/>
      </w:pPr>
      <w:r>
        <w:t xml:space="preserve">Thực hành 1 — Tính CLV của hai khách hàng</w:t>
      </w:r>
    </w:p>
    <w:p>
      <w:pPr>
        <w:spacing w:after="120"/>
      </w:pPr>
      <w:r>
        <w:t xml:space="preserve">EVM1110E · Buổi 6 · Đoạn S3 (20 phút)</w:t>
      </w:r>
    </w:p>
    <w:p>
      <w:pPr>
        <w:pStyle w:val="Heading2"/>
      </w:pPr>
      <w:r>
        <w:t xml:space="preserve">Vì sao chúng ta làm bài này</w:t>
      </w:r>
    </w:p>
    <w:p>
      <w:pPr>
        <w:spacing w:after="120"/>
      </w:pPr>
      <w:r>
        <w:t xml:space="preserve">Yêu cầu 6.1: </w:t>
      </w:r>
      <w:r>
        <w:rPr>
          <w:b/>
          <w:bCs/>
        </w:rPr>
        <w:t xml:space="preserve">tính CLV để định hướng dài hạn.</w:t>
      </w:r>
      <w:r>
        <w:t xml:space="preserve"> So với An Phát (CLV 5 năm ≈ 926 triệu, tính mẫu trên lớp).</w:t>
      </w:r>
    </w:p>
    <w:p>
      <w:pPr>
        <w:pStyle w:val="Heading2"/>
      </w:pPr>
      <w:r>
        <w:t xml:space="preserve">Dữ liệu (GIẢ ĐỊNH — dùng lại khách hàng Buổi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4900"/>
        <w:gridCol w:w="2778"/>
      </w:tblGrid>
      <w:tr>
        <w:trPr>
          <w:tblHeader/>
        </w:trPr>
        <w:tc>
          <w:tcPr>
            <w:tcW w:type="dxa" w:w="196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90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Địa ốc Sông Xanh</w:t>
            </w:r>
          </w:p>
        </w:tc>
        <w:tc>
          <w:tcPr>
            <w:tcW w:type="dxa" w:w="277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Thực phẩm Bếp Việt</w:t>
            </w:r>
          </w:p>
        </w:tc>
      </w:tr>
      <w:tr>
        <w:trPr>
          <w:tblHeader w:val="off"/>
        </w:trPr>
        <w:tc>
          <w:tcPr>
            <w:tcW w:type="dxa" w:w="19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thu cho Nova/năm</w:t>
            </w:r>
          </w:p>
        </w:tc>
        <w:tc>
          <w:tcPr>
            <w:tcW w:type="dxa" w:w="4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3.500 triệu</w:t>
            </w:r>
          </w:p>
        </w:tc>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1.800 triệu</w:t>
            </w:r>
          </w:p>
        </w:tc>
      </w:tr>
      <w:tr>
        <w:trPr>
          <w:tblHeader w:val="off"/>
        </w:trPr>
        <w:tc>
          <w:tcPr>
            <w:tcW w:type="dxa" w:w="19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Biên lợi nhuận gộp</w:t>
            </w:r>
          </w:p>
        </w:tc>
        <w:tc>
          <w:tcPr>
            <w:tcW w:type="dxa" w:w="4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 (đấu thầu theo giá)</w:t>
            </w:r>
          </w:p>
        </w:tc>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r>
      <w:tr>
        <w:trPr>
          <w:tblHeader w:val="off"/>
        </w:trPr>
        <w:tc>
          <w:tcPr>
            <w:tcW w:type="dxa" w:w="19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Cost-to-serve riêng/năm</w:t>
            </w:r>
          </w:p>
        </w:tc>
        <w:tc>
          <w:tcPr>
            <w:tcW w:type="dxa" w:w="4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250 triệu (chi phí vốn do trả sau 90 ngày ~104; đấu thầu lại ~60; phát sinh ngoài phạm vi ~86)</w:t>
            </w:r>
          </w:p>
        </w:tc>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110 triệu (thí điểm, học mảng mới)</w:t>
            </w:r>
          </w:p>
        </w:tc>
      </w:tr>
      <w:tr>
        <w:trPr>
          <w:tblHeader w:val="off"/>
        </w:trPr>
        <w:tc>
          <w:tcPr>
            <w:tcW w:type="dxa" w:w="19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tái ký mỗi năm (r)</w:t>
            </w:r>
          </w:p>
        </w:tc>
        <w:tc>
          <w:tcPr>
            <w:tcW w:type="dxa" w:w="49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w:t>
            </w:r>
          </w:p>
        </w:tc>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75%</w:t>
            </w:r>
          </w:p>
        </w:tc>
      </w:tr>
    </w:tbl>
    <w:p>
      <w:pPr>
        <w:spacing w:after="80" w:before="0"/>
      </w:pPr>
    </w:p>
    <w:p>
      <w:pPr>
        <w:spacing w:after="120"/>
      </w:pPr>
      <w:r>
        <w:t xml:space="preserve">Chiết khấu d = 12%; T = 5 năm. Công thức (slide 5): CLV ≈ Σ m × r^(t−1) / (1,12)^t, với m = lợi nhuận gộp − cost-to-serve.</w:t>
      </w:r>
    </w:p>
    <w:p>
      <w:pPr>
        <w:pStyle w:val="Heading2"/>
      </w:pPr>
      <w:r>
        <w:t xml:space="preserve">Nhiệm vụ</w:t>
      </w:r>
    </w:p>
    <w:p>
      <w:pPr>
        <w:spacing w:after="120"/>
      </w:pPr>
      <w:r>
        <w:rPr>
          <w:b/>
          <w:bCs/>
        </w:rPr>
        <w:t xml:space="preserve">Bước 1 — Tính m (3 phút).</w:t>
      </w:r>
      <w:r>
        <w:t xml:space="preserve"> Tính m cho hai khách hàng.</w:t>
      </w:r>
    </w:p>
    <w:p>
      <w:pPr>
        <w:spacing w:after="120"/>
      </w:pPr>
      <w:r>
        <w:rPr>
          <w:b/>
          <w:bCs/>
        </w:rPr>
        <w:t xml:space="preserve">Bước 2 — Tính CLV 5 năm (10 phút).</w:t>
      </w:r>
      <w:r>
        <w:t xml:space="preserve"> Chia đôi nhóm: một nửa tính Sông Xanh, một nửa tính Bếp Việt (dùng bảng 5 dòng như slide 6).</w:t>
      </w:r>
    </w:p>
    <w:p>
      <w:pPr>
        <w:spacing w:after="120"/>
      </w:pPr>
      <w:r>
        <w:rPr>
          <w:b/>
          <w:bCs/>
        </w:rPr>
        <w:t xml:space="preserve">Bước 3 — Độ nhạy và kết luận (7 phút).</w:t>
      </w:r>
      <w:r>
        <w:t xml:space="preserve"> (a) Nếu Bếp Việt tăng r lên 85% nhờ quan hệ tốt, CLV thay đổi thế nào (ước lượng)? (b) Viết </w:t>
      </w:r>
      <w:r>
        <w:rPr>
          <w:b/>
          <w:bCs/>
        </w:rPr>
        <w:t xml:space="preserve">2 câu</w:t>
      </w:r>
      <w:r>
        <w:t xml:space="preserve"> so sánh ba khách hàng (An Phát, Sông Xanh, Bếp Việt) cho anh Đức — CEO Nova.</w:t>
      </w:r>
    </w:p>
    <w:p>
      <w:pPr>
        <w:pStyle w:val="Heading2"/>
      </w:pPr>
      <w:r>
        <w:t xml:space="preserve">Tổ chức</w:t>
      </w:r>
    </w:p>
    <w:p>
      <w:pPr>
        <w:pStyle w:val="ListParagraph"/>
        <w:numPr>
          <w:ilvl w:val="0"/>
          <w:numId w:val="2"/>
        </w:numPr>
        <w:spacing w:after="60"/>
      </w:pPr>
      <w:r>
        <w:rPr>
          <w:b/>
          <w:bCs/>
        </w:rPr>
        <w:t xml:space="preserve">Nhóm:</w:t>
      </w:r>
      <w:r>
        <w:t xml:space="preserve"> 6 nhóm · </w:t>
      </w:r>
      <w:r>
        <w:rPr>
          <w:b/>
          <w:bCs/>
        </w:rPr>
        <w:t xml:space="preserve">Thời gian:</w:t>
      </w:r>
      <w:r>
        <w:t xml:space="preserve"> 20 phút (3 · 10 · 7) · </w:t>
      </w:r>
      <w:r>
        <w:rPr>
          <w:b/>
          <w:bCs/>
        </w:rPr>
        <w:t xml:space="preserve">Cần có:</w:t>
      </w:r>
      <w:r>
        <w:t xml:space="preserve"> máy tính cầm tay/điện thoại, A3.</w:t>
      </w:r>
    </w:p>
    <w:p>
      <w:pPr>
        <w:pStyle w:val="Heading2"/>
      </w:pPr>
      <w:r>
        <w:t xml:space="preserve">Nộp gì</w:t>
      </w:r>
    </w:p>
    <w:p>
      <w:pPr>
        <w:spacing w:after="120"/>
      </w:pPr>
      <w:r>
        <w:t xml:space="preserve">Không nộp, không tính điểm. Chụp ảnh lưu lại.</w:t>
      </w:r>
    </w:p>
    <w:p>
      <w:pPr>
        <w:pStyle w:val="Heading1"/>
      </w:pPr>
      <w:r>
        <w:t xml:space="preserve">Phần dành cho giảng viên — Thực hành 1</w:t>
      </w:r>
    </w:p>
    <w:p>
      <w:pPr>
        <w:spacing w:after="120"/>
      </w:pPr>
      <w:r>
        <w:rPr>
          <w:b/>
          <w:bCs/>
        </w:rPr>
        <w:t xml:space="preserve">Kỹ thuật:</w:t>
      </w:r>
      <w:r>
        <w:t xml:space="preserve"> Bài tính theo nhóm + phân tích độ nhạy. </w:t>
      </w:r>
      <w:r>
        <w:rPr>
          <w:b/>
          <w:bCs/>
        </w:rPr>
        <w:t xml:space="preserve">CLO:</w:t>
      </w:r>
      <w:r>
        <w:t xml:space="preserve"> CLO1, CLO4 · </w:t>
      </w:r>
      <w:r>
        <w:rPr>
          <w:b/>
          <w:bCs/>
        </w:rPr>
        <w:t xml:space="preserve">Bloom:</w:t>
      </w:r>
      <w:r>
        <w:t xml:space="preserve"> Vận dụng → Phân tích</w:t>
      </w:r>
    </w:p>
    <w:p>
      <w:pPr>
        <w:pStyle w:val="Heading2"/>
      </w:pPr>
      <w:r>
        <w:t xml:space="preserve">Đáp án tham khảo (làm tròn)</w:t>
      </w:r>
    </w:p>
    <w:p>
      <w:pPr>
        <w:pStyle w:val="ListParagraph"/>
        <w:numPr>
          <w:ilvl w:val="0"/>
          <w:numId w:val="2"/>
        </w:numPr>
        <w:spacing w:after="60"/>
      </w:pPr>
      <w:r>
        <w:rPr>
          <w:b/>
          <w:bCs/>
        </w:rPr>
        <w:t xml:space="preserve">Sông Xanh:</w:t>
      </w:r>
      <w:r>
        <w:t xml:space="preserve"> lợi nhuận gộp 350; m = 350 − 250 = </w:t>
      </w:r>
      <w:r>
        <w:rPr>
          <w:b/>
          <w:bCs/>
        </w:rPr>
        <w:t xml:space="preserve">100</w:t>
      </w:r>
      <w:r>
        <w:t xml:space="preserve"> triệu. CLV: 89,3 + 31,9 + 11,4 + 4,1 + 1,5 ≈ </w:t>
      </w:r>
      <w:r>
        <w:rPr>
          <w:b/>
          <w:bCs/>
        </w:rPr>
        <w:t xml:space="preserve">138 triệu</w:t>
      </w:r>
      <w:r>
        <w:t xml:space="preserve">.</w:t>
      </w:r>
    </w:p>
    <w:p>
      <w:pPr>
        <w:pStyle w:val="ListParagraph"/>
        <w:numPr>
          <w:ilvl w:val="0"/>
          <w:numId w:val="2"/>
        </w:numPr>
        <w:spacing w:after="60"/>
      </w:pPr>
      <w:r>
        <w:rPr>
          <w:b/>
          <w:bCs/>
        </w:rPr>
        <w:t xml:space="preserve">Bếp Việt:</w:t>
      </w:r>
      <w:r>
        <w:t xml:space="preserve"> lợi nhuận gộp 288; m = 288 − 110 = </w:t>
      </w:r>
      <w:r>
        <w:rPr>
          <w:b/>
          <w:bCs/>
        </w:rPr>
        <w:t xml:space="preserve">178</w:t>
      </w:r>
      <w:r>
        <w:t xml:space="preserve"> triệu. CLV 5 năm ≈ </w:t>
      </w:r>
      <w:r>
        <w:rPr>
          <w:b/>
          <w:bCs/>
        </w:rPr>
        <w:t xml:space="preserve">416 triệu</w:t>
      </w:r>
      <w:r>
        <w:t xml:space="preserve"> (r = 75%). Nếu r = 85%: ≈ </w:t>
      </w:r>
      <w:r>
        <w:rPr>
          <w:b/>
          <w:bCs/>
        </w:rPr>
        <w:t xml:space="preserve">494 triệu</w:t>
      </w:r>
      <w:r>
        <w:t xml:space="preserve"> </w:t>
      </w:r>
      <w:r>
        <w:rPr>
          <w:i/>
          <w:iCs/>
        </w:rPr>
        <w:t xml:space="preserve">(ước lượng: 178/334 × 926)</w:t>
      </w:r>
      <w:r>
        <w:t xml:space="preserve">.</w:t>
      </w:r>
    </w:p>
    <w:p>
      <w:pPr>
        <w:pStyle w:val="ListParagraph"/>
        <w:numPr>
          <w:ilvl w:val="0"/>
          <w:numId w:val="2"/>
        </w:numPr>
        <w:spacing w:after="60"/>
      </w:pPr>
      <w:r>
        <w:rPr>
          <w:b/>
          <w:bCs/>
        </w:rPr>
        <w:t xml:space="preserve">An Phát:</w:t>
      </w:r>
      <w:r>
        <w:t xml:space="preserve"> ≈ </w:t>
      </w:r>
      <w:r>
        <w:rPr>
          <w:b/>
          <w:bCs/>
        </w:rPr>
        <w:t xml:space="preserve">926 triệu</w:t>
      </w:r>
      <w:r>
        <w:t xml:space="preserve"> (mẫu).</w:t>
      </w:r>
    </w:p>
    <w:p>
      <w:pPr>
        <w:spacing w:after="120"/>
      </w:pPr>
      <w:r>
        <w:rPr>
          <w:b/>
          <w:bCs/>
        </w:rPr>
        <w:t xml:space="preserve">Kết luận mẫu:</w:t>
      </w:r>
      <w:r>
        <w:t xml:space="preserve"> </w:t>
      </w:r>
      <w:r>
        <w:rPr>
          <w:i/>
          <w:iCs/>
        </w:rPr>
        <w:t xml:space="preserve">“Sông Xanh có doanh thu lớn nhất nhưng CLV nhỏ nhất vì biên thấp, chi phí phục vụ cao và gần như không tái ký. An Phát có CLV cao nhất; Bếp Việt đáng đầu tư nếu tăng được tỷ lệ tái ký.”</w:t>
      </w: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642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dùng doanh thu thay cho m</w:t>
            </w:r>
          </w:p>
        </w:tc>
        <w:tc>
          <w:tcPr>
            <w:tcW w:type="dxa" w:w="64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“Nova giữ lại bao nhiêu sau khi trả nhà cung cấp và chi phí phục vụ?”</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Quên chiết khấu</w:t>
            </w:r>
          </w:p>
        </w:tc>
        <w:tc>
          <w:tcPr>
            <w:tcW w:type="dxa" w:w="64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“1 đồng năm thứ 5 có bằng 1 đồng hôm nay?”</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Coi CLV là con số chính xác</w:t>
            </w:r>
          </w:p>
        </w:tc>
        <w:tc>
          <w:tcPr>
            <w:tcW w:type="dxa" w:w="64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CLV là </w:t>
            </w:r>
            <w:r>
              <w:rPr>
                <w:sz w:val="20"/>
                <w:szCs w:val="20"/>
              </w:rPr>
              <w:t xml:space="preserve">ước lượng theo giả định</w:t>
            </w:r>
            <w:r>
              <w:rPr>
                <w:sz w:val="20"/>
                <w:szCs w:val="20"/>
              </w:rPr>
              <w:t xml:space="preserve"> — ghi rõ giả định</w:t>
            </w:r>
          </w:p>
        </w:tc>
      </w:tr>
    </w:tbl>
    <w:p>
      <w:pPr>
        <w:spacing w:after="80" w:before="0"/>
      </w:pPr>
    </w:p>
    <w:p>
      <w:pPr>
        <w:spacing w:after="120"/>
      </w:pPr>
      <w:r>
        <w:rPr>
          <w:b/>
          <w:bCs/>
        </w:rPr>
        <w:t xml:space="preserve">3 ý GV chốt:</w:t>
      </w:r>
    </w:p>
    <w:p>
      <w:pPr>
        <w:pStyle w:val="ListParagraph"/>
        <w:numPr>
          <w:ilvl w:val="0"/>
          <w:numId w:val="7"/>
        </w:numPr>
        <w:spacing w:after="60"/>
      </w:pPr>
      <w:r>
        <w:t xml:space="preserve">Khách hàng doanh thu lớn nhất có thể có </w:t>
      </w:r>
      <w:r>
        <w:rPr>
          <w:b/>
          <w:bCs/>
        </w:rPr>
        <w:t xml:space="preserve">CLV nhỏ nhất</w:t>
      </w:r>
      <w:r>
        <w:t xml:space="preserve">.</w:t>
      </w:r>
    </w:p>
    <w:p>
      <w:pPr>
        <w:pStyle w:val="ListParagraph"/>
        <w:numPr>
          <w:ilvl w:val="0"/>
          <w:numId w:val="7"/>
        </w:numPr>
        <w:spacing w:after="60"/>
      </w:pPr>
      <w:r>
        <w:rPr>
          <w:b/>
          <w:bCs/>
        </w:rPr>
        <w:t xml:space="preserve">Tỷ lệ giữ chân</w:t>
      </w:r>
      <w:r>
        <w:t xml:space="preserve"> thay đổi CLV rất mạnh — quan hệ tốt (Buổi 4) là tiền thật.</w:t>
      </w:r>
    </w:p>
    <w:p>
      <w:pPr>
        <w:pStyle w:val="ListParagraph"/>
        <w:numPr>
          <w:ilvl w:val="0"/>
          <w:numId w:val="7"/>
        </w:numPr>
        <w:spacing w:after="60"/>
      </w:pPr>
      <w:r>
        <w:t xml:space="preserve">Luôn nói CLV </w:t>
      </w:r>
      <w:r>
        <w:rPr>
          <w:b/>
          <w:bCs/>
        </w:rPr>
        <w:t xml:space="preserve">kèm giả định</w:t>
      </w:r>
      <w:r>
        <w:t xml:space="preserve">.</w:t>
      </w:r>
    </w:p>
    <w:p>
      <w:pPr>
        <w:pStyle w:val="Title"/>
      </w:pPr>
      <w:r>
        <w:t xml:space="preserve">Phiếu hoạt động</w:t>
      </w:r>
    </w:p>
    <w:p>
      <w:pPr>
        <w:pStyle w:val="Heading1"/>
      </w:pPr>
      <w:r>
        <w:t xml:space="preserve">Thực hành 2 — Ma trận biên lợi nhuận gộp × cost-to-serve</w:t>
      </w:r>
    </w:p>
    <w:p>
      <w:pPr>
        <w:spacing w:after="120"/>
      </w:pPr>
      <w:r>
        <w:t xml:space="preserve">EVM1110E · Buổi 6 · Đoạn S6 (30 phút)</w:t>
      </w:r>
    </w:p>
    <w:p>
      <w:pPr>
        <w:pStyle w:val="Heading2"/>
      </w:pPr>
      <w:r>
        <w:t xml:space="preserve">Vì sao chúng ta làm bài này</w:t>
      </w:r>
    </w:p>
    <w:p>
      <w:pPr>
        <w:spacing w:after="120"/>
      </w:pPr>
      <w:r>
        <w:t xml:space="preserve">Yêu cầu 6.2: </w:t>
      </w:r>
      <w:r>
        <w:rPr>
          <w:b/>
          <w:bCs/>
        </w:rPr>
        <w:t xml:space="preserve">phân tích cost-to-serve và ma trận biên lợi nhuận</w:t>
      </w:r>
      <w:r>
        <w:t xml:space="preserve"> để bảo đảm </w:t>
      </w:r>
      <w:r>
        <w:rPr>
          <w:b/>
          <w:bCs/>
        </w:rPr>
        <w:t xml:space="preserve">lợi ích hai phía và quan hệ công bằng.</w:t>
      </w:r>
      <w:r>
        <w:t xml:space="preserve"> Mục tiêu không phải “cắt khách lỗ”, mà tìm hành động </w:t>
      </w:r>
      <w:r>
        <w:rPr>
          <w:b/>
          <w:bCs/>
        </w:rPr>
        <w:t xml:space="preserve">cả Nova và khách hàng cùng thấy hợp lý</w:t>
      </w:r>
      <w:r>
        <w:t xml:space="preserve">.</w:t>
      </w:r>
    </w:p>
    <w:p>
      <w:pPr>
        <w:pStyle w:val="Heading2"/>
      </w:pPr>
      <w:r>
        <w:t xml:space="preserve">Dữ liệu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3"/>
        <w:gridCol w:w="1249"/>
        <w:gridCol w:w="1070"/>
        <w:gridCol w:w="1844"/>
        <w:gridCol w:w="1487"/>
        <w:gridCol w:w="3215"/>
      </w:tblGrid>
      <w:tr>
        <w:trPr>
          <w:tblHeader/>
        </w:trPr>
        <w:tc>
          <w:tcPr>
            <w:tcW w:type="dxa" w:w="77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hàng</w:t>
            </w:r>
          </w:p>
        </w:tc>
        <w:tc>
          <w:tcPr>
            <w:tcW w:type="dxa" w:w="12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Doanh thu (triệu/năm)</w:t>
            </w:r>
          </w:p>
        </w:tc>
        <w:tc>
          <w:tcPr>
            <w:tcW w:type="dxa" w:w="10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Biên lợi nhuận gộp</w:t>
            </w:r>
          </w:p>
        </w:tc>
        <w:tc>
          <w:tcPr>
            <w:tcW w:type="dxa" w:w="184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Cost-to-serve riêng (triệu/năm)</w:t>
            </w:r>
          </w:p>
        </w:tc>
        <w:tc>
          <w:tcPr>
            <w:tcW w:type="dxa" w:w="148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Cost-to-serve / doanh thu</w:t>
            </w:r>
          </w:p>
        </w:tc>
        <w:tc>
          <w:tcPr>
            <w:tcW w:type="dxa" w:w="32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hành vi</w:t>
            </w:r>
          </w:p>
        </w:tc>
      </w:tr>
      <w:tr>
        <w:trPr>
          <w:tblHeader w:val="off"/>
        </w:trPr>
        <w:tc>
          <w:tcPr>
            <w:tcW w:type="dxa" w:w="7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2.300</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18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w:t>
            </w:r>
          </w:p>
        </w:tc>
        <w:tc>
          <w:tcPr>
            <w:tcW w:type="dxa" w:w="1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w:t>
            </w:r>
          </w:p>
        </w:tc>
        <w:tc>
          <w:tcPr>
            <w:tcW w:type="dxa" w:w="32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Thanh toán đúng hạn; 2 vòng sửa concept</w:t>
            </w:r>
          </w:p>
        </w:tc>
      </w:tr>
      <w:tr>
        <w:trPr>
          <w:tblHeader w:val="off"/>
        </w:trPr>
        <w:tc>
          <w:tcPr>
            <w:tcW w:type="dxa" w:w="7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Sông Xanh</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3.500</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18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250</w:t>
            </w:r>
          </w:p>
        </w:tc>
        <w:tc>
          <w:tcPr>
            <w:tcW w:type="dxa" w:w="1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w:t>
            </w:r>
          </w:p>
        </w:tc>
        <w:tc>
          <w:tcPr>
            <w:tcW w:type="dxa" w:w="32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Trả sau 90 ngày; đấu thầu lại mỗi năm; nhiều phát sinh</w:t>
            </w:r>
          </w:p>
        </w:tc>
      </w:tr>
      <w:tr>
        <w:trPr>
          <w:tblHeader w:val="off"/>
        </w:trPr>
        <w:tc>
          <w:tcPr>
            <w:tcW w:type="dxa" w:w="7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MediPharm</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1.200</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28%</w:t>
            </w:r>
          </w:p>
        </w:tc>
        <w:tc>
          <w:tcPr>
            <w:tcW w:type="dxa" w:w="18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120</w:t>
            </w:r>
          </w:p>
        </w:tc>
        <w:tc>
          <w:tcPr>
            <w:tcW w:type="dxa" w:w="1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10,0%</w:t>
            </w:r>
          </w:p>
        </w:tc>
        <w:tc>
          <w:tcPr>
            <w:tcW w:type="dxa" w:w="32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Tuân thủ khắt khe, nhiều vòng duyệt pháp chế</w:t>
            </w:r>
          </w:p>
        </w:tc>
      </w:tr>
      <w:tr>
        <w:trPr>
          <w:tblHeader w:val="off"/>
        </w:trPr>
        <w:tc>
          <w:tcPr>
            <w:tcW w:type="dxa" w:w="7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Bright Future</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600</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18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1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w:t>
            </w:r>
          </w:p>
        </w:tc>
        <w:tc>
          <w:tcPr>
            <w:tcW w:type="dxa" w:w="32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Đơn giản, lặp lại</w:t>
            </w:r>
          </w:p>
        </w:tc>
      </w:tr>
      <w:tr>
        <w:trPr>
          <w:tblHeader w:val="off"/>
        </w:trPr>
        <w:tc>
          <w:tcPr>
            <w:tcW w:type="dxa" w:w="7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Bếp Việt</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1.800</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18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110</w:t>
            </w:r>
          </w:p>
        </w:tc>
        <w:tc>
          <w:tcPr>
            <w:tcW w:type="dxa" w:w="1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6,1%</w:t>
            </w:r>
          </w:p>
        </w:tc>
        <w:tc>
          <w:tcPr>
            <w:tcW w:type="dxa" w:w="32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Thí điểm mảng mới cho Nova</w:t>
            </w:r>
          </w:p>
        </w:tc>
      </w:tr>
    </w:tbl>
    <w:p>
      <w:pPr>
        <w:spacing w:after="80" w:before="0"/>
      </w:pPr>
    </w:p>
    <w:p>
      <w:pPr>
        <w:spacing w:after="120"/>
      </w:pPr>
      <w:r>
        <w:rPr>
          <w:b/>
          <w:bCs/>
        </w:rPr>
        <w:t xml:space="preserve">Ngưỡng chia ô (quy ước của bài):</w:t>
      </w:r>
      <w:r>
        <w:t xml:space="preserve"> biên lợi nhuận gộp </w:t>
      </w:r>
      <w:r>
        <w:rPr>
          <w:b/>
          <w:bCs/>
        </w:rPr>
        <w:t xml:space="preserve">15%</w:t>
      </w:r>
      <w:r>
        <w:t xml:space="preserve">; cost-to-serve / doanh thu </w:t>
      </w:r>
      <w:r>
        <w:rPr>
          <w:b/>
          <w:bCs/>
        </w:rPr>
        <w:t xml:space="preserve">5%</w:t>
      </w:r>
      <w:r>
        <w:t xml:space="preserve">.</w:t>
      </w:r>
    </w:p>
    <w:p>
      <w:pPr>
        <w:pStyle w:val="Heading2"/>
      </w:pPr>
      <w:r>
        <w:t xml:space="preserve">Nhiệm vụ</w:t>
      </w:r>
    </w:p>
    <w:p>
      <w:pPr>
        <w:spacing w:after="120"/>
      </w:pPr>
      <w:r>
        <w:rPr>
          <w:b/>
          <w:bCs/>
        </w:rPr>
        <w:t xml:space="preserve">Bước 1 — Đặt lên ma trận (5 phút).</w:t>
      </w:r>
      <w:r>
        <w:t xml:space="preserve"> Vẽ ma trận 2×2 trên A1 (dọc: biên lợi nhuận gộp; ngang: cost-to-serve/doanh thu). Đặt 5 khách hàng; kích thước chấm theo doanh thu.</w:t>
      </w:r>
    </w:p>
    <w:p>
      <w:pPr>
        <w:spacing w:after="120"/>
      </w:pPr>
      <w:r>
        <w:rPr>
          <w:b/>
          <w:bCs/>
        </w:rPr>
        <w:t xml:space="preserve">Bước 2 — Hành động hai bên cùng lợi (8 phút).</w:t>
      </w:r>
      <w:r>
        <w:t xml:space="preserve"> Chọn </w:t>
      </w:r>
      <w:r>
        <w:rPr>
          <w:b/>
          <w:bCs/>
        </w:rPr>
        <w:t xml:space="preserve">2 khách hàng</w:t>
      </w:r>
      <w:r>
        <w:t xml:space="preserve"> ở ô bất lợi (cost-to-serve cao hoặc biên thấp). Với mỗi khách hàng, đề xuất </w:t>
      </w:r>
      <w:r>
        <w:rPr>
          <w:b/>
          <w:bCs/>
        </w:rPr>
        <w:t xml:space="preserve">1 hành động</w:t>
      </w:r>
      <w:r>
        <w:t xml:space="preserve"> Nova bàn </w:t>
      </w:r>
      <w:r>
        <w:rPr>
          <w:b/>
          <w:bCs/>
        </w:rPr>
        <w:t xml:space="preserve">cùng khách hàng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186"/>
        <w:gridCol w:w="2520"/>
        <w:gridCol w:w="1779"/>
        <w:gridCol w:w="2671"/>
      </w:tblGrid>
      <w:tr>
        <w:trPr>
          <w:tblHeader/>
        </w:trPr>
        <w:tc>
          <w:tcPr>
            <w:tcW w:type="dxa" w:w="14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hàng</w:t>
            </w:r>
          </w:p>
        </w:tc>
        <w:tc>
          <w:tcPr>
            <w:tcW w:type="dxa" w:w="118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w:t>
            </w:r>
          </w:p>
        </w:tc>
        <w:tc>
          <w:tcPr>
            <w:tcW w:type="dxa" w:w="25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Hành động đề xuất</w:t>
            </w:r>
          </w:p>
        </w:tc>
        <w:tc>
          <w:tcPr>
            <w:tcW w:type="dxa" w:w="177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được gì</w:t>
            </w:r>
          </w:p>
        </w:tc>
        <w:tc>
          <w:tcPr>
            <w:tcW w:type="dxa" w:w="267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hàng được gì</w:t>
            </w:r>
          </w:p>
        </w:tc>
      </w:tr>
    </w:tbl>
    <w:p>
      <w:pPr>
        <w:spacing w:after="80" w:before="0"/>
      </w:pPr>
    </w:p>
    <w:p>
      <w:pPr>
        <w:spacing w:after="120"/>
      </w:pPr>
      <w:r>
        <w:rPr>
          <w:b/>
          <w:bCs/>
        </w:rPr>
        <w:t xml:space="preserve">Bước 3 — Xoay vòng các trạm (8 phút).</w:t>
      </w:r>
      <w:r>
        <w:t xml:space="preserve"> Một người ở lại trình bày. Cả nhóm sang bàn bên cạnh (2 vòng × 4 phút):</w:t>
      </w:r>
    </w:p>
    <w:p>
      <w:pPr>
        <w:pStyle w:val="ListParagraph"/>
        <w:numPr>
          <w:ilvl w:val="0"/>
          <w:numId w:val="2"/>
        </w:numPr>
        <w:spacing w:after="60"/>
      </w:pPr>
      <w:r>
        <w:rPr>
          <w:b/>
          <w:bCs/>
        </w:rPr>
        <w:t xml:space="preserve">Vòng 1 — vai anh Đức (CEO Nova):</w:t>
      </w:r>
      <w:r>
        <w:t xml:space="preserve"> 🟨 1 câu hỏi về lợi nhuận của Nova.</w:t>
      </w:r>
    </w:p>
    <w:p>
      <w:pPr>
        <w:pStyle w:val="ListParagraph"/>
        <w:numPr>
          <w:ilvl w:val="0"/>
          <w:numId w:val="2"/>
        </w:numPr>
        <w:spacing w:after="60"/>
      </w:pPr>
      <w:r>
        <w:rPr>
          <w:b/>
          <w:bCs/>
        </w:rPr>
        <w:t xml:space="preserve">Vòng 2 — vai anh Khoa (ngân sách – mua sắm An Phát, đại diện phía khách hàng):</w:t>
      </w:r>
      <w:r>
        <w:t xml:space="preserve"> 🟥 1 lo ngại “đề xuất này có công bằng với khách hàng không?”</w:t>
      </w:r>
    </w:p>
    <w:p>
      <w:pPr>
        <w:spacing w:after="120"/>
      </w:pPr>
      <w:r>
        <w:rPr>
          <w:b/>
          <w:bCs/>
        </w:rPr>
        <w:t xml:space="preserve">Bước 4 — Sửa (6 phút).</w:t>
      </w:r>
      <w:r>
        <w:t xml:space="preserve"> Về bàn, sửa </w:t>
      </w:r>
      <w:r>
        <w:rPr>
          <w:b/>
          <w:bCs/>
        </w:rPr>
        <w:t xml:space="preserve">một</w:t>
      </w:r>
      <w:r>
        <w:t xml:space="preserve"> hành động; GV chốt.</w:t>
      </w:r>
    </w:p>
    <w:p>
      <w:pPr>
        <w:pStyle w:val="Heading2"/>
      </w:pPr>
      <w:r>
        <w:t xml:space="preserve">Tổ chức</w:t>
      </w:r>
    </w:p>
    <w:p>
      <w:pPr>
        <w:pStyle w:val="ListParagraph"/>
        <w:numPr>
          <w:ilvl w:val="0"/>
          <w:numId w:val="2"/>
        </w:numPr>
        <w:spacing w:after="60"/>
      </w:pPr>
      <w:r>
        <w:rPr>
          <w:b/>
          <w:bCs/>
        </w:rPr>
        <w:t xml:space="preserve">Nhóm:</w:t>
      </w:r>
      <w:r>
        <w:t xml:space="preserve"> 6 nhóm · </w:t>
      </w:r>
      <w:r>
        <w:rPr>
          <w:b/>
          <w:bCs/>
        </w:rPr>
        <w:t xml:space="preserve">Thời gian:</w:t>
      </w:r>
      <w:r>
        <w:t xml:space="preserve"> 30 phút (3 · 5 · 8 · 8 · 6) · </w:t>
      </w:r>
      <w:r>
        <w:rPr>
          <w:b/>
          <w:bCs/>
        </w:rPr>
        <w:t xml:space="preserve">Cần có:</w:t>
      </w:r>
      <w:r>
        <w:t xml:space="preserve"> A1, bút lông, note vàng/hồng.</w:t>
      </w:r>
    </w:p>
    <w:p>
      <w:pPr>
        <w:pStyle w:val="Heading2"/>
      </w:pPr>
      <w:r>
        <w:t xml:space="preserve">Nộp gì</w:t>
      </w:r>
    </w:p>
    <w:p>
      <w:pPr>
        <w:spacing w:after="120"/>
      </w:pPr>
      <w:r>
        <w:t xml:space="preserve">Không nộp, không tính điểm. Chụp ảnh — mẫu cho phần B của SMP.</w:t>
      </w:r>
    </w:p>
    <w:p>
      <w:pPr>
        <w:pStyle w:val="Heading1"/>
      </w:pPr>
      <w:r>
        <w:t xml:space="preserve">Phần dành cho giảng viên — Thực hành 2</w:t>
      </w:r>
    </w:p>
    <w:p>
      <w:pPr>
        <w:spacing w:after="120"/>
      </w:pPr>
      <w:r>
        <w:rPr>
          <w:b/>
          <w:bCs/>
        </w:rPr>
        <w:t xml:space="preserve">Kỹ thuật:</w:t>
      </w:r>
      <w:r>
        <w:t xml:space="preserve"> Ma trận danh mục + xoay trạm với hai vai đối lập (agency – khách hàng). </w:t>
      </w:r>
      <w:r>
        <w:rPr>
          <w:b/>
          <w:bCs/>
        </w:rPr>
        <w:t xml:space="preserve">CLO:</w:t>
      </w:r>
      <w:r>
        <w:t xml:space="preserve"> CLO4, CLO5 · </w:t>
      </w:r>
      <w:r>
        <w:rPr>
          <w:b/>
          <w:bCs/>
        </w:rPr>
        <w:t xml:space="preserve">Bloom:</w:t>
      </w:r>
      <w:r>
        <w:t xml:space="preserve"> Phân tích → Đánh giá → Sáng tạo</w:t>
      </w:r>
    </w:p>
    <w:p>
      <w:pPr>
        <w:pStyle w:val="Heading2"/>
      </w:pPr>
      <w:r>
        <w:t xml:space="preserve">Mốc thời gian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8353"/>
      </w:tblGrid>
      <w:tr>
        <w:trPr>
          <w:tblHeader/>
        </w:trPr>
        <w:tc>
          <w:tcPr>
            <w:tcW w:type="dxa" w:w="128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35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w:t>
            </w:r>
          </w:p>
        </w:tc>
      </w:tr>
      <w:tr>
        <w:trPr>
          <w:tblHeader w:val="off"/>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w:t>
            </w:r>
          </w:p>
        </w:tc>
        <w:tc>
          <w:tcPr>
            <w:tcW w:type="dxa" w:w="8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chỉ slide 16 (bốn ô)</w:t>
            </w:r>
          </w:p>
        </w:tc>
      </w:tr>
      <w:tr>
        <w:trPr>
          <w:tblHeader w:val="off"/>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96–101</w:t>
            </w:r>
          </w:p>
        </w:tc>
        <w:tc>
          <w:tcPr>
            <w:tcW w:type="dxa" w:w="8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1</w:t>
            </w:r>
          </w:p>
        </w:tc>
      </w:tr>
      <w:tr>
        <w:trPr>
          <w:tblHeader w:val="off"/>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101–109</w:t>
            </w:r>
          </w:p>
        </w:tc>
        <w:tc>
          <w:tcPr>
            <w:tcW w:type="dxa" w:w="8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Bước 2; GV hỏi: “Khách hàng được gì từ đề xuất này?”</w:t>
            </w:r>
          </w:p>
        </w:tc>
      </w:tr>
      <w:tr>
        <w:trPr>
          <w:tblHeader w:val="off"/>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109–117</w:t>
            </w:r>
          </w:p>
        </w:tc>
        <w:tc>
          <w:tcPr>
            <w:tcW w:type="dxa" w:w="8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1 anh Đức, vòng 2 anh Khoa)</w:t>
            </w:r>
          </w:p>
        </w:tc>
      </w:tr>
      <w:tr>
        <w:trPr>
          <w:tblHeader w:val="off"/>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117–123</w:t>
            </w:r>
          </w:p>
        </w:tc>
        <w:tc>
          <w:tcPr>
            <w:tcW w:type="dxa" w:w="83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 chốt</w:t>
            </w:r>
          </w:p>
        </w:tc>
      </w:tr>
    </w:tbl>
    <w:p>
      <w:pPr>
        <w:spacing w:after="80" w:before="0"/>
      </w:pPr>
    </w:p>
    <w:p>
      <w:pPr>
        <w:pStyle w:val="Heading2"/>
      </w:pPr>
      <w:r>
        <w:t xml:space="preserve">Đáp án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3"/>
        <w:gridCol w:w="1927"/>
        <w:gridCol w:w="1009"/>
        <w:gridCol w:w="5509"/>
      </w:tblGrid>
      <w:tr>
        <w:trPr>
          <w:tblHeader/>
        </w:trPr>
        <w:tc>
          <w:tcPr>
            <w:tcW w:type="dxa" w:w="11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hàng</w:t>
            </w:r>
          </w:p>
        </w:tc>
        <w:tc>
          <w:tcPr>
            <w:tcW w:type="dxa" w:w="19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Biên</w:t>
            </w:r>
          </w:p>
        </w:tc>
        <w:tc>
          <w:tcPr>
            <w:tcW w:type="dxa" w:w="10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CTS/DT</w:t>
            </w:r>
          </w:p>
        </w:tc>
        <w:tc>
          <w:tcPr>
            <w:tcW w:type="dxa" w:w="550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Ô (tên theo nguồn thứ cấp </w:t>
            </w:r>
            <w:r>
              <w:rPr>
                <w:rFonts w:ascii="Courier New" w:cs="Courier New" w:eastAsia="Courier New" w:hAnsi="Courier New"/>
                <w:b/>
                <w:bCs/>
                <w:color w:val="172849"/>
                <w:sz w:val="20"/>
                <w:szCs w:val="20"/>
              </w:rPr>
              <w:t xml:space="preserve">[VERIFY]</w:t>
            </w:r>
            <w:r>
              <w:rPr>
                <w:b/>
                <w:bCs/>
                <w:color w:val="172849"/>
                <w:sz w:val="20"/>
                <w:szCs w:val="20"/>
              </w:rPr>
              <w:t xml:space="preserve">)</w:t>
            </w:r>
          </w:p>
        </w:tc>
      </w:tr>
      <w:tr>
        <w:trPr>
          <w:tblHeader w:val="off"/>
        </w:trPr>
        <w:tc>
          <w:tcPr>
            <w:tcW w:type="dxa" w:w="1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 Phát</w:t>
            </w:r>
          </w:p>
        </w:tc>
        <w:tc>
          <w:tcPr>
            <w:tcW w:type="dxa" w:w="19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 (cao)</w:t>
            </w:r>
          </w:p>
        </w:tc>
        <w:tc>
          <w:tcPr>
            <w:tcW w:type="dxa" w:w="10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 (thấp)</w:t>
            </w:r>
          </w:p>
        </w:tc>
        <w:tc>
          <w:tcPr>
            <w:tcW w:type="dxa" w:w="5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Passive — giữ, đầu tư quan hệ</w:t>
            </w:r>
          </w:p>
        </w:tc>
      </w:tr>
      <w:tr>
        <w:trPr>
          <w:tblHeader w:val="off"/>
        </w:trPr>
        <w:tc>
          <w:tcPr>
            <w:tcW w:type="dxa" w:w="1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Bright Future</w:t>
            </w:r>
          </w:p>
        </w:tc>
        <w:tc>
          <w:tcPr>
            <w:tcW w:type="dxa" w:w="19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 (cao)</w:t>
            </w:r>
          </w:p>
        </w:tc>
        <w:tc>
          <w:tcPr>
            <w:tcW w:type="dxa" w:w="10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3,3% (thấp)</w:t>
            </w:r>
          </w:p>
        </w:tc>
        <w:tc>
          <w:tcPr>
            <w:tcW w:type="dxa" w:w="5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Passive — nhỏ, phục vụ chuẩn hóa</w:t>
            </w:r>
          </w:p>
        </w:tc>
      </w:tr>
      <w:tr>
        <w:trPr>
          <w:tblHeader w:val="off"/>
        </w:trPr>
        <w:tc>
          <w:tcPr>
            <w:tcW w:type="dxa" w:w="1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MediPharm</w:t>
            </w:r>
          </w:p>
        </w:tc>
        <w:tc>
          <w:tcPr>
            <w:tcW w:type="dxa" w:w="19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28% (cao)</w:t>
            </w:r>
          </w:p>
        </w:tc>
        <w:tc>
          <w:tcPr>
            <w:tcW w:type="dxa" w:w="10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 (cao)</w:t>
            </w:r>
          </w:p>
        </w:tc>
        <w:tc>
          <w:tcPr>
            <w:tcW w:type="dxa" w:w="5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Carriage trade — kiểm soát chi phí duyệt</w:t>
            </w:r>
          </w:p>
        </w:tc>
      </w:tr>
      <w:tr>
        <w:trPr>
          <w:tblHeader w:val="off"/>
        </w:trPr>
        <w:tc>
          <w:tcPr>
            <w:tcW w:type="dxa" w:w="1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Bếp Việt</w:t>
            </w:r>
          </w:p>
        </w:tc>
        <w:tc>
          <w:tcPr>
            <w:tcW w:type="dxa" w:w="19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 (cao, sát ngưỡng)</w:t>
            </w:r>
          </w:p>
        </w:tc>
        <w:tc>
          <w:tcPr>
            <w:tcW w:type="dxa" w:w="10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6,1% (cao)</w:t>
            </w:r>
          </w:p>
        </w:tc>
        <w:tc>
          <w:tcPr>
            <w:tcW w:type="dxa" w:w="5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Carriage trade — chi phí học mảng mới là </w:t>
            </w:r>
            <w:r>
              <w:rPr>
                <w:sz w:val="20"/>
                <w:szCs w:val="20"/>
              </w:rPr>
              <w:t xml:space="preserve">đầu tư</w:t>
            </w:r>
            <w:r>
              <w:rPr>
                <w:sz w:val="20"/>
                <w:szCs w:val="20"/>
              </w:rPr>
              <w:t xml:space="preserve"> có thời hạn</w:t>
            </w:r>
          </w:p>
        </w:tc>
      </w:tr>
      <w:tr>
        <w:trPr>
          <w:tblHeader w:val="off"/>
        </w:trPr>
        <w:tc>
          <w:tcPr>
            <w:tcW w:type="dxa" w:w="1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Sông Xanh</w:t>
            </w:r>
          </w:p>
        </w:tc>
        <w:tc>
          <w:tcPr>
            <w:tcW w:type="dxa" w:w="19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 (thấp)</w:t>
            </w:r>
          </w:p>
        </w:tc>
        <w:tc>
          <w:tcPr>
            <w:tcW w:type="dxa" w:w="10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7,1% (cao)</w:t>
            </w:r>
          </w:p>
        </w:tc>
        <w:tc>
          <w:tcPr>
            <w:tcW w:type="dxa" w:w="5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Aggressive — nguy cơ lỗ</w:t>
            </w:r>
          </w:p>
        </w:tc>
      </w:tr>
    </w:tbl>
    <w:p>
      <w:pPr>
        <w:spacing w:after="80" w:before="0"/>
      </w:pPr>
    </w:p>
    <w:p>
      <w:pPr>
        <w:spacing w:after="120"/>
      </w:pPr>
      <w:r>
        <w:rPr>
          <w:b/>
          <w:bCs/>
        </w:rPr>
        <w:t xml:space="preserve">Hành động hai bên cùng lợi (mẫu):</w:t>
      </w:r>
    </w:p>
    <w:p>
      <w:pPr>
        <w:pStyle w:val="ListParagraph"/>
        <w:numPr>
          <w:ilvl w:val="0"/>
          <w:numId w:val="2"/>
        </w:numPr>
        <w:spacing w:after="60"/>
      </w:pPr>
      <w:r>
        <w:rPr>
          <w:b/>
          <w:bCs/>
        </w:rPr>
        <w:t xml:space="preserve">Sông Xanh:</w:t>
      </w:r>
      <w:r>
        <w:t xml:space="preserve"> đổi điều khoản thanh toán theo tiến độ (cọc 30% – 40% – 30%) đổi lấy </w:t>
      </w:r>
      <w:r>
        <w:rPr>
          <w:b/>
          <w:bCs/>
        </w:rPr>
        <w:t xml:space="preserve">ưu tiên nhân sự và giá ổn định</w:t>
      </w:r>
      <w:r>
        <w:t xml:space="preserve"> cho gói 3 sự kiện; Sông Xanh được giá dự đoán được, Nova giảm chi phí vốn.</w:t>
      </w:r>
    </w:p>
    <w:p>
      <w:pPr>
        <w:pStyle w:val="ListParagraph"/>
        <w:numPr>
          <w:ilvl w:val="0"/>
          <w:numId w:val="2"/>
        </w:numPr>
        <w:spacing w:after="60"/>
      </w:pPr>
      <w:r>
        <w:rPr>
          <w:b/>
          <w:bCs/>
        </w:rPr>
        <w:t xml:space="preserve">MediPharm:</w:t>
      </w:r>
      <w:r>
        <w:t xml:space="preserve"> thống nhất </w:t>
      </w:r>
      <w:r>
        <w:rPr>
          <w:b/>
          <w:bCs/>
        </w:rPr>
        <w:t xml:space="preserve">một lịch duyệt pháp chế</w:t>
      </w:r>
      <w:r>
        <w:t xml:space="preserve"> và mẫu nội dung chuẩn; MediPharm tuân thủ nhanh hơn, Nova giảm vòng sửa.</w:t>
      </w:r>
    </w:p>
    <w:p>
      <w:pPr>
        <w:spacing w:after="120"/>
      </w:pPr>
      <w:r>
        <w:rPr>
          <w:b/>
          <w:bCs/>
        </w:rPr>
        <w:t xml:space="preserve">3 ý GV chốt:</w:t>
      </w:r>
    </w:p>
    <w:p>
      <w:pPr>
        <w:pStyle w:val="ListParagraph"/>
        <w:numPr>
          <w:ilvl w:val="0"/>
          <w:numId w:val="8"/>
        </w:numPr>
        <w:spacing w:after="60"/>
      </w:pPr>
      <w:r>
        <w:t xml:space="preserve">Ma trận cho thấy </w:t>
      </w:r>
      <w:r>
        <w:rPr>
          <w:b/>
          <w:bCs/>
        </w:rPr>
        <w:t xml:space="preserve">vì sao</w:t>
      </w:r>
      <w:r>
        <w:t xml:space="preserve"> một khách hàng lời hay lỗ — không chỉ </w:t>
      </w:r>
      <w:r>
        <w:rPr>
          <w:b/>
          <w:bCs/>
        </w:rPr>
        <w:t xml:space="preserve">ai</w:t>
      </w:r>
      <w:r>
        <w:t xml:space="preserve">.</w:t>
      </w:r>
    </w:p>
    <w:p>
      <w:pPr>
        <w:pStyle w:val="ListParagraph"/>
        <w:numPr>
          <w:ilvl w:val="0"/>
          <w:numId w:val="8"/>
        </w:numPr>
        <w:spacing w:after="60"/>
      </w:pPr>
      <w:r>
        <w:t xml:space="preserve">Hành động tốt giảm chi phí phục vụ </w:t>
      </w:r>
      <w:r>
        <w:rPr>
          <w:b/>
          <w:bCs/>
        </w:rPr>
        <w:t xml:space="preserve">cùng khách hàng</w:t>
      </w:r>
      <w:r>
        <w:t xml:space="preserve">, không chỉ tăng giá.</w:t>
      </w:r>
    </w:p>
    <w:p>
      <w:pPr>
        <w:pStyle w:val="ListParagraph"/>
        <w:numPr>
          <w:ilvl w:val="0"/>
          <w:numId w:val="8"/>
        </w:numPr>
        <w:spacing w:after="60"/>
      </w:pPr>
      <w:r>
        <w:t xml:space="preserve">Quan hệ </w:t>
      </w:r>
      <w:r>
        <w:rPr>
          <w:b/>
          <w:bCs/>
        </w:rPr>
        <w:t xml:space="preserve">công bằng hai chiều</w:t>
      </w:r>
      <w:r>
        <w:t xml:space="preserve"> là quan hệ cả hai muốn giữ — nối Buổi 7 (đàm phán dựa trên giá trị).</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6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6: Năng lực tài chính trong KAM</dc:title>
  <dc:creator>EVM1110E</dc:creator>
  <cp:lastModifiedBy>Un-named</cp:lastModifiedBy>
  <cp:revision>1</cp:revision>
  <dcterms:created xsi:type="dcterms:W3CDTF">2026-10-29T01:47:00.758Z</dcterms:created>
  <dcterms:modified xsi:type="dcterms:W3CDTF">2026-10-29T01:47:00.758Z</dcterms:modified>
</cp:coreProperties>
</file>

<file path=docProps/custom.xml><?xml version="1.0" encoding="utf-8"?>
<Properties xmlns="http://schemas.openxmlformats.org/officeDocument/2006/custom-properties" xmlns:vt="http://schemas.openxmlformats.org/officeDocument/2006/docPropsVTypes"/>
</file>