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9: Kết nối nguồn lực: nhà đầu tư và nhà tài trợ</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W09_slides.pptx (bản chính) và W09_slides_Roboto.pptx (bản font Roboto, dùng khi máy chiếu không có font Alexandria).</w:t>
      </w:r>
    </w:p>
    <w:p>
      <w:pPr>
        <w:pStyle w:val="Title"/>
      </w:pPr>
      <w:r>
        <w:t xml:space="preserve">Giáo án (kế hoạch buổi học)</w:t>
      </w:r>
    </w:p>
    <w:p>
      <w:pPr>
        <w:pStyle w:val="Heading1"/>
      </w:pPr>
      <w:r>
        <w:t xml:space="preserve">Giáo án — Buổi 9: Resource Matching: Investors &amp; Sponsors</w:t>
      </w:r>
    </w:p>
    <w:p>
      <w:pPr>
        <w:spacing w:after="120"/>
      </w:pPr>
      <w:r>
        <w:rPr>
          <w:b/>
          <w:bCs/>
        </w:rPr>
        <w:t xml:space="preserve">Học phần:</w:t>
      </w:r>
      <w:r>
        <w:t xml:space="preserve"> EVM1110E Quản trị mối quan hệ trong tổ chức sự kiện · </w:t>
      </w:r>
      <w:r>
        <w:rPr>
          <w:b/>
          <w:bCs/>
        </w:rPr>
        <w:t xml:space="preserve">Buổi:</w:t>
      </w:r>
      <w:r>
        <w:t xml:space="preserve"> 9/15 (Phần 3 — Điều phối các bên liên quan phục vụ hành trình khách hàng, buổi 1/4)</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buoi-09_tu-lieu-tong-hop.md</w:t>
      </w:r>
      <w:r>
        <w:t xml:space="preserve"> (tư liệu U01–U15; quyết định GV 1–5 ngày 27/9/2026).</w:t>
      </w:r>
    </w:p>
    <w:p>
      <w:pPr>
        <w:spacing w:after="120"/>
      </w:pPr>
      <w:r>
        <w:rPr>
          <w:b/>
          <w:bCs/>
        </w:rPr>
        <w:t xml:space="preserve">Trạng thái:</w:t>
      </w:r>
      <w:r>
        <w:t xml:space="preserve"> BẢN SOẠN (27/9/2026). </w:t>
      </w:r>
      <w:r>
        <w:rPr>
          <w:b/>
          <w:bCs/>
        </w:rPr>
        <w:t xml:space="preserve">Chờ GV xác nhận.</w:t>
      </w:r>
    </w:p>
    <w:p>
      <w:pPr>
        <w:spacing w:after="120"/>
      </w:pPr>
      <w:r>
        <w:rPr>
          <w:b/>
          <w:bCs/>
        </w:rPr>
        <w:t xml:space="preserve">Góc nhìn (quyết định GV):</w:t>
      </w:r>
      <w:r>
        <w:t xml:space="preserve"> SV là </w:t>
      </w:r>
      <w:r>
        <w:rPr>
          <w:b/>
          <w:bCs/>
        </w:rPr>
        <w:t xml:space="preserve">agency</w:t>
      </w:r>
      <w:r>
        <w:t xml:space="preserve"> (Nova Events) làm sự kiện </w:t>
      </w:r>
      <w:r>
        <w:rPr>
          <w:b/>
          <w:bCs/>
        </w:rPr>
        <w:t xml:space="preserve">cho Key Account</w:t>
      </w:r>
      <w:r>
        <w:t xml:space="preserve"> (Ngân hàng An Phát). Nhà tài trợ là </w:t>
      </w:r>
      <w:r>
        <w:rPr>
          <w:b/>
          <w:bCs/>
        </w:rPr>
        <w:t xml:space="preserve">đối tác của Key Account</w:t>
      </w:r>
      <w:r>
        <w:t xml:space="preserve">; Nova thiết kế quyền lợi, kích hoạt và đo lường </w:t>
      </w:r>
      <w:r>
        <w:rPr>
          <w:b/>
          <w:bCs/>
        </w:rPr>
        <w:t xml:space="preserve">thay mặt An Phát</w:t>
      </w:r>
      <w:r>
        <w:t xml:space="preserve"> để làm giàu trải nghiệm của </w:t>
      </w:r>
      <w:r>
        <w:rPr>
          <w:b/>
          <w:bCs/>
        </w:rPr>
        <w:t xml:space="preserve">khách hàng của An Phát</w:t>
      </w:r>
      <w:r>
        <w:t xml:space="preserve">. Case concert (Techcombank, VIB, VPBank, Yeah1) là lớp tham chiếu.</w:t>
      </w:r>
    </w:p>
    <w:p>
      <w:pPr>
        <w:spacing w:after="120"/>
      </w:pPr>
      <w:r>
        <w:rPr>
          <w:b/>
          <w:bCs/>
        </w:rPr>
        <w:t xml:space="preserve">Định nghĩa làm việc:</w:t>
      </w:r>
      <w:r>
        <w:t xml:space="preserve"> nhà đầu tư = góp vốn, chia sẻ rủi ro – lợi nhuận; nhà tài trợ = mua quyền lợi.</w:t>
      </w:r>
    </w:p>
    <w:p>
      <w:pPr>
        <w:pStyle w:val="Heading2"/>
      </w:pPr>
      <w:r>
        <w:t xml:space="preserve">Chuẩn đầu ra phục vụ</w:t>
      </w:r>
    </w:p>
    <w:p>
      <w:pPr>
        <w:pStyle w:val="ListParagraph"/>
        <w:numPr>
          <w:ilvl w:val="0"/>
          <w:numId w:val="2"/>
        </w:numPr>
        <w:spacing w:after="60"/>
      </w:pPr>
      <w:r>
        <w:rPr>
          <w:b/>
          <w:bCs/>
        </w:rPr>
        <w:t xml:space="preserve">CLO2</w:t>
      </w:r>
      <w:r>
        <w:t xml:space="preserve"> — Vận dụng kiến thức Quản trị sự kiện để phân tích các mối quan hệ đối tác và mối quan hệ khác trong sự kiện </w:t>
      </w:r>
      <w:r>
        <w:rPr>
          <w:i/>
          <w:iCs/>
        </w:rPr>
        <w:t xml:space="preserve">(S2, S3)</w:t>
      </w:r>
    </w:p>
    <w:p>
      <w:pPr>
        <w:pStyle w:val="ListParagraph"/>
        <w:numPr>
          <w:ilvl w:val="0"/>
          <w:numId w:val="2"/>
        </w:numPr>
        <w:spacing w:after="60"/>
      </w:pPr>
      <w:r>
        <w:rPr>
          <w:b/>
          <w:bCs/>
        </w:rPr>
        <w:t xml:space="preserve">CLO5</w:t>
      </w:r>
      <w:r>
        <w:t xml:space="preserve"> — Điều phối, phân tích, xử lý tình huống, tư duy sáng tạo trong các mối quan hệ đối tác </w:t>
      </w:r>
      <w:r>
        <w:rPr>
          <w:i/>
          <w:iCs/>
        </w:rPr>
        <w:t xml:space="preserve">(S3, S6)</w:t>
      </w:r>
    </w:p>
    <w:p>
      <w:pPr>
        <w:pStyle w:val="ListParagraph"/>
        <w:numPr>
          <w:ilvl w:val="0"/>
          <w:numId w:val="2"/>
        </w:numPr>
        <w:spacing w:after="60"/>
      </w:pPr>
      <w:r>
        <w:rPr>
          <w:b/>
          <w:bCs/>
        </w:rPr>
        <w:t xml:space="preserve">CLO6</w:t>
      </w:r>
      <w:r>
        <w:t xml:space="preserve"> — Phối hợp làm việc cùng các mối quan hệ </w:t>
      </w:r>
      <w:r>
        <w:rPr>
          <w:i/>
          <w:iCs/>
        </w:rPr>
        <w:t xml:space="preserve">(S6: thiết kế điểm chạm cho nhiều bên)</w:t>
      </w:r>
    </w:p>
    <w:p>
      <w:pPr>
        <w:pStyle w:val="ListParagraph"/>
        <w:numPr>
          <w:ilvl w:val="0"/>
          <w:numId w:val="2"/>
        </w:numPr>
        <w:spacing w:after="60"/>
      </w:pPr>
      <w:r>
        <w:rPr>
          <w:i/>
          <w:iCs/>
        </w:rPr>
        <w:t xml:space="preserve">Phụ:</w:t>
      </w:r>
      <w:r>
        <w:t xml:space="preserve"> CLO1 (quan hệ với Key Account xuyên suốt),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Phân biệt</w:t>
      </w:r>
      <w:r>
        <w:t xml:space="preserve"> nhà tài trợ và nhà đầu tư; </w:t>
      </w:r>
      <w:r>
        <w:rPr>
          <w:b/>
          <w:bCs/>
        </w:rPr>
        <w:t xml:space="preserve">nêu</w:t>
      </w:r>
      <w:r>
        <w:t xml:space="preserve"> lợi ích hữu hình và vô hình cho nhà tài trợ, Key Account, khách của Key Account và agency.</w:t>
      </w:r>
    </w:p>
    <w:p>
      <w:pPr>
        <w:pStyle w:val="ListParagraph"/>
        <w:numPr>
          <w:ilvl w:val="0"/>
          <w:numId w:val="3"/>
        </w:numPr>
        <w:spacing w:after="60"/>
      </w:pPr>
      <w:r>
        <w:rPr>
          <w:b/>
          <w:bCs/>
        </w:rPr>
        <w:t xml:space="preserve">Đánh giá</w:t>
      </w:r>
      <w:r>
        <w:t xml:space="preserve"> mức phù hợp và rủi ro của một nhà tài trợ đối với Key Account và khách của Key Account.</w:t>
      </w:r>
    </w:p>
    <w:p>
      <w:pPr>
        <w:pStyle w:val="ListParagraph"/>
        <w:numPr>
          <w:ilvl w:val="0"/>
          <w:numId w:val="3"/>
        </w:numPr>
        <w:spacing w:after="60"/>
      </w:pPr>
      <w:r>
        <w:rPr>
          <w:b/>
          <w:bCs/>
        </w:rPr>
        <w:t xml:space="preserve">Thiết kế</w:t>
      </w:r>
      <w:r>
        <w:t xml:space="preserve"> khung đề xuất tài trợ win-win (mục tiêu → khán giả → quyền lợi → kích hoạt → cam kết đo lường → điều khoản → giá) và </w:t>
      </w:r>
      <w:r>
        <w:rPr>
          <w:b/>
          <w:bCs/>
        </w:rPr>
        <w:t xml:space="preserve">tính</w:t>
      </w:r>
      <w:r>
        <w:t xml:space="preserve"> ROI đơn giản kèm ROO.</w:t>
      </w:r>
    </w:p>
    <w:p>
      <w:pPr>
        <w:pStyle w:val="ListParagraph"/>
        <w:numPr>
          <w:ilvl w:val="0"/>
          <w:numId w:val="3"/>
        </w:numPr>
        <w:spacing w:after="60"/>
      </w:pPr>
      <w:r>
        <w:rPr>
          <w:b/>
          <w:bCs/>
        </w:rPr>
        <w:t xml:space="preserve">Gắn</w:t>
      </w:r>
      <w:r>
        <w:t xml:space="preserve"> nhà tài trợ vào các điểm chạm trên hành trình của khách hàng của Key Account, làm giàu trải nghiệm mà không tạo rủi ro cho Key Account.</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9 (theo </w:t>
            </w:r>
            <w:r>
              <w:rPr>
                <w:rFonts w:ascii="Courier New" w:cs="Courier New" w:eastAsia="Courier New" w:hAnsi="Courier New"/>
                <w:sz w:val="20"/>
                <w:szCs w:val="20"/>
              </w:rPr>
              <w:t xml:space="preserve">W09_slides_outline.md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W09_activity_S3_chon_nha_tai_tro.md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W09_activity_S6_ban_do_diem_cham.md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 + 6 tờ A3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note vàng và hồng cho xoay vòng trạm ở S6</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412"/>
        <w:gridCol w:w="1082"/>
        <w:gridCol w:w="3092"/>
        <w:gridCol w:w="3092"/>
        <w:gridCol w:w="1497"/>
      </w:tblGrid>
      <w:tr>
        <w:trPr>
          <w:tblHeader/>
        </w:trPr>
        <w:tc>
          <w:tcPr>
            <w:tcW w:type="dxa" w:w="4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0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49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sách gala giảm 10%; Bình An và GlobalCard muốn “có mặt”. Giơ tay: cứu cánh hay rắc rối?</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 trả lời nhanh</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9.1: tài trợ bắt đầu từ mục tiêu (U01); nhà tài trợ vs nhà đầu tư (case Techcombank – Yeah1); lợi ích hữu hình/vô hình cho 4 bên; vai trò ở Việt Nam; rủi ro chuyển giao hình ảnh (Happy Day Concert); agency đứng ở đâu; hiểu lầm</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3–11; lecture notes §1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đi vòng; 47–50 chốt 3 ý</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chấm phù hợp và rủi ro 5 ứng viên; chọn 2; lợi ích 4 bên; tài trợ hay đầu tư</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9.2: 7 phần của đề xuất win-win; activation và activation ratio (U04, U05); ROI vs ROO (U06); khung 6 cấp cho nhà tài trợ; ví dụ tính ROI (giả định); hiểu lầm</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tính nhanh cùng GV</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12–18; lecture notes §2</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83–93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9.3: làm giàu không làm phiền (U03, U07); hành trình trước – trong – sau; giới hạn pháp lý và uy tín (U13), dữ liệu khách; checklist 5 câu</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19–22; lecture notes §3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 mở đầu; 96–111 vẽ bản đồ; 111–119 xoay trạm 2 vòng (vai hội đồng An Phát); 119–123 sửa và chốt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bản đồ ≥ 5 điểm chạm, 6 cột; phản biện chéo bằng note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 note vàng/hồng</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9.1–9.2–9.3; liên hệ Stakeholder Management Plan</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10</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24</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(S2 25 + S4 25 + S5 10 + S7 3) · Thực hành 61 phút (S1 5 + S3 20 + S6 30 + S8 6)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“Với khách hàng trong dự án cũ của nhóm bạn, một nhà tài trợ phù hợp nhất là ai (loại doanh nghiệp)? Khách của khách hàng đó được gì từ nhà tài trợ này?”</w:t>
      </w:r>
    </w:p>
    <w:p>
      <w:pPr>
        <w:pStyle w:val="ListParagraph"/>
        <w:numPr>
          <w:ilvl w:val="0"/>
          <w:numId w:val="4"/>
        </w:numPr>
        <w:spacing w:after="60"/>
      </w:pPr>
      <w:r>
        <w:rPr>
          <w:i/>
          <w:iCs/>
        </w:rPr>
        <w:t xml:space="preserve">“Viết 1 chỉ số ROO và 1 chỉ số ROI bạn sẽ ghi vào hợp đồng tài trợ đó.”</w:t>
      </w:r>
    </w:p>
    <w:p>
      <w:pPr>
        <w:spacing w:after="120"/>
      </w:pPr>
      <w:r>
        <w:rPr>
          <w:b/>
          <w:bCs/>
        </w:rPr>
        <w:t xml:space="preserve">Cần xem trong câu trả lời:</w:t>
      </w:r>
      <w:r>
        <w:t xml:space="preserve"> (a) SV nói được lợi ích cho </w:t>
      </w:r>
      <w:r>
        <w:rPr>
          <w:b/>
          <w:bCs/>
        </w:rPr>
        <w:t xml:space="preserve">khách của Key Account</w:t>
      </w:r>
      <w:r>
        <w:t xml:space="preserve">, không chỉ cho nhà tài trợ; (b) phân biệt đúng ROO (mục tiêu) và ROI (tài chính); (c) chỉ số đo được thật.</w:t>
      </w:r>
    </w:p>
    <w:p>
      <w:pPr>
        <w:spacing w:after="120"/>
      </w:pPr>
      <w:r>
        <w:rPr>
          <w:b/>
          <w:bCs/>
        </w:rPr>
        <w:t xml:space="preserve">Câu nối sang Buổi 10:</w:t>
      </w:r>
      <w:r>
        <w:t xml:space="preserve"> </w:t>
      </w:r>
      <w:r>
        <w:rPr>
          <w:i/>
          <w:iCs/>
        </w:rPr>
        <w:t xml:space="preserve">“Hôm nay ta đưa đối tác của Key Account vào sự kiện. Buổi sau ta quay lại phía mua: quy trình chọn nhà cung cấp và địa điểm (RFP/RFQ, site check), và gắn họ vào các giai đoạn trên hành trình của Key Account.”</w:t>
      </w:r>
    </w:p>
    <w:p>
      <w:pPr>
        <w:pStyle w:val="Heading2"/>
      </w:pPr>
      <w:r>
        <w:t xml:space="preserve">Phương án dự phòng</w:t>
      </w:r>
    </w:p>
    <w:p>
      <w:pPr>
        <w:spacing w:after="120"/>
      </w:pPr>
      <w:r>
        <w:rPr>
          <w:b/>
          <w:bCs/>
        </w:rPr>
        <w:t xml:space="preserve">Nếu trễ giờ:</w:t>
      </w:r>
      <w:r>
        <w:t xml:space="preserve"> S2 bỏ ví dụ VIB (giữ Techcombank và Happy Day), tiết kiệm 2 phút; S6 chỉ xoay trạm 1 vòng (tiết kiệm 4 phút). </w:t>
      </w:r>
      <w:r>
        <w:rPr>
          <w:b/>
          <w:bCs/>
        </w:rPr>
        <w:t xml:space="preserve">Không cắt S8.</w:t>
      </w:r>
    </w:p>
    <w:p>
      <w:pPr>
        <w:spacing w:after="120"/>
      </w:pPr>
      <w:r>
        <w:rPr>
          <w:b/>
          <w:bCs/>
        </w:rPr>
        <w:t xml:space="preserve">Nếu dư giờ:</w:t>
      </w:r>
      <w:r>
        <w:t xml:space="preserve"> thảo luận: </w:t>
      </w:r>
      <w:r>
        <w:rPr>
          <w:i/>
          <w:iCs/>
        </w:rPr>
        <w:t xml:space="preserve">“Nếu Nova tự sở hữu một sự kiện có bán vé (không làm cho Key Account), mối quan hệ với nhà tài trợ và nhà đầu tư khác gì?”</w:t>
      </w:r>
    </w:p>
    <w:p>
      <w:pPr>
        <w:spacing w:after="120"/>
      </w:pPr>
      <w:r>
        <w:rPr>
          <w:b/>
          <w:bCs/>
        </w:rPr>
        <w:t xml:space="preserve">Nếu nhóm chọn nhà tài trợ khác mặc định ở S3:</w:t>
      </w:r>
      <w:r>
        <w:t xml:space="preserve"> cho dùng lựa chọn của nhóm ở S6, miễn là có ít nhất 1 đối tác của An Phát.</w:t>
      </w:r>
    </w:p>
    <w:p>
      <w:pPr>
        <w:pStyle w:val="Heading2"/>
      </w:pPr>
      <w:r>
        <w:t xml:space="preserve">Lưu ý phạm vi</w:t>
      </w:r>
    </w:p>
    <w:p>
      <w:pPr>
        <w:pStyle w:val="ListParagraph"/>
        <w:numPr>
          <w:ilvl w:val="0"/>
          <w:numId w:val="2"/>
        </w:numPr>
        <w:spacing w:after="60"/>
      </w:pPr>
      <w:r>
        <w:t xml:space="preserve">Không phân tích an toàn đám đông khi trưng bày, lái thử (môn Quản trị rủi ro sự kiện).</w:t>
      </w:r>
    </w:p>
    <w:p>
      <w:pPr>
        <w:pStyle w:val="ListParagraph"/>
        <w:numPr>
          <w:ilvl w:val="0"/>
          <w:numId w:val="2"/>
        </w:numPr>
        <w:spacing w:after="60"/>
      </w:pPr>
      <w:r>
        <w:t xml:space="preserve">Phần pháp lý dừng ở mức </w:t>
      </w:r>
      <w:r>
        <w:rPr>
          <w:b/>
          <w:bCs/>
        </w:rPr>
        <w:t xml:space="preserve">nhận diện rủi ro cho Key Account</w:t>
      </w:r>
      <w:r>
        <w:t xml:space="preserve">; không tư vấn pháp lý chi tiết.</w:t>
      </w:r>
    </w:p>
    <w:p>
      <w:pPr>
        <w:pStyle w:val="ListParagraph"/>
        <w:numPr>
          <w:ilvl w:val="0"/>
          <w:numId w:val="2"/>
        </w:numPr>
        <w:spacing w:after="60"/>
      </w:pPr>
      <w:r>
        <w:t xml:space="preserve">Quy trình mua (RFP/RFQ) để dành Buổi 10.</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quy định hiện hành về hoạt động giới thiệu bảo hiểm tại sự kiện do ngân hàng tổ chức cho khách hàng doanh nghiệp — hỏi pháp chế]</w:t>
      </w:r>
      <w:r>
        <w:t xml:space="preserve"> — lecture notes §3.3, slide 21.</w:t>
      </w:r>
    </w:p>
    <w:p>
      <w:pPr>
        <w:pStyle w:val="ListParagraph"/>
        <w:numPr>
          <w:ilvl w:val="0"/>
          <w:numId w:val="5"/>
        </w:numPr>
        <w:spacing w:after="60"/>
      </w:pPr>
      <w:r>
        <w:rPr>
          <w:rFonts w:ascii="Courier New" w:cs="Courier New" w:eastAsia="Courier New" w:hAnsi="Courier New"/>
        </w:rPr>
        <w:t xml:space="preserve">[VERIFY: văn bản hiện hành về bảo vệ dữ liệu cá nhân áp dụng cho việc chia sẻ danh sách khách mời với nhà tài trợ — chưa có trong tư liệu]</w:t>
      </w:r>
      <w:r>
        <w:t xml:space="preserve"> — lecture notes §3.3, slide 21.</w:t>
      </w:r>
    </w:p>
    <w:p>
      <w:pPr>
        <w:spacing w:after="120"/>
      </w:pPr>
      <w:r>
        <w:rPr>
          <w:b/>
          <w:bCs/>
        </w:rPr>
        <w:t xml:space="preserve">Số liệu chưa kiểm chứng chéo được dùng trong bài</w:t>
      </w:r>
      <w:r>
        <w:t xml:space="preserve"> (ghi chú tại chỗ): VIB tăng thẻ 44%/năm (U09); tỷ lệ kích hoạt 0,81:1, 43%, 18% (U05); 37% / 40% (U06, Bắc Mỹ 2018); 57% / 84% (U07); nhà tài trợ gánh ≥ 50% chi phí (U14); 35% tìm nguồn tài trợ (U15).</w:t>
      </w:r>
    </w:p>
    <w:p>
      <w:pPr>
        <w:spacing w:after="120"/>
      </w:pPr>
      <w:r>
        <w:rPr>
          <w:b/>
          <w:bCs/>
        </w:rPr>
        <w:t xml:space="preserve">Nội dung là quyết định/nhận định (không phải nguồn chuẩn):</w:t>
      </w:r>
      <w:r>
        <w:t xml:space="preserve"> định nghĩa nhà đầu tư – nhà tài trợ của môn; cấu trúc 7 phần của đề xuất tài trợ; ví dụ tính ROI (số giả định).</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9: Resource Matching: Investors &amp; Sponsors</w:t>
      </w:r>
    </w:p>
    <w:p>
      <w:pPr>
        <w:spacing w:after="120"/>
      </w:pPr>
      <w:r>
        <w:t xml:space="preserve">EVM1110E · Buổi 9 · Dùng cho các đoạn S1, S2, S4, S5, S7 của giáo án (</w:t>
      </w:r>
      <w:r>
        <w:rPr>
          <w:rFonts w:ascii="Courier New" w:cs="Courier New" w:eastAsia="Courier New" w:hAnsi="Courier New"/>
        </w:rPr>
        <w:t xml:space="preserve">W09_lesson_plan.md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 (quyết định GV):</w:t>
      </w:r>
      <w:r>
        <w:rPr>
          <w:color w:val="333F55"/>
          <w:sz w:val="20"/>
          <w:szCs w:val="20"/>
        </w:rPr>
        <w:t xml:space="preserve"> sinh viên là </w:t>
      </w:r>
      <w:r>
        <w:rPr>
          <w:b/>
          <w:bCs/>
          <w:color w:val="333F55"/>
          <w:sz w:val="20"/>
          <w:szCs w:val="20"/>
        </w:rPr>
        <w:t xml:space="preserve">agency</w:t>
      </w:r>
      <w:r>
        <w:rPr>
          <w:color w:val="333F55"/>
          <w:sz w:val="20"/>
          <w:szCs w:val="20"/>
        </w:rPr>
        <w:t xml:space="preserve"> (Nova Events) làm sự kiện </w:t>
      </w:r>
      <w:r>
        <w:rPr>
          <w:b/>
          <w:bCs/>
          <w:color w:val="333F55"/>
          <w:sz w:val="20"/>
          <w:szCs w:val="20"/>
        </w:rPr>
        <w:t xml:space="preserve">cho Key Account</w:t>
      </w:r>
      <w:r>
        <w:rPr>
          <w:color w:val="333F55"/>
          <w:sz w:val="20"/>
          <w:szCs w:val="20"/>
        </w:rPr>
        <w:t xml:space="preserve"> (Ngân hàng An Phát). Nhà tài trợ là </w:t>
      </w:r>
      <w:r>
        <w:rPr>
          <w:b/>
          <w:bCs/>
          <w:color w:val="333F55"/>
          <w:sz w:val="20"/>
          <w:szCs w:val="20"/>
        </w:rPr>
        <w:t xml:space="preserve">đối tác của Key Account</w:t>
      </w:r>
      <w:r>
        <w:rPr>
          <w:color w:val="333F55"/>
          <w:sz w:val="20"/>
          <w:szCs w:val="20"/>
        </w:rPr>
        <w:t xml:space="preserve">. Nova thiết kế quyền lợi, kích hoạt và đo lường </w:t>
      </w:r>
      <w:r>
        <w:rPr>
          <w:b/>
          <w:bCs/>
          <w:color w:val="333F55"/>
          <w:sz w:val="20"/>
          <w:szCs w:val="20"/>
        </w:rPr>
        <w:t xml:space="preserve">thay mặt An Phát</w:t>
      </w:r>
      <w:r>
        <w:rPr>
          <w:color w:val="333F55"/>
          <w:sz w:val="20"/>
          <w:szCs w:val="20"/>
        </w:rPr>
        <w:t xml:space="preserve">, sao cho làm giàu trải nghiệm của </w:t>
      </w:r>
      <w:r>
        <w:rPr>
          <w:b/>
          <w:bCs/>
          <w:color w:val="333F55"/>
          <w:sz w:val="20"/>
          <w:szCs w:val="20"/>
        </w:rPr>
        <w:t xml:space="preserve">khách hàng của An Phát</w:t>
      </w:r>
      <w:r>
        <w:rPr>
          <w:color w:val="333F55"/>
          <w:sz w:val="20"/>
          <w:szCs w:val="20"/>
        </w:rPr>
        <w:t xml:space="preserve"> (Customer's customer). Các case concert chỉ là lớp tham chiếu.</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Định nghĩa làm việc của môn:</w:t>
      </w:r>
      <w:r>
        <w:rPr>
          <w:color w:val="333F55"/>
          <w:sz w:val="20"/>
          <w:szCs w:val="20"/>
        </w:rPr>
        <w:t xml:space="preserve"> </w:t>
      </w:r>
      <w:r>
        <w:rPr>
          <w:b/>
          <w:bCs/>
          <w:color w:val="333F55"/>
          <w:sz w:val="20"/>
          <w:szCs w:val="20"/>
        </w:rPr>
        <w:t xml:space="preserve">nhà đầu tư</w:t>
      </w:r>
      <w:r>
        <w:rPr>
          <w:color w:val="333F55"/>
          <w:sz w:val="20"/>
          <w:szCs w:val="20"/>
        </w:rPr>
        <w:t xml:space="preserve"> = bên góp vốn, chia sẻ rủi ro – lợi nhuận của sự kiện; </w:t>
      </w:r>
      <w:r>
        <w:rPr>
          <w:b/>
          <w:bCs/>
          <w:color w:val="333F55"/>
          <w:sz w:val="20"/>
          <w:szCs w:val="20"/>
        </w:rPr>
        <w:t xml:space="preserve">nhà tài trợ</w:t>
      </w:r>
      <w:r>
        <w:rPr>
          <w:color w:val="333F55"/>
          <w:sz w:val="20"/>
          <w:szCs w:val="20"/>
        </w:rPr>
        <w:t xml:space="preserve"> = bên mua quyền lợi.</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(sponsorship, activation, activation ratio, ROI, ROO, title sponsor, touchpoint),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U01–U15</w:t>
      </w:r>
      <w:r>
        <w:rPr>
          <w:color w:val="333F55"/>
          <w:sz w:val="20"/>
          <w:szCs w:val="20"/>
        </w:rPr>
        <w:t xml:space="preserve"> trỏ tới thẻ nguồn trong </w:t>
      </w:r>
      <w:r>
        <w:rPr>
          <w:rFonts w:ascii="Courier New" w:cs="Courier New" w:eastAsia="Courier New" w:hAnsi="Courier New"/>
          <w:color w:val="333F55"/>
          <w:sz w:val="20"/>
          <w:szCs w:val="20"/>
        </w:rPr>
        <w:t xml:space="preserve">buoi-09_tu-lieu-tong-hop.md</w:t>
      </w:r>
      <w:r>
        <w:rPr>
          <w:color w:val="333F55"/>
          <w:sz w:val="20"/>
          <w:szCs w:val="20"/>
        </w:rPr>
        <w:t xml:space="preserve">. Số liệu chưa kiểm chứng chéo được ghi rõ tại chỗ.</w:t>
      </w:r>
    </w:p>
    <w:p>
      <w:pPr>
        <w:pBdr>
          <w:left w:val="single" w:color="2E8B74" w:sz="18" w:space="8"/>
        </w:pBdr>
        <w:shd w:fill="E8F4F0" w:color="auto" w:val="clear"/>
        <w:spacing w:after="160" w:before="80"/>
        <w:ind w:left="200" w:right="100"/>
      </w:pPr>
      <w:r>
        <w:rPr>
          <w:color w:val="333F55"/>
          <w:sz w:val="20"/>
          <w:szCs w:val="20"/>
        </w:rPr>
        <w:t xml:space="preserve">- Tình huống </w:t>
      </w:r>
      <w:r>
        <w:rPr>
          <w:b/>
          <w:bCs/>
          <w:color w:val="333F55"/>
          <w:sz w:val="20"/>
          <w:szCs w:val="20"/>
        </w:rPr>
        <w:t xml:space="preserve">Nova Events – Ngân hàng An Phát</w:t>
      </w:r>
      <w:r>
        <w:rPr>
          <w:color w:val="333F55"/>
          <w:sz w:val="20"/>
          <w:szCs w:val="20"/>
        </w:rPr>
        <w:t xml:space="preserve"> và các nhà tài trợ (Bảo hiểm Bình An, Tổ chức thẻ GlobalCard…) là </w:t>
      </w:r>
      <w:r>
        <w:rPr>
          <w:b/>
          <w:bCs/>
          <w:color w:val="333F55"/>
          <w:sz w:val="20"/>
          <w:szCs w:val="20"/>
        </w:rPr>
        <w:t xml:space="preserve">giả định</w:t>
      </w:r>
      <w:r>
        <w:rPr>
          <w:color w:val="333F55"/>
          <w:sz w:val="20"/>
          <w:szCs w:val="20"/>
        </w:rPr>
        <w:t xml:space="preserve">. Tên và con số chỉ dùng cho học tập.</w:t>
      </w:r>
    </w:p>
    <w:p>
      <w:pPr>
        <w:pStyle w:val="Heading2"/>
      </w:pPr>
      <w:r>
        <w:t xml:space="preserve">S1 — Khởi động (5 phút)</w:t>
      </w:r>
    </w:p>
    <w:p>
      <w:pPr>
        <w:spacing w:after="120"/>
      </w:pPr>
      <w:r>
        <w:rPr>
          <w:i/>
          <w:iCs/>
        </w:rPr>
        <w:t xml:space="preserve">[Chiếu slide 2 và đọc: "Tháng 6. An Phát báo Nova: ngân sách gala cuối năm nay giảm khoảng 10%, nhưng anh Minh muốn chất lượng không giảm. Cùng tuần đó, hai đối tác của ngân hàng là Bảo hiểm Bình An và tổ chức thẻ GlobalCard ngỏ ý muốn 'có mặt' ở gala."]</w:t>
      </w:r>
    </w:p>
    <w:p>
      <w:pPr>
        <w:spacing w:after="120"/>
      </w:pPr>
      <w:r>
        <w:t xml:space="preserve">Hỏi nhanh, cho lớp giơ tay: </w:t>
      </w:r>
      <w:r>
        <w:rPr>
          <w:i/>
          <w:iCs/>
        </w:rPr>
        <w:t xml:space="preserve">"Với Nova, hai đối tác này là </w:t>
      </w:r>
      <w:r>
        <w:rPr>
          <w:i/>
          <w:iCs/>
        </w:rPr>
        <w:t xml:space="preserve">cứu cánh</w:t>
      </w:r>
      <w:r>
        <w:rPr>
          <w:i/>
          <w:iCs/>
        </w:rPr>
        <w:t xml:space="preserve"> hay </w:t>
      </w:r>
      <w:r>
        <w:rPr>
          <w:i/>
          <w:iCs/>
        </w:rPr>
        <w:t xml:space="preserve">rắc rối</w:t>
      </w:r>
      <w:r>
        <w:rPr>
          <w:i/>
          <w:iCs/>
        </w:rPr>
        <w:t xml:space="preserve">?"</w:t>
      </w:r>
    </w:p>
    <w:p>
      <w:pPr>
        <w:spacing w:after="120"/>
      </w:pPr>
      <w:r>
        <w:rPr>
          <w:i/>
          <w:iCs/>
        </w:rPr>
        <w:t xml:space="preserve">[Chốt: "Cả hai. Nhà tài trợ có thể bù phần ngân sách bị cắt, và nếu làm khéo còn làm sự kiện hay hơn. Nhưng nếu làm vụng, 600 khách VIP của An Phát sẽ thấy mình bị mời đến để nghe bán hàng. Hôm nay: làm sao để nhà tài trợ, An Phát và khách của An Phát </w:t>
      </w:r>
      <w:r>
        <w:rPr>
          <w:i/>
          <w:iCs/>
        </w:rPr>
        <w:t xml:space="preserve">cùng được lợi</w:t>
      </w:r>
      <w:r>
        <w:rPr>
          <w:i/>
          <w:iCs/>
        </w:rPr>
        <w:t xml:space="preserve">."]</w:t>
      </w:r>
    </w:p>
    <w:p>
      <w:pPr>
        <w:pStyle w:val="Heading2"/>
      </w:pPr>
      <w:r>
        <w:t xml:space="preserve">S2 — Lý thuyết 1 (25 phút)</w:t>
      </w:r>
    </w:p>
    <w:p>
      <w:pPr>
        <w:pStyle w:val="Heading2"/>
      </w:pPr>
      <w:r>
        <w:t xml:space="preserve">§1. 9.1 — Vai trò chiến lược, lợi ích hữu hình và vô hình của nhà tài trợ và nhà đầu tư</w:t>
      </w:r>
    </w:p>
    <w:p>
      <w:pPr>
        <w:pStyle w:val="Heading2"/>
      </w:pPr>
      <w:r>
        <w:t xml:space="preserve">1.1 Tài trợ là gì</w:t>
      </w:r>
    </w:p>
    <w:p>
      <w:pPr>
        <w:spacing w:after="120"/>
      </w:pPr>
      <w:r>
        <w:t xml:space="preserve">Tài trợ thương mại (commercial sponsorship) được nghiên cứu có hệ thống từ công trình của Meenaghan (1983, U01). Ý quan trọng nhất cho môn học:</w:t>
      </w:r>
    </w:p>
    <w:p>
      <w:pPr>
        <w:pBdr>
          <w:left w:val="single" w:color="2E8B74" w:sz="18" w:space="8"/>
        </w:pBdr>
        <w:shd w:fill="E8F4F0" w:color="auto" w:val="clear"/>
        <w:spacing w:after="160" w:before="80"/>
        <w:ind w:left="200" w:right="100"/>
      </w:pPr>
      <w:r>
        <w:rPr>
          <w:i/>
          <w:iCs/>
          <w:color w:val="333F55"/>
          <w:sz w:val="20"/>
          <w:szCs w:val="20"/>
        </w:rPr>
        <w:t xml:space="preserve">“Views objective‐setting as the cornerstone of sponsorship management…”</w:t>
      </w:r>
      <w:r>
        <w:rPr>
          <w:color w:val="333F55"/>
          <w:sz w:val="20"/>
          <w:szCs w:val="20"/>
        </w:rPr>
        <w:t xml:space="preserve"> (Meenaghan, 1983, U01)</w:t>
      </w:r>
    </w:p>
    <w:p>
      <w:pPr>
        <w:spacing w:after="120"/>
      </w:pPr>
      <w:r>
        <w:rPr>
          <w:b/>
          <w:bCs/>
        </w:rPr>
        <w:t xml:space="preserve">Đặt mục tiêu là nền tảng.</w:t>
      </w:r>
      <w:r>
        <w:t xml:space="preserve"> Một thỏa thuận tài trợ bắt đầu từ câu hỏi </w:t>
      </w:r>
      <w:r>
        <w:rPr>
          <w:i/>
          <w:iCs/>
        </w:rPr>
        <w:t xml:space="preserve">nhà tài trợ muốn đạt điều gì</w:t>
      </w:r>
      <w:r>
        <w:t xml:space="preserve">, không phải </w:t>
      </w:r>
      <w:r>
        <w:rPr>
          <w:i/>
          <w:iCs/>
        </w:rPr>
        <w:t xml:space="preserve">sự kiện có những chỗ nào để in logo</w:t>
      </w:r>
      <w:r>
        <w:t xml:space="preserve">.</w:t>
      </w:r>
    </w:p>
    <w:p>
      <w:pPr>
        <w:spacing w:after="120"/>
      </w:pPr>
      <w:r>
        <w:t xml:space="preserve">Nghiên cứu về tài trợ đi theo năm dòng: bản chất tài trợ; quản trị tài trợ; </w:t>
      </w:r>
      <w:r>
        <w:rPr>
          <w:b/>
          <w:bCs/>
        </w:rPr>
        <w:t xml:space="preserve">đo lường hiệu quả</w:t>
      </w:r>
      <w:r>
        <w:t xml:space="preserve">; sử dụng chiến lược; pháp lý – đạo đức (Cornwell &amp; Maignan, 1998, U02). Buổi 9 đi qua cả năm dòng này.</w:t>
      </w:r>
    </w:p>
    <w:p>
      <w:pPr>
        <w:pStyle w:val="Heading2"/>
      </w:pPr>
      <w:r>
        <w:t xml:space="preserve">1.2 Nhà tài trợ và nhà đầu tư (định nghĩa làm việc của môn)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8"/>
        <w:gridCol w:w="4701"/>
        <w:gridCol w:w="3919"/>
      </w:tblGrid>
      <w:tr>
        <w:trPr>
          <w:tblHeader/>
        </w:trPr>
        <w:tc>
          <w:tcPr>
            <w:tcW w:type="dxa" w:w="10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70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tài trợ</w:t>
            </w:r>
            <w:r>
              <w:rPr>
                <w:b/>
                <w:bCs/>
                <w:color w:val="172849"/>
                <w:sz w:val="20"/>
                <w:szCs w:val="20"/>
              </w:rPr>
              <w:t xml:space="preserve"> (sponsor)</w:t>
            </w:r>
          </w:p>
        </w:tc>
        <w:tc>
          <w:tcPr>
            <w:tcW w:type="dxa" w:w="39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đầu tư</w:t>
            </w:r>
            <w:r>
              <w:rPr>
                <w:b/>
                <w:bCs/>
                <w:color w:val="172849"/>
                <w:sz w:val="20"/>
                <w:szCs w:val="20"/>
              </w:rPr>
              <w:t xml:space="preserve"> (investor)</w:t>
            </w:r>
          </w:p>
        </w:tc>
      </w:tr>
      <w:tr>
        <w:trPr>
          <w:tblHeader w:val="off"/>
        </w:trPr>
        <w:tc>
          <w:tcPr>
            <w:tcW w:type="dxa" w:w="1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Đưa gì</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Tiền, hiện vật, dịch vụ</w:t>
            </w:r>
          </w:p>
        </w:tc>
        <w:tc>
          <w:tcPr>
            <w:tcW w:type="dxa" w:w="3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Vốn</w:t>
            </w:r>
            <w:r>
              <w:rPr>
                <w:sz w:val="20"/>
                <w:szCs w:val="20"/>
              </w:rPr>
              <w:t xml:space="preserve"> cho sự kiện hoặc cho đơn vị sở hữu sự kiện</w:t>
            </w:r>
          </w:p>
        </w:tc>
      </w:tr>
      <w:tr>
        <w:trPr>
          <w:tblHeader w:val="off"/>
        </w:trPr>
        <w:tc>
          <w:tcPr>
            <w:tcW w:type="dxa" w:w="1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gì</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lợi</w:t>
            </w:r>
            <w:r>
              <w:rPr>
                <w:sz w:val="20"/>
                <w:szCs w:val="20"/>
              </w:rPr>
              <w:t xml:space="preserve"> đã thỏa thuận: hiển thị, quyền kích hoạt, tiếp cận khán giả, dữ liệu</w:t>
            </w:r>
          </w:p>
        </w:tc>
        <w:tc>
          <w:tcPr>
            <w:tcW w:type="dxa" w:w="3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lợi nhuận</w:t>
            </w:r>
            <w:r>
              <w:rPr>
                <w:sz w:val="20"/>
                <w:szCs w:val="20"/>
              </w:rPr>
              <w:t xml:space="preserve"> (hoặc lỗ) của sự kiện</w:t>
            </w:r>
          </w:p>
        </w:tc>
      </w:tr>
      <w:tr>
        <w:trPr>
          <w:tblHeader w:val="off"/>
        </w:trPr>
        <w:tc>
          <w:tcPr>
            <w:tcW w:type="dxa" w:w="1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Chủ yếu là rủi ro hình ảnh và hiệu quả truyền thông</w:t>
            </w:r>
          </w:p>
        </w:tc>
        <w:tc>
          <w:tcPr>
            <w:tcW w:type="dxa" w:w="3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w:t>
            </w:r>
            <w:r>
              <w:rPr>
                <w:sz w:val="20"/>
                <w:szCs w:val="20"/>
              </w:rPr>
              <w:t xml:space="preserve">rủi ro tài chính</w:t>
            </w:r>
            <w:r>
              <w:rPr>
                <w:sz w:val="20"/>
                <w:szCs w:val="20"/>
              </w:rPr>
              <w:t xml:space="preserve">: sự kiện lỗ thì mất vốn</w:t>
            </w:r>
          </w:p>
        </w:tc>
      </w:tr>
      <w:tr>
        <w:trPr>
          <w:tblHeader w:val="off"/>
        </w:trPr>
        <w:tc>
          <w:tcPr>
            <w:tcW w:type="dxa" w:w="1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chính</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lợi này giúp tôi đạt mục tiêu marketing không?”</w:t>
            </w:r>
          </w:p>
        </w:tc>
        <w:tc>
          <w:tcPr>
            <w:tcW w:type="dxa" w:w="3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“Sự kiện này có sinh lời không?”</w:t>
            </w:r>
          </w:p>
        </w:tc>
      </w:tr>
    </w:tbl>
    <w:p>
      <w:pPr>
        <w:spacing w:after="80" w:before="0"/>
      </w:pPr>
    </w:p>
    <w:p>
      <w:pPr>
        <w:spacing w:after="120"/>
      </w:pPr>
      <w:r>
        <w:rPr>
          <w:i/>
          <w:iCs/>
        </w:rPr>
        <w:t xml:space="preserve">Định nghĩa trên là quyết định của GV cho môn học, không phải định nghĩa chuẩn từ một nguồn học thuật.</w:t>
      </w:r>
    </w:p>
    <w:p>
      <w:pPr>
        <w:spacing w:after="120"/>
      </w:pPr>
      <w:r>
        <w:rPr>
          <w:b/>
          <w:bCs/>
        </w:rPr>
        <w:t xml:space="preserve">Case tham chiếu: Techcombank và “Anh trai vượt ngàn chông gai”</w:t>
      </w:r>
      <w:r>
        <w:t xml:space="preserve"> (U08, U11)</w:t>
      </w:r>
    </w:p>
    <w:p>
      <w:pPr>
        <w:pStyle w:val="ListParagraph"/>
        <w:numPr>
          <w:ilvl w:val="0"/>
          <w:numId w:val="2"/>
        </w:numPr>
        <w:spacing w:after="60"/>
      </w:pPr>
      <w:r>
        <w:t xml:space="preserve">Techcombank là </w:t>
      </w:r>
      <w:r>
        <w:rPr>
          <w:b/>
          <w:bCs/>
        </w:rPr>
        <w:t xml:space="preserve">nhà tài trợ kim cương</w:t>
      </w:r>
      <w:r>
        <w:t xml:space="preserve"> của chương trình và các đêm concert do Yeah1 sản xuất. </w:t>
      </w:r>
      <w:r>
        <w:rPr>
          <w:b/>
          <w:bCs/>
        </w:rPr>
        <w:t xml:space="preserve">Đã KCC.</w:t>
      </w:r>
    </w:p>
    <w:p>
      <w:pPr>
        <w:pStyle w:val="ListParagraph"/>
        <w:numPr>
          <w:ilvl w:val="0"/>
          <w:numId w:val="2"/>
        </w:numPr>
        <w:spacing w:after="60"/>
      </w:pPr>
      <w:r>
        <w:t xml:space="preserve">Với các dự án năm 2025, Yeah1 cho biết Techcombank trở thành </w:t>
      </w:r>
      <w:r>
        <w:rPr>
          <w:b/>
          <w:bCs/>
        </w:rPr>
        <w:t xml:space="preserve">“nhà đồng đầu tư”</w:t>
      </w:r>
      <w:r>
        <w:t xml:space="preserve">, đầu tư vào Yeah1 theo hình thức mới, không phải đầu tư cổ phần (Znews, U08).</w:t>
      </w:r>
    </w:p>
    <w:p>
      <w:pPr>
        <w:pStyle w:val="ListParagraph"/>
        <w:numPr>
          <w:ilvl w:val="0"/>
          <w:numId w:val="2"/>
        </w:numPr>
        <w:spacing w:after="60"/>
      </w:pPr>
      <w:r>
        <w:t xml:space="preserve">Phía bên được tài trợ: năm 2024 Yeah1 có doanh thu hơn 1.000 tỷ đồng, trong đó </w:t>
      </w:r>
      <w:r>
        <w:rPr>
          <w:b/>
          <w:bCs/>
        </w:rPr>
        <w:t xml:space="preserve">845 tỷ</w:t>
      </w:r>
      <w:r>
        <w:t xml:space="preserve"> từ quảng cáo và tư vấn truyền thông; lãi sau thuế hơn 126 tỷ, tăng 378% (U11). </w:t>
      </w:r>
      <w:r>
        <w:rPr>
          <w:b/>
          <w:bCs/>
        </w:rPr>
        <w:t xml:space="preserve">Đã KCC.</w:t>
      </w:r>
    </w:p>
    <w:p>
      <w:pPr>
        <w:pBdr>
          <w:left w:val="single" w:color="2E8B74" w:sz="18" w:space="8"/>
        </w:pBdr>
        <w:shd w:fill="E8F4F0" w:color="auto" w:val="clear"/>
        <w:spacing w:after="160" w:before="80"/>
        <w:ind w:left="200" w:right="100"/>
      </w:pPr>
      <w:r>
        <w:rPr>
          <w:i/>
          <w:iCs/>
          <w:color w:val="333F55"/>
          <w:sz w:val="20"/>
          <w:szCs w:val="20"/>
        </w:rPr>
        <w:t xml:space="preserve">“…phía Yeah1 cho biết Techcombank đều sẽ đồng hành không chỉ với vai trò nhà tài trợ, mà trở thành ‘nhà đồng đầu tư’.”</w:t>
      </w:r>
      <w:r>
        <w:rPr>
          <w:color w:val="333F55"/>
          <w:sz w:val="20"/>
          <w:szCs w:val="20"/>
        </w:rPr>
        <w:t xml:space="preserve"> (Znews, U08)</w:t>
      </w:r>
    </w:p>
    <w:p>
      <w:pPr>
        <w:spacing w:after="120"/>
      </w:pPr>
      <w:r>
        <w:rPr>
          <w:i/>
          <w:iCs/>
        </w:rPr>
        <w:t xml:space="preserve">[Hỏi lớp: "Vì sao một ngân hàng muốn chuyển từ nhà tài trợ sang nhà đồng đầu tư?" Gợi ý: khi sự kiện thành công vượt kỳ vọng, nhà tài trợ chỉ nhận quyền lợi cố định, còn nhà đầu tư nhận thêm phần lợi nhuận; đổi lại phải chịu rủi ro lỗ.]</w:t>
      </w:r>
    </w:p>
    <w:p>
      <w:pPr>
        <w:pStyle w:val="Heading2"/>
      </w:pPr>
      <w:r>
        <w:t xml:space="preserve">1.3 Lợi ích hữu hình và vô hình — cho ai?</w:t>
      </w:r>
    </w:p>
    <w:p>
      <w:pPr>
        <w:spacing w:after="120"/>
      </w:pPr>
      <w:r>
        <w:t xml:space="preserve">Từ góc agency, một thỏa thuận tài trợ tốt phải có lợi cho </w:t>
      </w:r>
      <w:r>
        <w:rPr>
          <w:b/>
          <w:bCs/>
        </w:rPr>
        <w:t xml:space="preserve">bốn bên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3988"/>
        <w:gridCol w:w="3989"/>
      </w:tblGrid>
      <w:tr>
        <w:trPr>
          <w:tblHeader/>
        </w:trPr>
        <w:tc>
          <w:tcPr>
            <w:tcW w:type="dxa" w:w="16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398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hữu hình</w:t>
            </w:r>
          </w:p>
        </w:tc>
        <w:tc>
          <w:tcPr>
            <w:tcW w:type="dxa" w:w="39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vô hình</w:t>
            </w:r>
          </w:p>
        </w:tc>
      </w:tr>
      <w:tr>
        <w:trPr>
          <w:tblHeader w:val="off"/>
        </w:trPr>
        <w:tc>
          <w:tcPr>
            <w:tcW w:type="dxa" w:w="1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tiềm năng, doanh số, dữ liệu (được sự đồng ý), mở tài khoản/thẻ</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biết thương hiệu, thái độ tích cực, liên tưởng hình ảnh, quan hệ với đối tác</w:t>
            </w:r>
          </w:p>
        </w:tc>
      </w:tr>
      <w:tr>
        <w:trPr>
          <w:tblHeader w:val="off"/>
        </w:trPr>
        <w:tc>
          <w:tcPr>
            <w:tcW w:type="dxa" w:w="1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w:t>
            </w:r>
            <w:r>
              <w:rPr>
                <w:sz w:val="20"/>
                <w:szCs w:val="20"/>
              </w:rPr>
              <w:t xml:space="preserve"> (An Phát)</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Bù ngân sách, thêm nội dung/tiện ích cho khách</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 “hệ sinh thái đối tác”, quan hệ với đối tác được củng cố</w:t>
            </w:r>
          </w:p>
        </w:tc>
      </w:tr>
      <w:tr>
        <w:trPr>
          <w:tblHeader w:val="off"/>
        </w:trPr>
        <w:tc>
          <w:tcPr>
            <w:tcW w:type="dxa" w:w="1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của Key Account</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dịch vụ, tư vấn hữu ích</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Trải nghiệm tốt hơn, cảm giác được quan tâm</w:t>
            </w:r>
          </w:p>
        </w:tc>
      </w:tr>
      <w:tr>
        <w:trPr>
          <w:tblHeader w:val="off"/>
        </w:trPr>
        <w:tc>
          <w:tcPr>
            <w:tcW w:type="dxa" w:w="1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w:t>
            </w:r>
            <w:r>
              <w:rPr>
                <w:sz w:val="20"/>
                <w:szCs w:val="20"/>
              </w:rPr>
              <w:t xml:space="preserve"> (Nova)</w:t>
            </w:r>
          </w:p>
        </w:tc>
        <w:tc>
          <w:tcPr>
            <w:tcW w:type="dxa" w:w="39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sách sản xuất đủ để giữ chất lượng; có thể thu phí dịch vụ kích hoạt</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Vị thế đối tác tạo giá trị với Key Account (nối Buổi 5, CVP)</w:t>
            </w:r>
          </w:p>
        </w:tc>
      </w:tr>
    </w:tbl>
    <w:p>
      <w:pPr>
        <w:spacing w:after="80" w:before="0"/>
      </w:pPr>
    </w:p>
    <w:p>
      <w:pPr>
        <w:spacing w:after="120"/>
      </w:pPr>
      <w:r>
        <w:rPr>
          <w:b/>
          <w:bCs/>
        </w:rPr>
        <w:t xml:space="preserve">Ví dụ thật về lợi ích hữu hình của nhà tài trợ</w:t>
      </w:r>
      <w:r>
        <w:t xml:space="preserve"> (lớp tham chiếu):</w:t>
      </w:r>
    </w:p>
    <w:p>
      <w:pPr>
        <w:pStyle w:val="ListParagraph"/>
        <w:numPr>
          <w:ilvl w:val="0"/>
          <w:numId w:val="2"/>
        </w:numPr>
        <w:spacing w:after="60"/>
      </w:pPr>
      <w:r>
        <w:rPr>
          <w:b/>
          <w:bCs/>
        </w:rPr>
        <w:t xml:space="preserve">Techcombank:</w:t>
      </w:r>
      <w:r>
        <w:t xml:space="preserve"> khách “săn vé 0 đồng” qua ứng dụng, gắn với tiền gửi và tính năng sinh lời tự động. Theo VPBankS, tỷ lệ CASA của Techcombank giữ ở mức khoảng </w:t>
      </w:r>
      <w:r>
        <w:rPr>
          <w:b/>
          <w:bCs/>
        </w:rPr>
        <w:t xml:space="preserve">40%</w:t>
      </w:r>
      <w:r>
        <w:t xml:space="preserve">, số dư mảng sinh lời tự động tăng 35% so với quý trước (U08, </w:t>
      </w:r>
      <w:r>
        <w:rPr>
          <w:b/>
          <w:bCs/>
        </w:rPr>
        <w:t xml:space="preserve">đã KCC</w:t>
      </w:r>
      <w:r>
        <w:t xml:space="preserve"> qua hai báo). Lưu ý đọc đúng: </w:t>
      </w:r>
      <w:r>
        <w:rPr>
          <w:i/>
          <w:iCs/>
        </w:rPr>
        <w:t xml:space="preserve">ở mức</w:t>
      </w:r>
      <w:r>
        <w:t xml:space="preserve"> 40%, không phải </w:t>
      </w:r>
      <w:r>
        <w:rPr>
          <w:i/>
          <w:iCs/>
        </w:rPr>
        <w:t xml:space="preserve">tăng</w:t>
      </w:r>
      <w:r>
        <w:t xml:space="preserve"> 40%.</w:t>
      </w:r>
    </w:p>
    <w:p>
      <w:pPr>
        <w:pStyle w:val="ListParagraph"/>
        <w:numPr>
          <w:ilvl w:val="0"/>
          <w:numId w:val="2"/>
        </w:numPr>
        <w:spacing w:after="60"/>
      </w:pPr>
      <w:r>
        <w:rPr>
          <w:b/>
          <w:bCs/>
        </w:rPr>
        <w:t xml:space="preserve">VIB</w:t>
      </w:r>
      <w:r>
        <w:t xml:space="preserve"> (nhà tài trợ kim cương Anh trai Say Hi): theo VPBankS, số thẻ VIB tăng kép 44%/năm trong 6 năm (U09, chưa KCC). </w:t>
      </w:r>
      <w:r>
        <w:rPr>
          <w:i/>
          <w:iCs/>
        </w:rPr>
        <w:t xml:space="preserve">[Hỏi: "Có thể quy hết mức tăng 6 năm này cho một chương trình tài trợ không?" → không; nối Buổi 8: phải tách tác động.]</w:t>
      </w:r>
    </w:p>
    <w:p>
      <w:pPr>
        <w:pStyle w:val="ListParagraph"/>
        <w:numPr>
          <w:ilvl w:val="0"/>
          <w:numId w:val="2"/>
        </w:numPr>
        <w:spacing w:after="60"/>
      </w:pPr>
      <w:r>
        <w:rPr>
          <w:b/>
          <w:bCs/>
        </w:rPr>
        <w:t xml:space="preserve">VPBank</w:t>
      </w:r>
      <w:r>
        <w:t xml:space="preserve"> (nhà tài trợ danh vị, title sponsor, tour G-Dragon tại Hà Nội): chủ thẻ VPBank Mastercard được mua vé sớm một ngày (U10, nội dung tài trợ).</w:t>
      </w:r>
    </w:p>
    <w:p>
      <w:pPr>
        <w:pStyle w:val="Heading2"/>
      </w:pPr>
      <w:r>
        <w:t xml:space="preserve">1.4 Vai trò chiến lược ở Việt Nam</w:t>
      </w:r>
    </w:p>
    <w:p>
      <w:pPr>
        <w:pStyle w:val="ListParagraph"/>
        <w:numPr>
          <w:ilvl w:val="0"/>
          <w:numId w:val="2"/>
        </w:numPr>
        <w:spacing w:after="60"/>
      </w:pPr>
      <w:r>
        <w:t xml:space="preserve">Với nhiều liveshow và concert tầm trung tại Việt Nam, nhà tài trợ quyết định sự kiện </w:t>
      </w:r>
      <w:r>
        <w:rPr>
          <w:b/>
          <w:bCs/>
        </w:rPr>
        <w:t xml:space="preserve">có khả thi hay không</w:t>
      </w:r>
      <w:r>
        <w:t xml:space="preserve">. Theo một số bầu show, chỉ nên làm khi nhà tài trợ gánh ít nhất 50% chi phí (Nhân Dân, U14, chưa KCC).</w:t>
      </w:r>
    </w:p>
    <w:p>
      <w:pPr>
        <w:pStyle w:val="ListParagraph"/>
        <w:numPr>
          <w:ilvl w:val="0"/>
          <w:numId w:val="2"/>
        </w:numPr>
        <w:spacing w:after="60"/>
      </w:pPr>
      <w:r>
        <w:t xml:space="preserve">Trước áp lực chi phí, 35% chuyên gia sự kiện trên thế giới tìm nguồn tài trợ bổ sung (Amex GBT, U15, chưa KCC).</w:t>
      </w:r>
    </w:p>
    <w:p>
      <w:pPr>
        <w:pStyle w:val="ListParagraph"/>
        <w:numPr>
          <w:ilvl w:val="0"/>
          <w:numId w:val="2"/>
        </w:numPr>
        <w:spacing w:after="60"/>
      </w:pPr>
      <w:r>
        <w:rPr>
          <w:i/>
          <w:iCs/>
        </w:rPr>
        <w:t xml:space="preserve">Nối Buổi 1:</w:t>
      </w:r>
      <w:r>
        <w:t xml:space="preserve"> nhà tài trợ là primary hay secondary </w:t>
      </w:r>
      <w:r>
        <w:rPr>
          <w:b/>
          <w:bCs/>
        </w:rPr>
        <w:t xml:space="preserve">tùy bối cảnh</w:t>
      </w:r>
      <w:r>
        <w:t xml:space="preserve">. Khi ngân sách phụ thuộc vào nhà tài trợ, họ trở thành primary.</w:t>
      </w:r>
    </w:p>
    <w:p>
      <w:pPr>
        <w:pStyle w:val="Heading2"/>
      </w:pPr>
      <w:r>
        <w:t xml:space="preserve">1.5 Rủi ro: tài trợ là chuyển giao hình ảnh hai chiều</w:t>
      </w:r>
    </w:p>
    <w:p>
      <w:pPr>
        <w:spacing w:after="120"/>
      </w:pPr>
      <w:r>
        <w:rPr>
          <w:b/>
          <w:bCs/>
        </w:rPr>
        <w:t xml:space="preserve">Case: Happy Day Concert, Đà Lạt, 3/2025</w:t>
      </w:r>
      <w:r>
        <w:t xml:space="preserve"> (U12, </w:t>
      </w:r>
      <w:r>
        <w:rPr>
          <w:b/>
          <w:bCs/>
        </w:rPr>
        <w:t xml:space="preserve">đã KCC</w:t>
      </w:r>
      <w:r>
        <w:t xml:space="preserve">). Thương hiệu của đơn vị tổ chức bị các trang cờ bạc cắt ghép để quảng cáo. Nhiều nghệ sĩ rút lui sát giờ; hai đêm diễn bị dừng, sau đó dời lịch với sự chấp thuận của Sở VHTTDL Lâm Đồng.</w:t>
      </w:r>
    </w:p>
    <w:p>
      <w:pPr>
        <w:spacing w:after="120"/>
      </w:pPr>
      <w:r>
        <w:rPr>
          <w:i/>
          <w:iCs/>
        </w:rPr>
        <w:t xml:space="preserve">[Ý cần chốt: "Ở đây thương hiệu bị </w:t>
      </w:r>
      <w:r>
        <w:rPr>
          <w:i/>
          <w:iCs/>
        </w:rPr>
        <w:t xml:space="preserve">giả mạo</w:t>
      </w:r>
      <w:r>
        <w:rPr>
          <w:i/>
          <w:iCs/>
        </w:rPr>
        <w:t xml:space="preserve"> liên đới, không phải nhà tài trợ cờ bạc thật. Vậy mà sự kiện vẫn sụp. Với agency, thẩm định nhà tài trợ và theo dõi thương hiệu trên mạng là một phần của quản trị quan hệ."]</w:t>
      </w:r>
    </w:p>
    <w:p>
      <w:pPr>
        <w:pStyle w:val="Heading2"/>
      </w:pPr>
      <w:r>
        <w:t xml:space="preserve">1.6 Agency đứng ở đâu (góc nhìn của môn)</w:t>
      </w:r>
    </w:p>
    <w:p>
      <w:pPr>
        <w:shd w:fill="F4F6F9" w:color="auto" w:val="clear"/>
        <w:spacing w:after="0" w:before="0" w:line="260"/>
        <w:ind w:left="120" w:right="120"/>
      </w:pPr>
      <w:r>
        <w:rPr>
          <w:rFonts w:ascii="Courier New" w:cs="Courier New" w:eastAsia="Courier New" w:hAnsi="Courier New"/>
          <w:sz w:val="18"/>
          <w:szCs w:val="18"/>
        </w:rPr>
        <w:t xml:space="preserve">                 KEY ACCOUNT (An Phát)</w:t>
      </w:r>
    </w:p>
    <w:p>
      <w:pPr>
        <w:shd w:fill="F4F6F9" w:color="auto" w:val="clear"/>
        <w:spacing w:after="0" w:before="0" w:line="260"/>
        <w:ind w:left="120" w:right="120"/>
      </w:pPr>
      <w:r>
        <w:rPr>
          <w:rFonts w:ascii="Courier New" w:cs="Courier New" w:eastAsia="Courier New" w:hAnsi="Courier New"/>
          <w:sz w:val="18"/>
          <w:szCs w:val="18"/>
        </w:rPr>
        <w:t xml:space="preserve">                  ▲         ▲</w:t>
      </w:r>
    </w:p>
    <w:p>
      <w:pPr>
        <w:shd w:fill="F4F6F9" w:color="auto" w:val="clear"/>
        <w:spacing w:after="0" w:before="0" w:line="260"/>
        <w:ind w:left="120" w:right="120"/>
      </w:pPr>
      <w:r>
        <w:rPr>
          <w:rFonts w:ascii="Courier New" w:cs="Courier New" w:eastAsia="Courier New" w:hAnsi="Courier New"/>
          <w:sz w:val="18"/>
          <w:szCs w:val="18"/>
        </w:rPr>
        <w:t xml:space="preserve">     đối tác của  │         │ khách hàng của</w:t>
      </w:r>
    </w:p>
    <w:p>
      <w:pPr>
        <w:shd w:fill="F4F6F9" w:color="auto" w:val="clear"/>
        <w:spacing w:after="0" w:before="0" w:line="260"/>
        <w:ind w:left="120" w:right="120"/>
      </w:pPr>
      <w:r>
        <w:rPr>
          <w:rFonts w:ascii="Courier New" w:cs="Courier New" w:eastAsia="Courier New" w:hAnsi="Courier New"/>
          <w:sz w:val="18"/>
          <w:szCs w:val="18"/>
        </w:rPr>
        <w:t xml:space="preserve">                  │         │</w:t>
      </w:r>
    </w:p>
    <w:p>
      <w:pPr>
        <w:shd w:fill="F4F6F9" w:color="auto" w:val="clear"/>
        <w:spacing w:after="0" w:before="0" w:line="260"/>
        <w:ind w:left="120" w:right="120"/>
      </w:pPr>
      <w:r>
        <w:rPr>
          <w:rFonts w:ascii="Courier New" w:cs="Courier New" w:eastAsia="Courier New" w:hAnsi="Courier New"/>
          <w:sz w:val="18"/>
          <w:szCs w:val="18"/>
        </w:rPr>
        <w:t xml:space="preserve">   NHÀ TÀI TRỢ ───┘         └─── KHÁCH CỦA KEY ACCOUNT (600 doanh nghiệp VIP)</w:t>
      </w:r>
    </w:p>
    <w:p>
      <w:pPr>
        <w:shd w:fill="F4F6F9" w:color="auto" w:val="clear"/>
        <w:spacing w:after="0" w:before="0" w:line="260"/>
        <w:ind w:left="120" w:right="120"/>
      </w:pPr>
      <w:r>
        <w:rPr>
          <w:rFonts w:ascii="Courier New" w:cs="Courier New" w:eastAsia="Courier New" w:hAnsi="Courier New"/>
          <w:sz w:val="18"/>
          <w:szCs w:val="18"/>
        </w:rPr>
        <w:t xml:space="preserve">   (Bình An, GlobalCard)             ▲</w:t>
      </w:r>
    </w:p>
    <w:p>
      <w:pPr>
        <w:shd w:fill="F4F6F9" w:color="auto" w:val="clear"/>
        <w:spacing w:after="0" w:before="0" w:line="260"/>
        <w:ind w:left="120" w:right="120"/>
      </w:pPr>
      <w:r>
        <w:rPr>
          <w:rFonts w:ascii="Courier New" w:cs="Courier New" w:eastAsia="Courier New" w:hAnsi="Courier New"/>
          <w:sz w:val="18"/>
          <w:szCs w:val="18"/>
        </w:rPr>
        <w:t xml:space="preserve">                  ╲                  │ trải nghiệm tại các điểm chạm</w:t>
      </w:r>
    </w:p>
    <w:p>
      <w:pPr>
        <w:shd w:fill="F4F6F9" w:color="auto" w:val="clear"/>
        <w:spacing w:after="0" w:before="0" w:line="260"/>
        <w:ind w:left="120" w:right="120"/>
      </w:pPr>
      <w:r>
        <w:rPr>
          <w:rFonts w:ascii="Courier New" w:cs="Courier New" w:eastAsia="Courier New" w:hAnsi="Courier New"/>
          <w:sz w:val="18"/>
          <w:szCs w:val="18"/>
        </w:rPr>
        <w:t xml:space="preserve">                   ╲                 │</w:t>
      </w:r>
    </w:p>
    <w:p>
      <w:pPr>
        <w:shd w:fill="F4F6F9" w:color="auto" w:val="clear"/>
        <w:spacing w:after="0" w:before="0" w:line="260"/>
        <w:ind w:left="120" w:right="120"/>
      </w:pPr>
      <w:r>
        <w:rPr>
          <w:rFonts w:ascii="Courier New" w:cs="Courier New" w:eastAsia="Courier New" w:hAnsi="Courier New"/>
          <w:sz w:val="18"/>
          <w:szCs w:val="18"/>
        </w:rPr>
        <w:t xml:space="preserve">                    ╲─────► AGENCY (Nova): thiết kế quyền lợi, kích hoạt, đo lường</w:t>
      </w:r>
    </w:p>
    <w:p>
      <w:pPr>
        <w:shd w:fill="F4F6F9" w:color="auto" w:val="clear"/>
        <w:spacing w:after="0" w:before="0" w:line="260"/>
        <w:ind w:left="120" w:right="120"/>
      </w:pPr>
      <w:r>
        <w:rPr>
          <w:rFonts w:ascii="Courier New" w:cs="Courier New" w:eastAsia="Courier New" w:hAnsi="Courier New"/>
          <w:sz w:val="18"/>
          <w:szCs w:val="18"/>
        </w:rPr>
        <w:t xml:space="preserve">                            THAY MẶT Key Account</w:t>
      </w:r>
    </w:p>
    <w:p>
      <w:pPr>
        <w:spacing w:after="120"/>
      </w:pPr>
    </w:p>
    <w:p>
      <w:pPr>
        <w:spacing w:after="120"/>
      </w:pPr>
      <w:r>
        <w:t xml:space="preserve">Nova không “xin tài trợ cho mình”. Nova giúp An Phát </w:t>
      </w:r>
      <w:r>
        <w:rPr>
          <w:b/>
          <w:bCs/>
        </w:rPr>
        <w:t xml:space="preserve">biến quan hệ đối tác của An Phát thành giá trị cho khách của An Phát</w:t>
      </w:r>
      <w:r>
        <w:t xml:space="preserve">.</w:t>
      </w:r>
    </w:p>
    <w:p>
      <w:pPr>
        <w:pStyle w:val="Heading2"/>
      </w:pPr>
      <w:r>
        <w:t xml:space="preserve">1.7 Hiểu lầm thường gặp</w:t>
      </w:r>
    </w:p>
    <w:p>
      <w:pPr>
        <w:pStyle w:val="ListParagraph"/>
        <w:numPr>
          <w:ilvl w:val="0"/>
          <w:numId w:val="2"/>
        </w:numPr>
        <w:spacing w:after="60"/>
      </w:pPr>
      <w:r>
        <w:rPr>
          <w:i/>
          <w:iCs/>
        </w:rPr>
        <w:t xml:space="preserve">"Nhà tài trợ = người cho tiền để in logo."</w:t>
      </w:r>
      <w:r>
        <w:t xml:space="preserve"> → Sửa: nhà tài trợ mua </w:t>
      </w:r>
      <w:r>
        <w:rPr>
          <w:b/>
          <w:bCs/>
        </w:rPr>
        <w:t xml:space="preserve">quyền lợi để đạt mục tiêu</w:t>
      </w:r>
      <w:r>
        <w:t xml:space="preserve"> (U01); logo chỉ là một quyền lợi, thường không phải quan trọng nhất.</w:t>
      </w:r>
    </w:p>
    <w:p>
      <w:pPr>
        <w:pStyle w:val="ListParagraph"/>
        <w:numPr>
          <w:ilvl w:val="0"/>
          <w:numId w:val="2"/>
        </w:numPr>
        <w:spacing w:after="60"/>
      </w:pPr>
      <w:r>
        <w:rPr>
          <w:i/>
          <w:iCs/>
        </w:rPr>
        <w:t xml:space="preserve">"Nhà tài trợ càng lớn càng tốt."</w:t>
      </w:r>
      <w:r>
        <w:t xml:space="preserve"> → Sửa: phải </w:t>
      </w:r>
      <w:r>
        <w:rPr>
          <w:b/>
          <w:bCs/>
        </w:rPr>
        <w:t xml:space="preserve">phù hợp</w:t>
      </w:r>
      <w:r>
        <w:t xml:space="preserve"> với Key Account và với khách của Key Account; sai phù hợp thì hại cả ba.</w:t>
      </w:r>
    </w:p>
    <w:p>
      <w:pPr>
        <w:pStyle w:val="ListParagraph"/>
        <w:numPr>
          <w:ilvl w:val="0"/>
          <w:numId w:val="2"/>
        </w:numPr>
        <w:spacing w:after="60"/>
      </w:pPr>
      <w:r>
        <w:rPr>
          <w:i/>
          <w:iCs/>
        </w:rPr>
        <w:t xml:space="preserve">"Nhà đầu tư và nhà tài trợ như nhau."</w:t>
      </w:r>
      <w:r>
        <w:t xml:space="preserve"> → Sửa: khác nhau ở chỗ ai chịu </w:t>
      </w:r>
      <w:r>
        <w:rPr>
          <w:b/>
          <w:bCs/>
        </w:rPr>
        <w:t xml:space="preserve">rủi ro tài chính</w:t>
      </w:r>
      <w:r>
        <w:t xml:space="preserve"> và ai nhận </w:t>
      </w:r>
      <w:r>
        <w:rPr>
          <w:b/>
          <w:bCs/>
        </w:rPr>
        <w:t xml:space="preserve">phần lợi nhuận</w:t>
      </w:r>
      <w:r>
        <w:t xml:space="preserve">.</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W09_activity_S3_chon_nha_tai_tro.md</w:t>
      </w:r>
      <w:r>
        <w:t xml:space="preserve">).</w:t>
      </w:r>
    </w:p>
    <w:p>
      <w:pPr>
        <w:pStyle w:val="Heading2"/>
      </w:pPr>
      <w:r>
        <w:t xml:space="preserve">S4 — Lý thuyết 2 (25 phút)</w:t>
      </w:r>
    </w:p>
    <w:p>
      <w:pPr>
        <w:pStyle w:val="Heading2"/>
      </w:pPr>
      <w:r>
        <w:t xml:space="preserve">§2. 9.2 — Thiết kế đề xuất tài trợ win-win và tính ROI</w:t>
      </w:r>
    </w:p>
    <w:p>
      <w:pPr>
        <w:spacing w:after="120"/>
      </w:pPr>
      <w:r>
        <w:rPr>
          <w:i/>
          <w:iCs/>
        </w:rPr>
        <w:t xml:space="preserve">[Mở đoạn: "Bình An hỏi Nova: 'Gói 400 triệu của các bạn mang lại gì cho tôi?' Nếu Nova chỉ trả lời 'logo trên backdrop và 2 phút phát biểu', Bình An sẽ trả giá 100 triệu."]</w:t>
      </w:r>
    </w:p>
    <w:p>
      <w:pPr>
        <w:pStyle w:val="Heading2"/>
      </w:pPr>
      <w:r>
        <w:t xml:space="preserve">2.1 Cấu trúc một đề xuất tài trợ win-win</w:t>
      </w:r>
    </w:p>
    <w:p>
      <w:pPr>
        <w:spacing w:after="120"/>
      </w:pPr>
      <w:r>
        <w:rPr>
          <w:i/>
          <w:iCs/>
        </w:rPr>
        <w:t xml:space="preserve">Cấu trúc dưới đây do người soạn dựng từ các nguồn U01 (mục tiêu), U04–U05 (kích hoạt), U06 (đo lường), U07 (điểm chạm); chưa có hướng dẫn chuẩn từ một hiệp hội.</w:t>
      </w:r>
    </w:p>
    <w:p>
      <w:pPr>
        <w:pBdr>
          <w:left w:val="single" w:color="2E8B74" w:sz="18" w:space="8"/>
        </w:pBdr>
        <w:shd w:fill="E8F4F0" w:color="auto" w:val="clear"/>
        <w:spacing w:after="160" w:before="80"/>
        <w:ind w:left="200" w:right="100"/>
      </w:pPr>
      <w:r>
        <w:rPr>
          <w:i/>
          <w:iCs/>
          <w:color w:val="333F55"/>
          <w:sz w:val="20"/>
          <w:szCs w:val="20"/>
        </w:rPr>
        <w:t xml:space="preserve">Cập nhật 4/10/2026:</w:t>
      </w:r>
      <w:r>
        <w:rPr>
          <w:color w:val="333F55"/>
          <w:sz w:val="20"/>
          <w:szCs w:val="20"/>
        </w:rPr>
        <w:t xml:space="preserve"> các thành phần này đã đối chiếu với Cornwell (2020, tr. 37–38) (U22). Cornwell liệt kê lý do tài trợ theo mục tiêu của nhà tài trợ, tổng quan sự kiện theo những gì nhà tài trợ quan tâm, điều khoản (gồm độc quyền, rủi ro, bảo hiểm), kỳ vọng đóng góp của nhà tài trợ, và đo lường. Gộp thành 7 phần vẫn là quyết định của người soạn. Mã U15–U18 cũ ở mục 8 của tư liệu nay là U19–U22.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614"/>
        <w:gridCol w:w="1124"/>
      </w:tblGrid>
      <w:tr>
        <w:trPr>
          <w:tblHeader/>
        </w:trPr>
        <w:tc>
          <w:tcPr>
            <w:tcW w:type="dxa" w:w="290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Phần</w:t>
            </w:r>
          </w:p>
        </w:tc>
        <w:tc>
          <w:tcPr>
            <w:tcW w:type="dxa" w:w="56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w:t>
            </w:r>
          </w:p>
        </w:tc>
        <w:tc>
          <w:tcPr>
            <w:tcW w:type="dxa" w:w="112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 căn cứ</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w:t>
            </w:r>
            <w:r>
              <w:rPr>
                <w:sz w:val="20"/>
                <w:szCs w:val="20"/>
              </w:rPr>
              <w:t xml:space="preserve">Mục tiêu của nhà tài trợ</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muốn gì: nhận biết, thái độ, khách hàng tiềm năng, doanh số, quan hệ với Key Account</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U01</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w:t>
            </w:r>
            <w:r>
              <w:rPr>
                <w:sz w:val="20"/>
                <w:szCs w:val="20"/>
              </w:rPr>
              <w:t xml:space="preserve">Khán giả</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Ai là khách của Key Account: số lượng, hồ sơ, vì sao họ có giá trị với nhà tài trợ</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Nhận định</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w:t>
            </w:r>
            <w:r>
              <w:rPr>
                <w:sz w:val="20"/>
                <w:szCs w:val="20"/>
              </w:rPr>
              <w:t xml:space="preserve">Gói quyền lợi theo hạng</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Hạng tài trợ (ví dụ danh vị, kim cương, vàng); quyền lợi cụ thể, </w:t>
            </w:r>
            <w:r>
              <w:rPr>
                <w:sz w:val="20"/>
                <w:szCs w:val="20"/>
              </w:rPr>
              <w:t xml:space="preserve">gắn với điểm chạm</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U07, U10</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w:t>
            </w:r>
            <w:r>
              <w:rPr>
                <w:sz w:val="20"/>
                <w:szCs w:val="20"/>
              </w:rPr>
              <w:t xml:space="preserve">Kế hoạch kích hoạt</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làm gì tại các điểm chạm; ngân sách kích hoạt ngoài phí quyền</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U04, U05</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w:t>
            </w:r>
            <w:r>
              <w:rPr>
                <w:sz w:val="20"/>
                <w:szCs w:val="20"/>
              </w:rPr>
              <w:t xml:space="preserve">Cam kết đo lường</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số ROO và ROI; ai cung cấp dữ liệu; báo cáo khi nào</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U06; Buổi 8</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w:t>
            </w:r>
            <w:r>
              <w:rPr>
                <w:sz w:val="20"/>
                <w:szCs w:val="20"/>
              </w:rPr>
              <w:t xml:space="preserve">Điều khoản</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và nghĩa vụ; </w:t>
            </w:r>
            <w:r>
              <w:rPr>
                <w:sz w:val="20"/>
                <w:szCs w:val="20"/>
              </w:rPr>
              <w:t xml:space="preserve">kỳ vọng đo lường ghi vào hợp đồng</w:t>
            </w:r>
            <w:r>
              <w:rPr>
                <w:sz w:val="20"/>
                <w:szCs w:val="20"/>
              </w:rPr>
              <w:t xml:space="preserve">; giới hạn (pháp lý, trải nghiệm khách)</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U06, U13</w:t>
            </w:r>
          </w:p>
        </w:tc>
      </w:tr>
      <w:tr>
        <w:trPr>
          <w:tblHeader w:val="off"/>
        </w:trPr>
        <w:tc>
          <w:tcPr>
            <w:tcW w:type="dxa" w:w="2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 </w:t>
            </w:r>
            <w:r>
              <w:rPr>
                <w:sz w:val="20"/>
                <w:szCs w:val="20"/>
              </w:rPr>
              <w:t xml:space="preserve">Giá</w:t>
            </w:r>
          </w:p>
        </w:tc>
        <w:tc>
          <w:tcPr>
            <w:tcW w:type="dxa" w:w="5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Phí quyền; phần kích hoạt nhà tài trợ tự chi</w:t>
            </w:r>
          </w:p>
        </w:tc>
        <w:tc>
          <w:tcPr>
            <w:tcW w:type="dxa" w:w="11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spacing w:after="120"/>
      </w:pPr>
      <w:r>
        <w:rPr>
          <w:b/>
          <w:bCs/>
        </w:rPr>
        <w:t xml:space="preserve">Win-win nghĩa là cả ba (bốn) bên:</w:t>
      </w:r>
      <w:r>
        <w:t xml:space="preserve"> nhà tài trợ đạt mục tiêu, Key Account giữ được hình ảnh và bù được ngân sách, khách của Key Account thấy có ích, agency làm được sự kiện chất lượng.</w:t>
      </w:r>
    </w:p>
    <w:p>
      <w:pPr>
        <w:pStyle w:val="Heading2"/>
      </w:pPr>
      <w:r>
        <w:t xml:space="preserve">2.2 Activation (kích hoạt) — phần hay bị quên</w:t>
      </w:r>
    </w:p>
    <w:p>
      <w:pPr>
        <w:pStyle w:val="ListParagraph"/>
        <w:numPr>
          <w:ilvl w:val="0"/>
          <w:numId w:val="2"/>
        </w:numPr>
        <w:spacing w:after="60"/>
      </w:pPr>
      <w:r>
        <w:rPr>
          <w:b/>
          <w:bCs/>
        </w:rPr>
        <w:t xml:space="preserve">Activation</w:t>
      </w:r>
      <w:r>
        <w:t xml:space="preserve"> là khoản đầu tư của nhà tài trợ </w:t>
      </w:r>
      <w:r>
        <w:rPr>
          <w:b/>
          <w:bCs/>
        </w:rPr>
        <w:t xml:space="preserve">ngoài phí mua quyền</w:t>
      </w:r>
      <w:r>
        <w:t xml:space="preserve"> để khai thác quyền lợi; đo bằng </w:t>
      </w:r>
      <w:r>
        <w:rPr>
          <w:b/>
          <w:bCs/>
        </w:rPr>
        <w:t xml:space="preserve">activation ratio</w:t>
      </w:r>
      <w:r>
        <w:t xml:space="preserve"> (tỷ lệ kích hoạt / phí quyền) (U04).</w:t>
      </w:r>
    </w:p>
    <w:p>
      <w:pPr>
        <w:pStyle w:val="ListParagraph"/>
        <w:numPr>
          <w:ilvl w:val="0"/>
          <w:numId w:val="2"/>
        </w:numPr>
        <w:spacing w:after="60"/>
      </w:pPr>
      <w:r>
        <w:t xml:space="preserve">Các nghiên cứu trước khuyến nghị </w:t>
      </w:r>
      <w:r>
        <w:rPr>
          <w:b/>
          <w:bCs/>
        </w:rPr>
        <w:t xml:space="preserve">1:1 đến 8:1</w:t>
      </w:r>
      <w:r>
        <w:t xml:space="preserve">; nhưng nghiên cứu tình huống cho thấy </w:t>
      </w:r>
      <w:r>
        <w:rPr>
          <w:b/>
          <w:bCs/>
        </w:rPr>
        <w:t xml:space="preserve">chất lượng chiến lược kích hoạt</w:t>
      </w:r>
      <w:r>
        <w:t xml:space="preserve"> quan trọng hơn con số tỷ lệ (O’Reilly &amp; Lafrance Horning, 2013, U04).</w:t>
      </w:r>
    </w:p>
    <w:p>
      <w:pPr>
        <w:pStyle w:val="ListParagraph"/>
        <w:numPr>
          <w:ilvl w:val="0"/>
          <w:numId w:val="2"/>
        </w:numPr>
        <w:spacing w:after="60"/>
      </w:pPr>
      <w:r>
        <w:t xml:space="preserve">Thực tế: tỷ lệ trung bình toàn cầu khoảng </w:t>
      </w:r>
      <w:r>
        <w:rPr>
          <w:b/>
          <w:bCs/>
        </w:rPr>
        <w:t xml:space="preserve">0,81:1</w:t>
      </w:r>
      <w:r>
        <w:t xml:space="preserve">; 43% nhà tài trợ không biết mình chi bao nhiêu cho kích hoạt; chỉ 18% đạt 1:1 trở lên (báo cáo WFA – Lumency, U05, chưa KCC).</w:t>
      </w:r>
    </w:p>
    <w:p>
      <w:pPr>
        <w:spacing w:after="120"/>
      </w:pPr>
      <w:r>
        <w:rPr>
          <w:i/>
          <w:iCs/>
        </w:rPr>
        <w:t xml:space="preserve">Nhận định của người soạn:</w:t>
      </w:r>
      <w:r>
        <w:t xml:space="preserve"> với agency, đây là cơ hội: đề xuất </w:t>
      </w:r>
      <w:r>
        <w:rPr>
          <w:b/>
          <w:bCs/>
        </w:rPr>
        <w:t xml:space="preserve">cả phần thiết kế kích hoạt</w:t>
      </w:r>
      <w:r>
        <w:t xml:space="preserve"> cho nhà tài trợ, để quyền lợi không bị “mua rồi bỏ đó”.</w:t>
      </w:r>
    </w:p>
    <w:p>
      <w:pPr>
        <w:pStyle w:val="Heading2"/>
      </w:pPr>
      <w:r>
        <w:t xml:space="preserve">2.3 Tính ROI của tài trợ: ROI và ROO (quyết định GV)</w:t>
      </w:r>
    </w:p>
    <w:p>
      <w:pPr>
        <w:spacing w:after="120"/>
      </w:pPr>
      <w:r>
        <w:t xml:space="preserve">Theo ANA &amp; MASB (2018, U06):</w:t>
      </w:r>
    </w:p>
    <w:p>
      <w:pPr>
        <w:pStyle w:val="ListParagraph"/>
        <w:numPr>
          <w:ilvl w:val="0"/>
          <w:numId w:val="2"/>
        </w:numPr>
        <w:spacing w:after="60"/>
      </w:pPr>
      <w:r>
        <w:rPr>
          <w:b/>
          <w:bCs/>
        </w:rPr>
        <w:t xml:space="preserve">ROI</w:t>
      </w:r>
      <w:r>
        <w:t xml:space="preserve"> (return on investment): kết quả </w:t>
      </w:r>
      <w:r>
        <w:rPr>
          <w:b/>
          <w:bCs/>
        </w:rPr>
        <w:t xml:space="preserve">tài chính</w:t>
      </w:r>
      <w:r>
        <w:t xml:space="preserve">: lợi tức tài chính của khoản tài trợ, giá trị truyền thông quy đổi, doanh số.</w:t>
      </w:r>
    </w:p>
    <w:p>
      <w:pPr>
        <w:pStyle w:val="ListParagraph"/>
        <w:numPr>
          <w:ilvl w:val="0"/>
          <w:numId w:val="2"/>
        </w:numPr>
        <w:spacing w:after="60"/>
      </w:pPr>
      <w:r>
        <w:rPr>
          <w:b/>
          <w:bCs/>
        </w:rPr>
        <w:t xml:space="preserve">ROO</w:t>
      </w:r>
      <w:r>
        <w:t xml:space="preserve"> (return on objectives): kết quả </w:t>
      </w:r>
      <w:r>
        <w:rPr>
          <w:b/>
          <w:bCs/>
        </w:rPr>
        <w:t xml:space="preserve">theo mục tiêu</w:t>
      </w:r>
      <w:r>
        <w:t xml:space="preserve">: nhận biết thương hiệu, nhận biết việc tài trợ, thái độ, độ phủ truyền thông và mạng xã hội.</w:t>
      </w:r>
    </w:p>
    <w:p>
      <w:pPr>
        <w:pStyle w:val="ListParagraph"/>
        <w:numPr>
          <w:ilvl w:val="0"/>
          <w:numId w:val="2"/>
        </w:numPr>
        <w:spacing w:after="60"/>
      </w:pPr>
      <w:r>
        <w:t xml:space="preserve">Chỉ </w:t>
      </w:r>
      <w:r>
        <w:rPr>
          <w:b/>
          <w:bCs/>
        </w:rPr>
        <w:t xml:space="preserve">37%</w:t>
      </w:r>
      <w:r>
        <w:t xml:space="preserve"> có quy trình chuẩn đo lợi tức tài trợ; chỉ </w:t>
      </w:r>
      <w:r>
        <w:rPr>
          <w:b/>
          <w:bCs/>
        </w:rPr>
        <w:t xml:space="preserve">40%</w:t>
      </w:r>
      <w:r>
        <w:t xml:space="preserve"> ghi kỳ vọng đo lường vào </w:t>
      </w:r>
      <w:r>
        <w:rPr>
          <w:b/>
          <w:bCs/>
        </w:rPr>
        <w:t xml:space="preserve">hợp đồng</w:t>
      </w:r>
      <w:r>
        <w:t xml:space="preserve">. MASB khuyến nghị dùng </w:t>
      </w:r>
      <w:r>
        <w:rPr>
          <w:b/>
          <w:bCs/>
        </w:rPr>
        <w:t xml:space="preserve">mức độ ưa thích thương hiệu</w:t>
      </w:r>
      <w:r>
        <w:t xml:space="preserve"> (brand preference) làm chỉ số then chốt. (Số liệu Bắc Mỹ, 2018.)</w:t>
      </w:r>
    </w:p>
    <w:p>
      <w:pPr>
        <w:pBdr>
          <w:left w:val="single" w:color="2E8B74" w:sz="18" w:space="8"/>
        </w:pBdr>
        <w:shd w:fill="E8F4F0" w:color="auto" w:val="clear"/>
        <w:spacing w:after="160" w:before="80"/>
        <w:ind w:left="200" w:right="100"/>
      </w:pPr>
      <w:r>
        <w:rPr>
          <w:i/>
          <w:iCs/>
          <w:color w:val="333F55"/>
          <w:sz w:val="20"/>
          <w:szCs w:val="20"/>
        </w:rPr>
        <w:t xml:space="preserve">“Only 40 percent of respondents write expectations about sponsorship measurement into contracts with properties…”</w:t>
      </w:r>
      <w:r>
        <w:rPr>
          <w:color w:val="333F55"/>
          <w:sz w:val="20"/>
          <w:szCs w:val="20"/>
        </w:rPr>
        <w:t xml:space="preserve"> (ANA, U06)</w:t>
      </w:r>
    </w:p>
    <w:p>
      <w:pPr>
        <w:spacing w:after="120"/>
      </w:pPr>
      <w:r>
        <w:rPr>
          <w:b/>
          <w:bCs/>
        </w:rPr>
        <w:t xml:space="preserve">Nối khung ROI 6 cấp của Buổi 8</w:t>
      </w:r>
      <w:r>
        <w:t xml:space="preserve"> (nhìn từ phía nhà tài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8"/>
        <w:gridCol w:w="4029"/>
        <w:gridCol w:w="4661"/>
      </w:tblGrid>
      <w:tr>
        <w:trPr>
          <w:tblHeader/>
        </w:trPr>
        <w:tc>
          <w:tcPr>
            <w:tcW w:type="dxa" w:w="9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Cấp</w:t>
            </w:r>
          </w:p>
        </w:tc>
        <w:tc>
          <w:tcPr>
            <w:tcW w:type="dxa" w:w="402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 cho nhà tài trợ</w:t>
            </w:r>
          </w:p>
        </w:tc>
        <w:tc>
          <w:tcPr>
            <w:tcW w:type="dxa" w:w="46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chỉ số (gala An Phát – Bảo hiểm Bình An)</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 Đúng người</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có gặp đúng khách không?</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doanh nghiệp thuộc phân khúc mục tiêu của Bình An có mặt</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Hài lòng</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thấy hoạt động của nhà tài trợ hữu ích không?</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đánh giá phiên tư vấn</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Learning</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biết thêm gì?</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khách biết thêm về giải pháp quản trị rủi ro doanh nghiệp</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Behaviour</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làm gì khác đi?</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doanh nghiệp </w:t>
            </w:r>
            <w:r>
              <w:rPr>
                <w:sz w:val="20"/>
                <w:szCs w:val="20"/>
              </w:rPr>
              <w:t xml:space="preserve">đồng ý</w:t>
            </w:r>
            <w:r>
              <w:rPr>
                <w:sz w:val="20"/>
                <w:szCs w:val="20"/>
              </w:rPr>
              <w:t xml:space="preserve"> hẹn tư vấn sau sự kiện</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Impact</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quả kinh doanh?</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hợp đồng mới trong 3 tháng (dữ liệu của Bình An)</w:t>
            </w:r>
          </w:p>
        </w:tc>
      </w:tr>
      <w:tr>
        <w:trPr>
          <w:tblHeader w:val="off"/>
        </w:trPr>
        <w:tc>
          <w:tcPr>
            <w:tcW w:type="dxa" w:w="9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 ROI</w:t>
            </w:r>
          </w:p>
        </w:tc>
        <w:tc>
          <w:tcPr>
            <w:tcW w:type="dxa" w:w="40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Lợi ích quy tiền so với chi phí?</w:t>
            </w:r>
          </w:p>
        </w:tc>
        <w:tc>
          <w:tcPr>
            <w:tcW w:type="dxa" w:w="46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thức dưới</w:t>
            </w:r>
          </w:p>
        </w:tc>
      </w:tr>
    </w:tbl>
    <w:p>
      <w:pPr>
        <w:spacing w:after="80" w:before="0"/>
      </w:pPr>
    </w:p>
    <w:p>
      <w:pPr>
        <w:spacing w:after="120"/>
      </w:pPr>
      <w:r>
        <w:rPr>
          <w:b/>
          <w:bCs/>
        </w:rPr>
        <w:t xml:space="preserve">Công thức ROI đơn giản:</w:t>
      </w:r>
      <w:r>
        <w:t xml:space="preserve"> ROI = (Lợi ích quy ra tiền − Tổng chi phí tài trợ) / Tổng chi phí tài trợ. Tổng chi phí = phí quyền </w:t>
      </w:r>
      <w:r>
        <w:rPr>
          <w:b/>
          <w:bCs/>
        </w:rPr>
        <w:t xml:space="preserve">+ chi phí kích hoạt</w:t>
      </w:r>
      <w:r>
        <w:t xml:space="preserve">.</w:t>
      </w:r>
    </w:p>
    <w:p>
      <w:pPr>
        <w:spacing w:after="120"/>
      </w:pPr>
      <w:r>
        <w:rPr>
          <w:b/>
          <w:bCs/>
        </w:rPr>
        <w:t xml:space="preserve">Ví dụ tính (GIẢ ĐỊNH, chỉ minh họa):</w:t>
      </w:r>
    </w:p>
    <w:p>
      <w:pPr>
        <w:pStyle w:val="ListParagraph"/>
        <w:numPr>
          <w:ilvl w:val="0"/>
          <w:numId w:val="2"/>
        </w:numPr>
        <w:spacing w:after="60"/>
      </w:pPr>
      <w:r>
        <w:t xml:space="preserve">Bình An trả phí quyền 250 triệu, tự chi thêm 150 triệu kích hoạt (tỷ lệ 0,6:1). Tổng chi phí 400 triệu.</w:t>
      </w:r>
    </w:p>
    <w:p>
      <w:pPr>
        <w:pStyle w:val="ListParagraph"/>
        <w:numPr>
          <w:ilvl w:val="0"/>
          <w:numId w:val="2"/>
        </w:numPr>
        <w:spacing w:after="60"/>
      </w:pPr>
      <w:r>
        <w:t xml:space="preserve">60 doanh nghiệp đồng ý hẹn tư vấn (cấp 3). Giả sử 20% ký hợp đồng (12 hợp đồng); lợi nhuận gộp năm đầu mỗi hợp đồng 50 triệu → 600 triệu.</w:t>
      </w:r>
    </w:p>
    <w:p>
      <w:pPr>
        <w:pStyle w:val="ListParagraph"/>
        <w:numPr>
          <w:ilvl w:val="0"/>
          <w:numId w:val="2"/>
        </w:numPr>
        <w:spacing w:after="60"/>
      </w:pPr>
      <w:r>
        <w:t xml:space="preserve">Giả sử chỉ </w:t>
      </w:r>
      <w:r>
        <w:rPr>
          <w:b/>
          <w:bCs/>
        </w:rPr>
        <w:t xml:space="preserve">một nửa</w:t>
      </w:r>
      <w:r>
        <w:t xml:space="preserve"> số hợp đồng có thể quy cho sự kiện (tách tác động, Buổi 8) → lợi ích 300 triệu.</w:t>
      </w:r>
    </w:p>
    <w:p>
      <w:pPr>
        <w:pStyle w:val="ListParagraph"/>
        <w:numPr>
          <w:ilvl w:val="0"/>
          <w:numId w:val="2"/>
        </w:numPr>
        <w:spacing w:after="60"/>
      </w:pPr>
      <w:r>
        <w:t xml:space="preserve">ROI = (300 − 400) / 400 = </w:t>
      </w:r>
      <w:r>
        <w:rPr>
          <w:b/>
          <w:bCs/>
        </w:rPr>
        <w:t xml:space="preserve">−25%</w:t>
      </w:r>
      <w:r>
        <w:t xml:space="preserve"> trong năm đầu. Nếu tính hợp đồng tái tục năm thứ hai thì có thể dương.</w:t>
      </w:r>
    </w:p>
    <w:p>
      <w:pPr>
        <w:spacing w:after="120"/>
      </w:pPr>
      <w:r>
        <w:rPr>
          <w:i/>
          <w:iCs/>
        </w:rPr>
        <w:t xml:space="preserve">[Ý cần chốt: "Con số âm không có nghĩa là tài trợ thất bại: có thể mục tiêu chính là ROO (thái độ, quan hệ với An Phát). Đó là lý do phải </w:t>
      </w:r>
      <w:r>
        <w:rPr>
          <w:i/>
          <w:iCs/>
        </w:rPr>
        <w:t xml:space="preserve">thống nhất mục tiêu và cách đo ngay trong đề xuất</w:t>
      </w:r>
      <w:r>
        <w:rPr>
          <w:i/>
          <w:iCs/>
        </w:rPr>
        <w:t xml:space="preserve">, và ghi vào hợp đồng."]</w:t>
      </w:r>
    </w:p>
    <w:p>
      <w:pPr>
        <w:pStyle w:val="Heading2"/>
      </w:pPr>
      <w:r>
        <w:t xml:space="preserve">2.4 Hiểu lầm thường gặp</w:t>
      </w:r>
    </w:p>
    <w:p>
      <w:pPr>
        <w:pStyle w:val="ListParagraph"/>
        <w:numPr>
          <w:ilvl w:val="0"/>
          <w:numId w:val="2"/>
        </w:numPr>
        <w:spacing w:after="60"/>
      </w:pPr>
      <w:r>
        <w:rPr>
          <w:i/>
          <w:iCs/>
        </w:rPr>
        <w:t xml:space="preserve">"Đề xuất tài trợ là bảng giá logo."</w:t>
      </w:r>
      <w:r>
        <w:t xml:space="preserve"> → Sửa: bắt đầu từ mục tiêu nhà tài trợ, kết thúc bằng cam kết đo lường.</w:t>
      </w:r>
    </w:p>
    <w:p>
      <w:pPr>
        <w:pStyle w:val="ListParagraph"/>
        <w:numPr>
          <w:ilvl w:val="0"/>
          <w:numId w:val="2"/>
        </w:numPr>
        <w:spacing w:after="60"/>
      </w:pPr>
      <w:r>
        <w:rPr>
          <w:i/>
          <w:iCs/>
        </w:rPr>
        <w:t xml:space="preserve">"Mua quyền xong là xong."</w:t>
      </w:r>
      <w:r>
        <w:t xml:space="preserve"> → Sửa: không có kích hoạt thì quyền lợi gần như vô giá trị (U04, U05).</w:t>
      </w:r>
    </w:p>
    <w:p>
      <w:pPr>
        <w:pStyle w:val="ListParagraph"/>
        <w:numPr>
          <w:ilvl w:val="0"/>
          <w:numId w:val="2"/>
        </w:numPr>
        <w:spacing w:after="60"/>
      </w:pPr>
      <w:r>
        <w:rPr>
          <w:i/>
          <w:iCs/>
        </w:rPr>
        <w:t xml:space="preserve">"ROI tài trợ chỉ tính bằng doanh số."</w:t>
      </w:r>
      <w:r>
        <w:t xml:space="preserve"> → Sửa: gồm cả ROO; và phải tách tác động của sự kiện khỏi các yếu tố khác.</w:t>
      </w:r>
    </w:p>
    <w:p>
      <w:pPr>
        <w:pStyle w:val="Heading2"/>
      </w:pPr>
      <w:r>
        <w:t xml:space="preserve">S5 — Lý thuyết 3 (10 phút)</w:t>
      </w:r>
    </w:p>
    <w:p>
      <w:pPr>
        <w:pStyle w:val="Heading2"/>
      </w:pPr>
      <w:r>
        <w:t xml:space="preserve">§3. 9.3 — Gắn nhà tài trợ vào điểm chạm để làm giàu trải nghiệm của khách hàng của Key Account</w:t>
      </w:r>
    </w:p>
    <w:p>
      <w:pPr>
        <w:pStyle w:val="Heading2"/>
      </w:pPr>
      <w:r>
        <w:t xml:space="preserve">3.1 Nguyên tắc</w:t>
      </w:r>
    </w:p>
    <w:p>
      <w:pPr>
        <w:pStyle w:val="ListParagraph"/>
        <w:numPr>
          <w:ilvl w:val="0"/>
          <w:numId w:val="2"/>
        </w:numPr>
        <w:spacing w:after="60"/>
      </w:pPr>
      <w:r>
        <w:t xml:space="preserve">Tài trợ đã được đo và vận hành </w:t>
      </w:r>
      <w:r>
        <w:rPr>
          <w:b/>
          <w:bCs/>
        </w:rPr>
        <w:t xml:space="preserve">như quảng cáo</w:t>
      </w:r>
      <w:r>
        <w:t xml:space="preserve"> suốt nhiều thập kỷ; tiềm năng tạo </w:t>
      </w:r>
      <w:r>
        <w:rPr>
          <w:b/>
          <w:bCs/>
        </w:rPr>
        <w:t xml:space="preserve">gắn kết thật</w:t>
      </w:r>
      <w:r>
        <w:t xml:space="preserve"> còn bị bỏ ngỏ (Cornwell, 2019, U03).</w:t>
      </w:r>
    </w:p>
    <w:p>
      <w:pPr>
        <w:pBdr>
          <w:left w:val="single" w:color="2E8B74" w:sz="18" w:space="8"/>
        </w:pBdr>
        <w:shd w:fill="E8F4F0" w:color="auto" w:val="clear"/>
        <w:spacing w:after="160" w:before="80"/>
        <w:ind w:left="200" w:right="100"/>
      </w:pPr>
      <w:r>
        <w:rPr>
          <w:i/>
          <w:iCs/>
          <w:color w:val="333F55"/>
          <w:sz w:val="20"/>
          <w:szCs w:val="20"/>
        </w:rPr>
        <w:t xml:space="preserve">“Sponsorships should enhance the attendee journey, not disrupt it.”</w:t>
      </w:r>
      <w:r>
        <w:rPr>
          <w:color w:val="333F55"/>
          <w:sz w:val="20"/>
          <w:szCs w:val="20"/>
        </w:rPr>
        <w:t xml:space="preserve"> (Bizzabo, U07)</w:t>
      </w:r>
    </w:p>
    <w:p>
      <w:pPr>
        <w:pStyle w:val="ListParagraph"/>
        <w:numPr>
          <w:ilvl w:val="0"/>
          <w:numId w:val="2"/>
        </w:numPr>
        <w:spacing w:after="60"/>
      </w:pPr>
      <w:r>
        <w:t xml:space="preserve">Theo khảo sát của Bizzabo, 57% nhà tài trợ đánh giá cao trải nghiệm thương hiệu (tiệc chọn lọc, buổi gặp riêng) hơn gian hàng; 84% coi networking của người tham dự là quan trọng (U07, chưa KCC).</w:t>
      </w:r>
    </w:p>
    <w:p>
      <w:pPr>
        <w:pStyle w:val="Heading2"/>
      </w:pPr>
      <w:r>
        <w:t xml:space="preserve">3.2 Hành trình của khách hàng của An Phát (nối Buổi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4482"/>
        <w:gridCol w:w="4484"/>
      </w:tblGrid>
      <w:tr>
        <w:trPr>
          <w:tblHeader/>
        </w:trPr>
        <w:tc>
          <w:tcPr>
            <w:tcW w:type="dxa" w:w="6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44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44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Gợi ý gắn nhà tài trợ (làm giàu, không làm phiền)</w:t>
            </w:r>
          </w:p>
        </w:tc>
      </w:tr>
      <w:tr>
        <w:trPr>
          <w:tblHeader w:val="off"/>
        </w:trPr>
        <w:tc>
          <w:tcPr>
            <w:tcW w:type="dxa" w:w="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4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mời · đăng ký · xác nhận · di chuyển</w:t>
            </w:r>
          </w:p>
        </w:tc>
        <w:tc>
          <w:tcPr>
            <w:tcW w:type="dxa" w:w="4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GlobalCard: ưu đãi xe đưa đón cho chủ thẻ; tương tự cách VPBank dùng quyền mua vé sớm cho chủ thẻ (U10)</w:t>
            </w:r>
          </w:p>
        </w:tc>
      </w:tr>
      <w:tr>
        <w:trPr>
          <w:tblHeader w:val="off"/>
        </w:trPr>
        <w:tc>
          <w:tcPr>
            <w:tcW w:type="dxa" w:w="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4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Check-in · phiên hội nghị · nghỉ giải lao · networking · gala · quà</w:t>
            </w:r>
          </w:p>
        </w:tc>
        <w:tc>
          <w:tcPr>
            <w:tcW w:type="dxa" w:w="4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Bình An: phiên chuyên đề “quản trị rủi ro cho doanh nghiệp” do chuyên gia trình bày; góc tư vấn </w:t>
            </w:r>
            <w:r>
              <w:rPr>
                <w:sz w:val="20"/>
                <w:szCs w:val="20"/>
              </w:rPr>
              <w:t xml:space="preserve">theo lịch hẹn</w:t>
            </w:r>
            <w:r>
              <w:rPr>
                <w:sz w:val="20"/>
                <w:szCs w:val="20"/>
              </w:rPr>
              <w:t xml:space="preserve">, không chào mời tại bàn tiệc</w:t>
            </w:r>
          </w:p>
        </w:tc>
      </w:tr>
      <w:tr>
        <w:trPr>
          <w:tblHeader w:val="off"/>
        </w:trPr>
        <w:tc>
          <w:tcPr>
            <w:tcW w:type="dxa" w:w="6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4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cảm ơn · khảo sát · gặp chuyên viên quan hệ khách hàng</w:t>
            </w:r>
          </w:p>
        </w:tc>
        <w:tc>
          <w:tcPr>
            <w:tcW w:type="dxa" w:w="44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Gửi tài liệu chuyên đề; </w:t>
            </w:r>
            <w:r>
              <w:rPr>
                <w:sz w:val="20"/>
                <w:szCs w:val="20"/>
              </w:rPr>
              <w:t xml:space="preserve">chỉ</w:t>
            </w:r>
            <w:r>
              <w:rPr>
                <w:sz w:val="20"/>
                <w:szCs w:val="20"/>
              </w:rPr>
              <w:t xml:space="preserve"> liên hệ khách đã đồng ý</w:t>
            </w:r>
          </w:p>
        </w:tc>
      </w:tr>
    </w:tbl>
    <w:p>
      <w:pPr>
        <w:spacing w:after="80" w:before="0"/>
      </w:pPr>
    </w:p>
    <w:p>
      <w:pPr>
        <w:pStyle w:val="Heading2"/>
      </w:pPr>
      <w:r>
        <w:t xml:space="preserve">3.3 Giới hạn pháp lý và uy tín: điểm chạm của nhà tài trợ phải bảo vệ Key Account</w:t>
      </w:r>
    </w:p>
    <w:p>
      <w:pPr>
        <w:pStyle w:val="ListParagraph"/>
        <w:numPr>
          <w:ilvl w:val="0"/>
          <w:numId w:val="2"/>
        </w:numPr>
        <w:spacing w:after="60"/>
      </w:pPr>
      <w:r>
        <w:t xml:space="preserve">Luật Kinh doanh bảo hiểm sửa đổi (hiệu lực 1/1/2023): tổ chức tín dụng không được ép khách vay mua bảo hiểm (U13).</w:t>
      </w:r>
    </w:p>
    <w:p>
      <w:pPr>
        <w:pStyle w:val="ListParagraph"/>
        <w:numPr>
          <w:ilvl w:val="0"/>
          <w:numId w:val="2"/>
        </w:numPr>
        <w:spacing w:after="60"/>
      </w:pPr>
      <w:r>
        <w:t xml:space="preserve">Thông tư 67/2023/TT-BTC (hiệu lực 2/11/2023): ngân hàng không được tư vấn, giới thiệu, chào bán bảo hiểm liên kết đầu tư cho khách trong </w:t>
      </w:r>
      <w:r>
        <w:rPr>
          <w:b/>
          <w:bCs/>
        </w:rPr>
        <w:t xml:space="preserve">60 ngày trước và 60 ngày sau</w:t>
      </w:r>
      <w:r>
        <w:t xml:space="preserve"> ngày giải ngân toàn bộ khoản vay (U13, </w:t>
      </w:r>
      <w:r>
        <w:rPr>
          <w:b/>
          <w:bCs/>
        </w:rPr>
        <w:t xml:space="preserve">đã KCC</w:t>
      </w:r>
      <w:r>
        <w:t xml:space="preserve">).</w:t>
      </w:r>
    </w:p>
    <w:p>
      <w:pPr>
        <w:spacing w:after="120"/>
      </w:pPr>
      <w:r>
        <w:rPr>
          <w:i/>
          <w:iCs/>
        </w:rPr>
        <w:t xml:space="preserve">Nhận định của người soạn:</w:t>
      </w:r>
      <w:r>
        <w:t xml:space="preserve"> quy định trên nhắm vào hoạt động bán bảo hiểm của ngân hàng, không trực tiếp vào sự kiện. Nhưng nó cho thấy khách hàng và cơ quan quản lý </w:t>
      </w:r>
      <w:r>
        <w:rPr>
          <w:b/>
          <w:bCs/>
        </w:rPr>
        <w:t xml:space="preserve">rất nhạy cảm</w:t>
      </w:r>
      <w:r>
        <w:t xml:space="preserve"> với việc ngân hàng “bán kèm” bảo hiểm. Ở gala của An Phát, nếu Bình An </w:t>
      </w:r>
      <w:r>
        <w:rPr>
          <w:b/>
          <w:bCs/>
        </w:rPr>
        <w:t xml:space="preserve">chào bán</w:t>
      </w:r>
      <w:r>
        <w:t xml:space="preserve"> sản phẩm tại chỗ, rủi ro uy tín rơi vào </w:t>
      </w:r>
      <w:r>
        <w:rPr>
          <w:b/>
          <w:bCs/>
        </w:rPr>
        <w:t xml:space="preserve">An Phát</w:t>
      </w:r>
      <w:r>
        <w:t xml:space="preserve"> trước tiên. Vì vậy điểm chạm của Bình An nên là </w:t>
      </w:r>
      <w:r>
        <w:rPr>
          <w:b/>
          <w:bCs/>
        </w:rPr>
        <w:t xml:space="preserve">kiến thức và tư vấn theo lịch hẹn</w:t>
      </w:r>
      <w:r>
        <w:t xml:space="preserve">, không phải bán hàng.</w:t>
      </w:r>
    </w:p>
    <w:p>
      <w:pPr>
        <w:spacing w:after="120"/>
      </w:pPr>
      <w:r>
        <w:rPr>
          <w:rFonts w:ascii="Courier New" w:cs="Courier New" w:eastAsia="Courier New" w:hAnsi="Courier New"/>
        </w:rPr>
        <w:t xml:space="preserve">[VERIFY: quy định hiện hành về hoạt động giới thiệu bảo hiểm tại sự kiện do ngân hàng tổ chức cho khách hàng doanh nghiệp — hỏi pháp chế trước khi dạy chi tiết]</w:t>
      </w:r>
    </w:p>
    <w:p>
      <w:pPr>
        <w:pStyle w:val="ListParagraph"/>
        <w:numPr>
          <w:ilvl w:val="0"/>
          <w:numId w:val="2"/>
        </w:numPr>
        <w:spacing w:after="60"/>
      </w:pPr>
      <w:r>
        <w:rPr>
          <w:b/>
          <w:bCs/>
        </w:rPr>
        <w:t xml:space="preserve">Dữ liệu khách:</w:t>
      </w:r>
      <w:r>
        <w:t xml:space="preserve"> chia sẻ danh sách khách của An Phát cho nhà tài trợ cần </w:t>
      </w:r>
      <w:r>
        <w:rPr>
          <w:b/>
          <w:bCs/>
        </w:rPr>
        <w:t xml:space="preserve">sự đồng ý của khách</w:t>
      </w:r>
      <w:r>
        <w:t xml:space="preserve">. </w:t>
      </w:r>
      <w:r>
        <w:rPr>
          <w:rFonts w:ascii="Courier New" w:cs="Courier New" w:eastAsia="Courier New" w:hAnsi="Courier New"/>
        </w:rPr>
        <w:t xml:space="preserve">[VERIFY: văn bản hiện hành về bảo vệ dữ liệu cá nhân tại Việt Nam áp dụng cho việc chia sẻ danh sách khách mời — chưa có trong tư liệu]</w:t>
      </w:r>
    </w:p>
    <w:p>
      <w:pPr>
        <w:pStyle w:val="Heading2"/>
      </w:pPr>
      <w:r>
        <w:t xml:space="preserve">3.4 Checklist chọn điểm chạm cho nhà tài trợ (dùng ngay ở S6)</w:t>
      </w:r>
    </w:p>
    <w:p>
      <w:pPr>
        <w:pStyle w:val="ListParagraph"/>
        <w:numPr>
          <w:ilvl w:val="0"/>
          <w:numId w:val="6"/>
        </w:numPr>
        <w:spacing w:after="60"/>
      </w:pPr>
      <w:r>
        <w:t xml:space="preserve">Điểm chạm này </w:t>
      </w:r>
      <w:r>
        <w:rPr>
          <w:b/>
          <w:bCs/>
        </w:rPr>
        <w:t xml:space="preserve">khách được lợi gì</w:t>
      </w:r>
      <w:r>
        <w:t xml:space="preserve">?</w:t>
      </w:r>
    </w:p>
    <w:p>
      <w:pPr>
        <w:pStyle w:val="ListParagraph"/>
        <w:numPr>
          <w:ilvl w:val="0"/>
          <w:numId w:val="6"/>
        </w:numPr>
        <w:spacing w:after="60"/>
      </w:pPr>
      <w:r>
        <w:t xml:space="preserve">Nhà tài trợ đạt </w:t>
      </w:r>
      <w:r>
        <w:rPr>
          <w:b/>
          <w:bCs/>
        </w:rPr>
        <w:t xml:space="preserve">mục tiêu nào</w:t>
      </w:r>
      <w:r>
        <w:t xml:space="preserve"> (ROO/ROI, cấp mấy)?</w:t>
      </w:r>
    </w:p>
    <w:p>
      <w:pPr>
        <w:pStyle w:val="ListParagraph"/>
        <w:numPr>
          <w:ilvl w:val="0"/>
          <w:numId w:val="6"/>
        </w:numPr>
        <w:spacing w:after="60"/>
      </w:pPr>
      <w:r>
        <w:t xml:space="preserve">Có </w:t>
      </w:r>
      <w:r>
        <w:rPr>
          <w:b/>
          <w:bCs/>
        </w:rPr>
        <w:t xml:space="preserve">làm phiền</w:t>
      </w:r>
      <w:r>
        <w:t xml:space="preserve"> hay làm gián đoạn trải nghiệm không?</w:t>
      </w:r>
    </w:p>
    <w:p>
      <w:pPr>
        <w:pStyle w:val="ListParagraph"/>
        <w:numPr>
          <w:ilvl w:val="0"/>
          <w:numId w:val="6"/>
        </w:numPr>
        <w:spacing w:after="60"/>
      </w:pPr>
      <w:r>
        <w:t xml:space="preserve">Có rủi ro </w:t>
      </w:r>
      <w:r>
        <w:rPr>
          <w:b/>
          <w:bCs/>
        </w:rPr>
        <w:t xml:space="preserve">pháp lý, uy tín</w:t>
      </w:r>
      <w:r>
        <w:t xml:space="preserve"> cho Key Account không?</w:t>
      </w:r>
    </w:p>
    <w:p>
      <w:pPr>
        <w:pStyle w:val="ListParagraph"/>
        <w:numPr>
          <w:ilvl w:val="0"/>
          <w:numId w:val="6"/>
        </w:numPr>
        <w:spacing w:after="60"/>
      </w:pPr>
      <w:r>
        <w:rPr>
          <w:b/>
          <w:bCs/>
        </w:rPr>
        <w:t xml:space="preserve">Đo</w:t>
      </w:r>
      <w:r>
        <w:t xml:space="preserve"> bằng chỉ số gì, ai cung cấp dữ liệu?</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W09_activity_S6_ban_do_diem_cham.md</w:t>
      </w:r>
      <w:r>
        <w:t xml:space="preserve">).</w:t>
      </w:r>
    </w:p>
    <w:p>
      <w:pPr>
        <w:pStyle w:val="Heading2"/>
      </w:pPr>
      <w:r>
        <w:t xml:space="preserve">S7 — Tổng hợp (3 phút)</w:t>
      </w:r>
    </w:p>
    <w:p>
      <w:pPr>
        <w:pStyle w:val="ListParagraph"/>
        <w:numPr>
          <w:ilvl w:val="0"/>
          <w:numId w:val="7"/>
        </w:numPr>
        <w:spacing w:after="60"/>
      </w:pPr>
      <w:r>
        <w:rPr>
          <w:b/>
          <w:bCs/>
        </w:rPr>
        <w:t xml:space="preserve">9.1:</w:t>
      </w:r>
      <w:r>
        <w:t xml:space="preserve"> Nhà tài trợ mua quyền lợi, nhà đầu tư chia sẻ rủi ro – lợi nhuận. Lợi ích phải có cho cả nhà tài trợ, Key Account, khách của Key Account và agency. Tài trợ là chuyển giao hình ảnh hai chiều.</w:t>
      </w:r>
    </w:p>
    <w:p>
      <w:pPr>
        <w:pStyle w:val="ListParagraph"/>
        <w:numPr>
          <w:ilvl w:val="0"/>
          <w:numId w:val="7"/>
        </w:numPr>
        <w:spacing w:after="60"/>
      </w:pPr>
      <w:r>
        <w:rPr>
          <w:b/>
          <w:bCs/>
        </w:rPr>
        <w:t xml:space="preserve">9.2:</w:t>
      </w:r>
      <w:r>
        <w:t xml:space="preserve"> Đề xuất win-win bắt đầu từ </w:t>
      </w:r>
      <w:r>
        <w:rPr>
          <w:b/>
          <w:bCs/>
        </w:rPr>
        <w:t xml:space="preserve">mục tiêu</w:t>
      </w:r>
      <w:r>
        <w:t xml:space="preserve"> nhà tài trợ, có </w:t>
      </w:r>
      <w:r>
        <w:rPr>
          <w:b/>
          <w:bCs/>
        </w:rPr>
        <w:t xml:space="preserve">kế hoạch kích hoạt</w:t>
      </w:r>
      <w:r>
        <w:t xml:space="preserve">, kết thúc bằng </w:t>
      </w:r>
      <w:r>
        <w:rPr>
          <w:b/>
          <w:bCs/>
        </w:rPr>
        <w:t xml:space="preserve">cam kết đo lường</w:t>
      </w:r>
      <w:r>
        <w:t xml:space="preserve"> (ROI + ROO) ghi vào hợp đồng.</w:t>
      </w:r>
    </w:p>
    <w:p>
      <w:pPr>
        <w:pStyle w:val="ListParagraph"/>
        <w:numPr>
          <w:ilvl w:val="0"/>
          <w:numId w:val="7"/>
        </w:numPr>
        <w:spacing w:after="60"/>
      </w:pPr>
      <w:r>
        <w:rPr>
          <w:b/>
          <w:bCs/>
        </w:rPr>
        <w:t xml:space="preserve">9.3:</w:t>
      </w:r>
      <w:r>
        <w:t xml:space="preserve"> Gắn nhà tài trợ vào điểm chạm để </w:t>
      </w:r>
      <w:r>
        <w:rPr>
          <w:b/>
          <w:bCs/>
        </w:rPr>
        <w:t xml:space="preserve">làm giàu</w:t>
      </w:r>
      <w:r>
        <w:t xml:space="preserve"> hành trình của khách hàng của Key Account, và </w:t>
      </w:r>
      <w:r>
        <w:rPr>
          <w:b/>
          <w:bCs/>
        </w:rPr>
        <w:t xml:space="preserve">bảo vệ</w:t>
      </w:r>
      <w:r>
        <w:t xml:space="preserve"> Key Account khỏi rủi ro pháp lý, uy tín.</w:t>
      </w:r>
    </w:p>
    <w:p>
      <w:pPr>
        <w:spacing w:after="120"/>
      </w:pPr>
      <w:r>
        <w:rPr>
          <w:b/>
          <w:bCs/>
        </w:rPr>
        <w:t xml:space="preserve">Liên hệ Stakeholder Management Plan:</w:t>
      </w:r>
      <w:r>
        <w:t xml:space="preserve"> với khách hàng từ dự án cũ, nhóm bổ sung một trang: 1–2 nhà tài trợ phù hợp, quyền lợi gắn điểm chạm, chỉ số ROO/ROI. Làm dần trên lớp, không giao về nhà.</w:t>
      </w:r>
    </w:p>
    <w:p>
      <w:pPr>
        <w:pStyle w:val="Heading2"/>
      </w:pPr>
      <w:r>
        <w:t xml:space="preserve">Tài liệu tham khảo cho buổi này</w:t>
      </w:r>
    </w:p>
    <w:p>
      <w:pPr>
        <w:pStyle w:val="ListParagraph"/>
        <w:numPr>
          <w:ilvl w:val="0"/>
          <w:numId w:val="2"/>
        </w:numPr>
        <w:spacing w:after="60"/>
      </w:pPr>
      <w:r>
        <w:t xml:space="preserve">Cornwell, T. B. (2019). Less “sponsorship as advertising” and more sponsorship-linked marketing as authentic engagement. </w:t>
      </w:r>
      <w:r>
        <w:rPr>
          <w:i/>
          <w:iCs/>
        </w:rPr>
        <w:t xml:space="preserve">Journal of Advertising, 48</w:t>
      </w:r>
      <w:r>
        <w:t xml:space="preserve">(1), 49–60.</w:t>
      </w:r>
    </w:p>
    <w:p>
      <w:pPr>
        <w:pStyle w:val="ListParagraph"/>
        <w:numPr>
          <w:ilvl w:val="0"/>
          <w:numId w:val="2"/>
        </w:numPr>
        <w:spacing w:after="60"/>
      </w:pPr>
      <w:r>
        <w:t xml:space="preserve">Cornwell, T. B., &amp; Maignan, I. (1998). An international review of sponsorship research. </w:t>
      </w:r>
      <w:r>
        <w:rPr>
          <w:i/>
          <w:iCs/>
        </w:rPr>
        <w:t xml:space="preserve">Journal of Advertising, 27</w:t>
      </w:r>
      <w:r>
        <w:t xml:space="preserve">(1), 1–21.</w:t>
      </w:r>
    </w:p>
    <w:p>
      <w:pPr>
        <w:pStyle w:val="ListParagraph"/>
        <w:numPr>
          <w:ilvl w:val="0"/>
          <w:numId w:val="2"/>
        </w:numPr>
        <w:spacing w:after="60"/>
      </w:pPr>
      <w:r>
        <w:t xml:space="preserve">Meenaghan, J. A. (1983). Commercial sponsorship. </w:t>
      </w:r>
      <w:r>
        <w:rPr>
          <w:i/>
          <w:iCs/>
        </w:rPr>
        <w:t xml:space="preserve">European Journal of Marketing, 17</w:t>
      </w:r>
      <w:r>
        <w:t xml:space="preserve">(7), 5–73.</w:t>
      </w:r>
    </w:p>
    <w:p>
      <w:pPr>
        <w:pStyle w:val="ListParagraph"/>
        <w:numPr>
          <w:ilvl w:val="0"/>
          <w:numId w:val="2"/>
        </w:numPr>
        <w:spacing w:after="60"/>
      </w:pPr>
      <w:r>
        <w:t xml:space="preserve">O’Reilly, N., &amp; Lafrance Horning, D. (2013). Leveraging sponsorship: The activation ratio. </w:t>
      </w:r>
      <w:r>
        <w:rPr>
          <w:i/>
          <w:iCs/>
        </w:rPr>
        <w:t xml:space="preserve">Sport Management Review, 16</w:t>
      </w:r>
      <w:r>
        <w:t xml:space="preserve">(4), 424–437.</w:t>
      </w:r>
    </w:p>
    <w:p>
      <w:pPr>
        <w:spacing w:after="120"/>
      </w:pPr>
      <w:r>
        <w:t xml:space="preserve">Báo cáo ngành, bài báo, case và văn bản pháp luật: xem danh mục APA đầy đủ (U01–U15) trong </w:t>
      </w:r>
      <w:r>
        <w:rPr>
          <w:rFonts w:ascii="Courier New" w:cs="Courier New" w:eastAsia="Courier New" w:hAnsi="Courier New"/>
        </w:rPr>
        <w:t xml:space="preserve">buoi-09_tu-lieu-tong-hop.md</w:t>
      </w:r>
      <w:r>
        <w:t xml:space="preserve">, mục 6.</w:t>
      </w:r>
    </w:p>
    <w:p>
      <w:pPr>
        <w:pStyle w:val="Title"/>
      </w:pPr>
      <w:r>
        <w:t xml:space="preserve">Dàn ý slide</w:t>
      </w:r>
    </w:p>
    <w:p>
      <w:pPr>
        <w:pStyle w:val="Heading1"/>
      </w:pPr>
      <w:r>
        <w:t xml:space="preserve">Dàn ý slide — Buổi 9: Resource Matching: Investors &amp; Sponsors</w:t>
      </w:r>
    </w:p>
    <w:p>
      <w:pPr>
        <w:spacing w:after="120"/>
      </w:pPr>
      <w:r>
        <w:t xml:space="preserve">EVM1110E · 24 slide · Mỗi slide một ý; tiêu đề viết thành </w:t>
      </w:r>
      <w:r>
        <w:rPr>
          <w:b/>
          <w:bCs/>
        </w:rPr>
        <w:t xml:space="preserve">câu khẳng định</w:t>
      </w:r>
      <w:r>
        <w:t xml:space="preserve">. Hình có mô tả thay thế (alt-text); sơ đồ và bảng phân biệt bằng hoa văn/ký hiệu, không chỉ bằng màu. Số liệu ghi mã nguồn nhỏ ở chân slide. Logo thương hiệu thật (Techcombank, VIB, VPBank, Yeah1) chỉ dùng khi GV chấp nhận; có thể thay bằng tên chữ.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
        <w:gridCol w:w="407"/>
        <w:gridCol w:w="3059"/>
        <w:gridCol w:w="3059"/>
        <w:gridCol w:w="2706"/>
      </w:tblGrid>
      <w:tr>
        <w:trPr>
          <w:tblHeader/>
        </w:trPr>
        <w:tc>
          <w:tcPr>
            <w:tcW w:type="dxa" w:w="4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0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0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7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9</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Resource Matching: Investors &amp; Sponsors</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Phần 3</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sách giảm 10%, hai đối tác muốn “có mặt” — cứu cánh hay rắc rối?</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Tình huống 3 dòng (giả định)</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3: mỗi bên liên quan được gắn vào hành trình của Key Account</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Key Account ở giữa; Buổi 9 nhà tài trợ – đầu tư, 10 nhà cung cấp – địa điểm, 11 truyền thông – KOL, 12 xung đột</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trợ bắt đầu từ mục tiêu của nhà tài trợ, không từ chỗ in logo</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Meenaghan (U01)</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mua quyền lợi, nhà đầu tư chia sẻ rủi ro – lợi nhuận</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4 dòng (lecture notes §1.2)</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chú: định nghĩa làm việc của môn</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Techcombank: từ nhà tài trợ kim cương đến “nhà đồng đầu tư”</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Dòng thời gian 2024 → 2025; trích Znews (U08); Yeah1: 845/1.000 tỷ doanh thu từ quảng cáo – tài trợ (U11)</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vì sao muốn chuyển?</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thỏa thuận tốt có lợi cho bốn bên</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4 bên × hữu hình/vô hình (lecture notes §1.3). </w:t>
            </w:r>
            <w:r>
              <w:rPr>
                <w:i/>
                <w:iCs/>
                <w:sz w:val="20"/>
                <w:szCs w:val="20"/>
              </w:rPr>
              <w:t xml:space="preserve">Alt: bảng bốn hàng hai cột</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đo lợi ích bằng hành vi khách: gửi tiền, mở thẻ</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thẻ: Techcombank CASA ở mức ~40% (U08) · VIB thẻ +44%/năm (U09) · VPBank presale cho chủ thẻ (U10)</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Nhấn: “ở mức”, không phải “tăng”; VIB → tách tác động</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Ở Việt Nam, nhà tài trợ quyết định sự kiện có khả thi hay không</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50% chi phí (U14) · 35% tìm tài trợ (U15)</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 nối Buổi 1 (primary/secondary)</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trợ là chuyển giao hình ảnh hai chiều</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Case Happy Day Concert (U12): thương hiệu bị giả mạo liên đới → nghệ sĩ rút</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không xin tài trợ cho mình — agency biến đối tác của Key Account thành giá trị cho khách</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4 bên (lecture notes §1.6). </w:t>
            </w:r>
            <w:r>
              <w:rPr>
                <w:i/>
                <w:iCs/>
                <w:sz w:val="20"/>
                <w:szCs w:val="20"/>
              </w:rPr>
              <w:t xml:space="preserve">Alt: agency ở giữa, nối nhà tài trợ, Key Account và khách</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chuyển S3</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5 ứng viên, 3 bước)</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8 / 7 / 5 phút</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“Gói 400 triệu mang lại gì cho tôi?”</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của Bình An</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xuất win-win có 7 phần</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Mục tiêu → khán giả → quyền lợi → kích hoạt → đo lường → điều khoản → giá</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Cấu trúc do người soạn dựng từ U01, U04–U07</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Win-win nghĩa là cả nhà tài trợ, Key Account và khách đều được lợi</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vòng giao nhau + agency ở giữa. </w:t>
            </w:r>
            <w:r>
              <w:rPr>
                <w:i/>
                <w:iCs/>
                <w:sz w:val="20"/>
                <w:szCs w:val="20"/>
              </w:rPr>
              <w:t xml:space="preserve">Alt: ba vòng tròn giao nhau</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lợi không kích hoạt là quyền lợi bỏ phí</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Activation ratio: khuyến nghị 1:1–8:1 (U04) vs thực tế 0,81:1 (U05)</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U05 chưa KCC</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tài trợ bằng cả ROI và ROO</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ROI/ROO (U06); 37% có quy trình; 40% ghi vào hợp đồng</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liệu Bắc Mỹ 2018</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Khung 6 cấp của Buổi 8 cũng dùng được cho nhà tài trợ</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Bậc thang 0–5 với ví dụ Bình An (lecture notes §2.3)</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năm đầu có thể âm — vì vậy phải thống nhất mục tiêu từ đầu</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tính (giả định): chi phí 400, lợi ích quy cho sự kiện 300 → −25%</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GIẢ ĐỊNH</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trợ phải làm giàu hành trình, không làm gián đoạn</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Bizzabo (U07); Cornwell (U03)</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giai đoạn trước – trong – sau có điểm chạm cho nhà tài trợ</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hành trình 3 giai đoạn (lecture notes §3.2)</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3</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chạm của nhà tài trợ phải bảo vệ Key Account</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tư 67/2023: 60 ngày trước/sau giải ngân (U13) · dữ liệu khách cần sự đồng ý</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pháp chế; bảo vệ dữ liệu]</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Checklist 5 câu cho mỗi điểm chạm</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được gì · nhà tài trợ đạt gì · làm phiền không · rủi ro cho Key Account · đo bằng gì</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Để chiếu suốt S6</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2 — bảng 6 cột + luật xoay trạm)</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15 / 4 / 4 / 4 phút</w:t>
            </w: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9</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9.1 tài trợ vs đầu tư, lợi ích 4 bên · 9.2 đề xuất 7 phần, ROI + ROO · 9.3 điểm chạm làm giàu, bảo vệ Key Account; dòng cuối: trang mới cho SMP</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4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0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10</w:t>
            </w:r>
          </w:p>
        </w:tc>
        <w:tc>
          <w:tcPr>
            <w:tcW w:type="dxa" w:w="27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số phiếu S1; tính ví dụ ROI từng bước ở S4; ghi các “lo ngại” lặp lại nhiều nhất khi chốt S6.</w:t>
      </w:r>
    </w:p>
    <w:p>
      <w:pPr>
        <w:pStyle w:val="Heading2"/>
      </w:pPr>
      <w:r>
        <w:t xml:space="preserve">Cập nhật 4/10/2026: deck đã dựng (</w:t>
      </w:r>
      <w:r>
        <w:rPr>
          <w:rFonts w:ascii="Courier New" w:cs="Courier New" w:eastAsia="Courier New" w:hAnsi="Courier New"/>
        </w:rPr>
        <w:t xml:space="preserve">slides/W09_slides.pptx</w:t>
      </w:r>
      <w:r>
        <w:t xml:space="preserve">, bản Roboto </w:t>
      </w:r>
      <w:r>
        <w:rPr>
          <w:rFonts w:ascii="Courier New" w:cs="Courier New" w:eastAsia="Courier New" w:hAnsi="Courier New"/>
        </w:rPr>
        <w:t xml:space="preserve">W09_slides_Roboto.pptx</w:t>
      </w:r>
      <w:r>
        <w:t xml:space="preserve">)</w:t>
      </w:r>
    </w:p>
    <w:p>
      <w:pPr>
        <w:spacing w:after="120"/>
      </w:pPr>
      <w:r>
        <w:t xml:space="preserve">Deck có </w:t>
      </w:r>
      <w:r>
        <w:rPr>
          <w:b/>
          <w:bCs/>
        </w:rPr>
        <w:t xml:space="preserve">40 slide</w:t>
      </w:r>
      <w:r>
        <w:t xml:space="preserve"> (outline gốc 24 slide), mỗi slide có lời giảng và ghi chú GV. Phần thêm chủ yếu lấy từ </w:t>
      </w:r>
      <w:r>
        <w:rPr>
          <w:b/>
          <w:bCs/>
        </w:rPr>
        <w:t xml:space="preserve">Cornwell (2020) bản đầy đủ</w:t>
      </w:r>
      <w:r>
        <w:t xml:space="preserve"> (U22) và Luật Quảng cáo 2025 (U23):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6023"/>
        <w:gridCol w:w="2812"/>
      </w:tblGrid>
      <w:tr>
        <w:trPr>
          <w:tblHeader/>
        </w:trPr>
        <w:tc>
          <w:tcPr>
            <w:tcW w:type="dxa" w:w="8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Slide</w:t>
            </w:r>
          </w:p>
        </w:tc>
        <w:tc>
          <w:tcPr>
            <w:tcW w:type="dxa" w:w="60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thêm</w:t>
            </w:r>
          </w:p>
        </w:tc>
        <w:tc>
          <w:tcPr>
            <w:tcW w:type="dxa" w:w="28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định nghĩa: Meenaghan · Cornwell (tr. 92) · Farrelly &amp; Quester</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U01, U22, U20</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Mô hình quy trình tài trợ 6 bước, có vòng lặp</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Hình 2.2, tr. 28–30</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đặc điểm hợp tác thành công; cam kết của nhà tài trợ → hài lòng</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Hình 3.3; U19</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Luật Quảng cáo 2025: người tổ chức chương trình là “người phát hành quảng cáo”</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U23 </w:t>
            </w:r>
            <w:r>
              <w:rPr>
                <w:rFonts w:ascii="Courier New" w:cs="Courier New" w:eastAsia="Courier New" w:hAnsi="Courier New"/>
                <w:sz w:val="20"/>
                <w:szCs w:val="20"/>
              </w:rPr>
              <w:t xml:space="preserve">[VERIFY: pháp chế]</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100 điểm đánh giá nhà tài trợ tiềm năng</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Bảng 3.1</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21–22</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Gói chuẩn hay đề xuất may đo; yếu tố quyết định giá tài trợ</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tr. 36–41</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24, 26</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Leveraging khác activation; các việc phục vụ nhà tài trợ (servicing)</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tr. 92–94, 108</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27</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loại lợi tức: ROI, ROO, ROP, ROE</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Bảng 9.1</w:t>
            </w:r>
          </w:p>
        </w:tc>
      </w:tr>
      <w:tr>
        <w:trPr>
          <w:tblHeader w:val="off"/>
        </w:trPr>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6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khoảng cách làm quan hệ tài trợ rạn nứt (Farrelly, 2010)</w:t>
            </w:r>
          </w:p>
        </w:tc>
        <w:tc>
          <w:tcPr>
            <w:tcW w:type="dxa" w:w="2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Cornwell tr. 186–187</w:t>
            </w:r>
          </w:p>
        </w:tc>
      </w:tr>
    </w:tbl>
    <w:p>
      <w:pPr>
        <w:spacing w:after="80" w:before="0"/>
      </w:pPr>
    </w:p>
    <w:p>
      <w:pPr>
        <w:spacing w:after="120"/>
      </w:pPr>
      <w:r>
        <w:rPr>
          <w:b/>
          <w:bCs/>
        </w:rPr>
        <w:t xml:space="preserve">Thay đổi so với lecture notes:</w:t>
      </w:r>
    </w:p>
    <w:p>
      <w:pPr>
        <w:pStyle w:val="ListParagraph"/>
        <w:numPr>
          <w:ilvl w:val="0"/>
          <w:numId w:val="2"/>
        </w:numPr>
        <w:spacing w:after="60"/>
      </w:pPr>
      <w:r>
        <w:t xml:space="preserve">Cấu trúc đề xuất 7 phần (§2.1) </w:t>
      </w:r>
      <w:r>
        <w:rPr>
          <w:b/>
          <w:bCs/>
        </w:rPr>
        <w:t xml:space="preserve">nay có nguồn đối chiếu</w:t>
      </w:r>
      <w:r>
        <w:t xml:space="preserve">: Cornwell tr. 37–38. Việc gộp thành 7 phần vẫn là quyết định của người soạn.</w:t>
      </w:r>
    </w:p>
    <w:p>
      <w:pPr>
        <w:pStyle w:val="ListParagraph"/>
        <w:numPr>
          <w:ilvl w:val="0"/>
          <w:numId w:val="2"/>
        </w:numPr>
        <w:spacing w:after="60"/>
      </w:pPr>
      <w:r>
        <w:t xml:space="preserve">§2.2 dùng “activation” theo nghĩa rộng. Slide 24 tách theo Cornwell: leveraging là mọi chi tiêu đi kèm, activation là phần tạo tương tác.</w:t>
      </w:r>
    </w:p>
    <w:p>
      <w:pPr>
        <w:spacing w:after="120"/>
      </w:pPr>
      <w:r>
        <w:rPr>
          <w:b/>
          <w:bCs/>
        </w:rPr>
        <w:t xml:space="preserve">Thời lượng:</w:t>
      </w:r>
      <w:r>
        <w:t xml:space="preserve"> S2 có 13 slide trong 25 phút và S4 có 12 slide trong 25 phút, nên khá dày. Ghi chú GV đã đánh dấu chỗ có thể lướt nhanh: slide 10 (bỏ VIB), slide 22, slide 30 (chỉ đọc cột 1 và 3).</w:t>
      </w:r>
    </w:p>
    <w:p>
      <w:pPr>
        <w:spacing w:after="120"/>
      </w:pPr>
      <w:r>
        <w:rPr>
          <w:b/>
          <w:bCs/>
        </w:rPr>
        <w:t xml:space="preserve">Chờ GV:</w:t>
      </w:r>
      <w:r>
        <w:t xml:space="preserve"> dùng ví dụ đề án sinh viên (U25, hợp đồng ngân hàng trả theo số tài khoản mở) hay không. Hiện ví dụ này chỉ nằm trong ghi chú GV ở slide 10, chưa chiếu.</w:t>
      </w:r>
    </w:p>
    <w:p>
      <w:pPr>
        <w:pStyle w:val="Title"/>
      </w:pPr>
      <w:r>
        <w:t xml:space="preserve">Phiếu hoạt động</w:t>
      </w:r>
    </w:p>
    <w:p>
      <w:pPr>
        <w:pStyle w:val="Heading1"/>
      </w:pPr>
      <w:r>
        <w:t xml:space="preserve">Thực hành 1 — Chọn nhà tài trợ cho gala của Key Account</w:t>
      </w:r>
    </w:p>
    <w:p>
      <w:pPr>
        <w:spacing w:after="120"/>
      </w:pPr>
      <w:r>
        <w:t xml:space="preserve">EVM1110E · Buổi 9 · Đoạn S3 (20 phút)</w:t>
      </w:r>
    </w:p>
    <w:p>
      <w:pPr>
        <w:pStyle w:val="Heading2"/>
      </w:pPr>
      <w:r>
        <w:t xml:space="preserve">Vì sao chúng ta làm bài này</w:t>
      </w:r>
    </w:p>
    <w:p>
      <w:pPr>
        <w:spacing w:after="120"/>
      </w:pPr>
      <w:r>
        <w:t xml:space="preserve">Không phải khoản tiền tài trợ nào cũng nên nhận. Bài này luyện cách agency </w:t>
      </w:r>
      <w:r>
        <w:rPr>
          <w:b/>
          <w:bCs/>
        </w:rPr>
        <w:t xml:space="preserve">đánh giá nhà tài trợ thay mặt Key Account</w:t>
      </w:r>
      <w:r>
        <w:t xml:space="preserve">: phù hợp với ai, mang lại lợi ích gì cho từng bên, rủi ro ở đâu, và đó nên là quan hệ </w:t>
      </w:r>
      <w:r>
        <w:rPr>
          <w:b/>
          <w:bCs/>
        </w:rPr>
        <w:t xml:space="preserve">tài trợ</w:t>
      </w:r>
      <w:r>
        <w:t xml:space="preserve"> hay </w:t>
      </w:r>
      <w:r>
        <w:rPr>
          <w:b/>
          <w:bCs/>
        </w:rPr>
        <w:t xml:space="preserve">đầu tư</w:t>
      </w:r>
      <w:r>
        <w:t xml:space="preserve">.</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b/>
          <w:bCs/>
          <w:color w:val="333F55"/>
          <w:sz w:val="20"/>
          <w:szCs w:val="20"/>
        </w:rPr>
        <w:t xml:space="preserve">Ngân hàng An Phát</w:t>
      </w:r>
      <w:r>
        <w:rPr>
          <w:color w:val="333F55"/>
          <w:sz w:val="20"/>
          <w:szCs w:val="20"/>
        </w:rPr>
        <w:t xml:space="preserve"> tổ chức </w:t>
      </w:r>
      <w:r>
        <w:rPr>
          <w:b/>
          <w:bCs/>
          <w:color w:val="333F55"/>
          <w:sz w:val="20"/>
          <w:szCs w:val="20"/>
        </w:rPr>
        <w:t xml:space="preserve">Hội nghị khách hàng + gala cuối năm</w:t>
      </w:r>
      <w:r>
        <w:rPr>
          <w:color w:val="333F55"/>
          <w:sz w:val="20"/>
          <w:szCs w:val="20"/>
        </w:rPr>
        <w:t xml:space="preserve"> cho khoảng </w:t>
      </w:r>
      <w:r>
        <w:rPr>
          <w:b/>
          <w:bCs/>
          <w:color w:val="333F55"/>
          <w:sz w:val="20"/>
          <w:szCs w:val="20"/>
        </w:rPr>
        <w:t xml:space="preserve">600 khách là lãnh đạo doanh nghiệp VIP</w:t>
      </w:r>
      <w:r>
        <w:rPr>
          <w:color w:val="333F55"/>
          <w:sz w:val="20"/>
          <w:szCs w:val="20"/>
        </w:rPr>
        <w:t xml:space="preserve">. </w:t>
      </w:r>
      <w:r>
        <w:rPr>
          <w:b/>
          <w:bCs/>
          <w:color w:val="333F55"/>
          <w:sz w:val="20"/>
          <w:szCs w:val="20"/>
        </w:rPr>
        <w:t xml:space="preserve">Nova Events</w:t>
      </w:r>
      <w:r>
        <w:rPr>
          <w:color w:val="333F55"/>
          <w:sz w:val="20"/>
          <w:szCs w:val="20"/>
        </w:rPr>
        <w:t xml:space="preserve"> là agency. Ngân sách năm nay giảm khoảng 10% (khoảng 220 triệu đồng). Anh Minh (GĐ Marketing) nhờ Nova đánh giá 5 bên muốn tài trợ. Gala </w:t>
      </w:r>
      <w:r>
        <w:rPr>
          <w:b/>
          <w:bCs/>
          <w:color w:val="333F55"/>
          <w:sz w:val="20"/>
          <w:szCs w:val="20"/>
        </w:rPr>
        <w:t xml:space="preserve">không bán vé</w:t>
      </w:r>
      <w:r>
        <w:rPr>
          <w:color w:val="333F55"/>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
        <w:gridCol w:w="2353"/>
        <w:gridCol w:w="2969"/>
        <w:gridCol w:w="504"/>
        <w:gridCol w:w="3364"/>
      </w:tblGrid>
      <w:tr>
        <w:trPr>
          <w:tblHeader/>
        </w:trPr>
        <w:tc>
          <w:tcPr>
            <w:tcW w:type="dxa" w:w="4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235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Ứng viên</w:t>
            </w:r>
          </w:p>
        </w:tc>
        <w:tc>
          <w:tcPr>
            <w:tcW w:type="dxa" w:w="296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hệ với An Phát</w:t>
            </w:r>
          </w:p>
        </w:tc>
        <w:tc>
          <w:tcPr>
            <w:tcW w:type="dxa" w:w="5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Đề nghị</w:t>
            </w:r>
          </w:p>
        </w:tc>
        <w:tc>
          <w:tcPr>
            <w:tcW w:type="dxa" w:w="33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Muốn gì</w:t>
            </w:r>
          </w:p>
        </w:tc>
      </w:tr>
      <w:tr>
        <w:trPr>
          <w:tblHeader w:val="off"/>
        </w:trPr>
        <w:tc>
          <w:tcPr>
            <w:tcW w:type="dxa" w:w="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2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hiểm Bình An</w:t>
            </w:r>
          </w:p>
        </w:tc>
        <w:tc>
          <w:tcPr>
            <w:tcW w:type="dxa" w:w="2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phân phối bảo hiểm qua ngân hàng lâu năm</w:t>
            </w:r>
          </w:p>
        </w:tc>
        <w:tc>
          <w:tcPr>
            <w:tcW w:type="dxa" w:w="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400 triệu</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biểu 10 phút ở gala; bàn tư vấn đặt cạnh khu tiệc</w:t>
            </w:r>
          </w:p>
        </w:tc>
      </w:tr>
      <w:tr>
        <w:trPr>
          <w:tblHeader w:val="off"/>
        </w:trPr>
        <w:tc>
          <w:tcPr>
            <w:tcW w:type="dxa" w:w="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2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GlobalCard</w:t>
            </w:r>
            <w:r>
              <w:rPr>
                <w:sz w:val="20"/>
                <w:szCs w:val="20"/>
              </w:rPr>
              <w:t xml:space="preserve"> (tổ chức thẻ quốc tế)</w:t>
            </w:r>
          </w:p>
        </w:tc>
        <w:tc>
          <w:tcPr>
            <w:tcW w:type="dxa" w:w="2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phát hành thẻ doanh nghiệp của An Phát</w:t>
            </w:r>
          </w:p>
        </w:tc>
        <w:tc>
          <w:tcPr>
            <w:tcW w:type="dxa" w:w="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300 triệu</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đãi cho chủ thẻ doanh nghiệp; nhận diện tại khu check-in</w:t>
            </w:r>
          </w:p>
        </w:tc>
      </w:tr>
      <w:tr>
        <w:trPr>
          <w:tblHeader w:val="off"/>
        </w:trPr>
        <w:tc>
          <w:tcPr>
            <w:tcW w:type="dxa" w:w="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2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điện Sao Việt</w:t>
            </w:r>
          </w:p>
        </w:tc>
        <w:tc>
          <w:tcPr>
            <w:tcW w:type="dxa" w:w="2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có quan hệ</w:t>
            </w:r>
          </w:p>
        </w:tc>
        <w:tc>
          <w:tcPr>
            <w:tcW w:type="dxa" w:w="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500 triệu</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Trưng bày 3 xe ở sảnh, cho khách lái thử; nhận danh sách khách</w:t>
            </w:r>
          </w:p>
        </w:tc>
      </w:tr>
      <w:tr>
        <w:trPr>
          <w:tblHeader w:val="off"/>
        </w:trPr>
        <w:tc>
          <w:tcPr>
            <w:tcW w:type="dxa" w:w="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2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mềm kế toán Sổ Xanh</w:t>
            </w:r>
          </w:p>
        </w:tc>
        <w:tc>
          <w:tcPr>
            <w:tcW w:type="dxa" w:w="2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có quan hệ</w:t>
            </w:r>
          </w:p>
        </w:tc>
        <w:tc>
          <w:tcPr>
            <w:tcW w:type="dxa" w:w="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 triệu</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Gian hàng giới thiệu phần mềm cho doanh nghiệp nhỏ</w:t>
            </w:r>
          </w:p>
        </w:tc>
      </w:tr>
      <w:tr>
        <w:trPr>
          <w:tblHeader w:val="off"/>
        </w:trPr>
        <w:tc>
          <w:tcPr>
            <w:tcW w:type="dxa" w:w="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2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ty tài chính tiêu dùng Nhanh Tiền</w:t>
            </w:r>
          </w:p>
        </w:tc>
        <w:tc>
          <w:tcPr>
            <w:tcW w:type="dxa" w:w="2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có quan hệ; hoạt động gần lĩnh vực của ngân hàng</w:t>
            </w:r>
          </w:p>
        </w:tc>
        <w:tc>
          <w:tcPr>
            <w:tcW w:type="dxa" w:w="5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800 triệu</w:t>
            </w:r>
          </w:p>
        </w:tc>
        <w:tc>
          <w:tcPr>
            <w:tcW w:type="dxa" w:w="3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Được gọi là “đồng tổ chức”; đề nghị </w:t>
            </w:r>
            <w:r>
              <w:rPr>
                <w:sz w:val="20"/>
                <w:szCs w:val="20"/>
              </w:rPr>
              <w:t xml:space="preserve">góp vốn và chia lợi nhuận</w:t>
            </w:r>
            <w:r>
              <w:rPr>
                <w:sz w:val="20"/>
                <w:szCs w:val="20"/>
              </w:rPr>
              <w:t xml:space="preserve"> sự kiện. Năm ngoái bị báo chí phản ánh về cách đòi nợ</w:t>
            </w:r>
          </w:p>
        </w:tc>
      </w:tr>
    </w:tbl>
    <w:p>
      <w:pPr>
        <w:spacing w:after="80" w:before="0"/>
      </w:pPr>
    </w:p>
    <w:p>
      <w:pPr>
        <w:pStyle w:val="Heading2"/>
      </w:pPr>
      <w:r>
        <w:t xml:space="preserve">Nhiệm vụ</w:t>
      </w:r>
    </w:p>
    <w:p>
      <w:pPr>
        <w:spacing w:after="120"/>
      </w:pPr>
      <w:r>
        <w:rPr>
          <w:b/>
          <w:bCs/>
        </w:rPr>
        <w:t xml:space="preserve">Bước 1 — Chấm phù hợp (8 phút).</w:t>
      </w:r>
      <w:r>
        <w:t xml:space="preserve"> Với mỗi ứng viên, chấm 1–5 cho:</w:t>
      </w:r>
    </w:p>
    <w:p>
      <w:pPr>
        <w:pStyle w:val="ListParagraph"/>
        <w:numPr>
          <w:ilvl w:val="0"/>
          <w:numId w:val="2"/>
        </w:numPr>
        <w:spacing w:after="60"/>
      </w:pPr>
      <w:r>
        <w:t xml:space="preserve">Phù hợp với </w:t>
      </w:r>
      <w:r>
        <w:rPr>
          <w:b/>
          <w:bCs/>
        </w:rPr>
        <w:t xml:space="preserve">An Phát</w:t>
      </w:r>
      <w:r>
        <w:t xml:space="preserve"> (thương hiệu, quan hệ đối tác, xung đột lợi ích?)</w:t>
      </w:r>
    </w:p>
    <w:p>
      <w:pPr>
        <w:pStyle w:val="ListParagraph"/>
        <w:numPr>
          <w:ilvl w:val="0"/>
          <w:numId w:val="2"/>
        </w:numPr>
        <w:spacing w:after="60"/>
      </w:pPr>
      <w:r>
        <w:t xml:space="preserve">Phù hợp với </w:t>
      </w:r>
      <w:r>
        <w:rPr>
          <w:b/>
          <w:bCs/>
        </w:rPr>
        <w:t xml:space="preserve">khách của An Phát</w:t>
      </w:r>
      <w:r>
        <w:t xml:space="preserve"> (600 lãnh đạo doanh nghiệp có thấy hữu ích không?)</w:t>
      </w:r>
    </w:p>
    <w:p>
      <w:pPr>
        <w:pStyle w:val="ListParagraph"/>
        <w:numPr>
          <w:ilvl w:val="0"/>
          <w:numId w:val="2"/>
        </w:numPr>
        <w:spacing w:after="60"/>
      </w:pPr>
      <w:r>
        <w:rPr>
          <w:b/>
          <w:bCs/>
        </w:rPr>
        <w:t xml:space="preserve">Rủi ro</w:t>
      </w:r>
      <w:r>
        <w:t xml:space="preserve"> (hình ảnh, pháp lý, trải nghiệm khách): 5 = rủi ro rất cao</w:t>
      </w:r>
    </w:p>
    <w:p>
      <w:pPr>
        <w:spacing w:after="120"/>
      </w:pPr>
      <w:r>
        <w:rPr>
          <w:b/>
          <w:bCs/>
        </w:rPr>
        <w:t xml:space="preserve">Bước 2 — Lợi ích cho bốn bên (7 phút).</w:t>
      </w:r>
      <w:r>
        <w:t xml:space="preserve"> Chọn </w:t>
      </w:r>
      <w:r>
        <w:rPr>
          <w:b/>
          <w:bCs/>
        </w:rPr>
        <w:t xml:space="preserve">2 ứng viên</w:t>
      </w:r>
      <w:r>
        <w:t xml:space="preserve"> nhóm đề xuất nhận. Với mỗi ứng viên, ghi 1 lợi ích </w:t>
      </w:r>
      <w:r>
        <w:rPr>
          <w:b/>
          <w:bCs/>
        </w:rPr>
        <w:t xml:space="preserve">hữu hình</w:t>
      </w:r>
      <w:r>
        <w:t xml:space="preserve"> và 1 lợi ích </w:t>
      </w:r>
      <w:r>
        <w:rPr>
          <w:b/>
          <w:bCs/>
        </w:rPr>
        <w:t xml:space="preserve">vô hình</w:t>
      </w:r>
      <w:r>
        <w:t xml:space="preserve"> cho: nhà tài trợ · An Phát · khách của An Phát · Nova.</w:t>
      </w:r>
    </w:p>
    <w:p>
      <w:pPr>
        <w:spacing w:after="120"/>
      </w:pPr>
      <w:r>
        <w:rPr>
          <w:b/>
          <w:bCs/>
        </w:rPr>
        <w:t xml:space="preserve">Bước 3 — Tài trợ hay đầu tư? (5 phút).</w:t>
      </w:r>
      <w:r>
        <w:t xml:space="preserve"> Trả lời hai câu:</w:t>
      </w:r>
    </w:p>
    <w:p>
      <w:pPr>
        <w:pStyle w:val="ListParagraph"/>
        <w:numPr>
          <w:ilvl w:val="0"/>
          <w:numId w:val="2"/>
        </w:numPr>
        <w:spacing w:after="60"/>
      </w:pPr>
      <w:r>
        <w:t xml:space="preserve">Đề nghị “góp vốn và chia lợi nhuận” của Nhanh Tiền có hợp lý với gala này không? Vì sao?</w:t>
      </w:r>
    </w:p>
    <w:p>
      <w:pPr>
        <w:pStyle w:val="ListParagraph"/>
        <w:numPr>
          <w:ilvl w:val="0"/>
          <w:numId w:val="2"/>
        </w:numPr>
        <w:spacing w:after="60"/>
      </w:pPr>
      <w:r>
        <w:t xml:space="preserve">Với ứng viên nhóm </w:t>
      </w:r>
      <w:r>
        <w:rPr>
          <w:b/>
          <w:bCs/>
        </w:rPr>
        <w:t xml:space="preserve">từ chối</w:t>
      </w:r>
      <w:r>
        <w:t xml:space="preserve">, viết </w:t>
      </w:r>
      <w:r>
        <w:rPr>
          <w:b/>
          <w:bCs/>
        </w:rPr>
        <w:t xml:space="preserve">1 câu</w:t>
      </w:r>
      <w:r>
        <w:t xml:space="preserve"> Nova sẽ nói với anh Minh để giải thích.</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(8 · 7 · 5). GV chốt ngay trong đoạn.</w:t>
      </w:r>
    </w:p>
    <w:p>
      <w:pPr>
        <w:pStyle w:val="ListParagraph"/>
        <w:numPr>
          <w:ilvl w:val="0"/>
          <w:numId w:val="2"/>
        </w:numPr>
        <w:spacing w:after="60"/>
      </w:pPr>
      <w:r>
        <w:rPr>
          <w:b/>
          <w:bCs/>
        </w:rPr>
        <w:t xml:space="preserve">Cần có:</w:t>
      </w:r>
      <w:r>
        <w:t xml:space="preserve"> giấy A3, bút. Làm trên bàn.</w:t>
      </w:r>
    </w:p>
    <w:p>
      <w:pPr>
        <w:pStyle w:val="Heading2"/>
      </w:pPr>
      <w:r>
        <w:t xml:space="preserve">Nộp gì</w:t>
      </w:r>
    </w:p>
    <w:p>
      <w:pPr>
        <w:spacing w:after="120"/>
      </w:pPr>
      <w:r>
        <w:t xml:space="preserve">Không nộp, không tính điểm. Giữ lại kết quả: </w:t>
      </w:r>
      <w:r>
        <w:rPr>
          <w:b/>
          <w:bCs/>
        </w:rPr>
        <w:t xml:space="preserve">2 nhà tài trợ nhóm chọn sẽ được dùng ở S6.</w:t>
      </w:r>
      <w:r>
        <w:t xml:space="preserve"> Chụp ảnh lưu lại.</w:t>
      </w:r>
    </w:p>
    <w:p>
      <w:pPr>
        <w:pStyle w:val="Heading2"/>
      </w:pPr>
      <w:r>
        <w:t xml:space="preserve">Thảo luận chung sau hoạt động</w:t>
      </w:r>
    </w:p>
    <w:p>
      <w:pPr>
        <w:pStyle w:val="ListParagraph"/>
        <w:numPr>
          <w:ilvl w:val="0"/>
          <w:numId w:val="2"/>
        </w:numPr>
        <w:spacing w:after="60"/>
      </w:pPr>
      <w:r>
        <w:t xml:space="preserve">Ứng viên nào </w:t>
      </w:r>
      <w:r>
        <w:rPr>
          <w:b/>
          <w:bCs/>
        </w:rPr>
        <w:t xml:space="preserve">nhóm nào cũng từ chối</w:t>
      </w:r>
      <w:r>
        <w:t xml:space="preserve">? Ứng viên nào gây tranh luận?</w:t>
      </w:r>
    </w:p>
    <w:p>
      <w:pPr>
        <w:pStyle w:val="ListParagraph"/>
        <w:numPr>
          <w:ilvl w:val="0"/>
          <w:numId w:val="2"/>
        </w:numPr>
        <w:spacing w:after="60"/>
      </w:pPr>
      <w:r>
        <w:t xml:space="preserve">Bình An là đối tác lâu năm của An Phát. Nhận Bình An nhưng </w:t>
      </w:r>
      <w:r>
        <w:rPr>
          <w:b/>
          <w:bCs/>
        </w:rPr>
        <w:t xml:space="preserve">thay đổi quyền lợi</w:t>
      </w:r>
      <w:r>
        <w:t xml:space="preserve"> họ xin thì nên đổi thế nào?</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Ma trận đánh giá theo nhóm + so sánh kết quả khi chốt.</w:t>
      </w:r>
    </w:p>
    <w:p>
      <w:pPr>
        <w:spacing w:after="120"/>
      </w:pPr>
      <w:r>
        <w:rPr>
          <w:b/>
          <w:bCs/>
        </w:rPr>
        <w:t xml:space="preserve">CLO phục vụ:</w:t>
      </w:r>
      <w:r>
        <w:t xml:space="preserve"> CLO2, CLO5 (chính); CLO6 · </w:t>
      </w:r>
      <w:r>
        <w:rPr>
          <w:b/>
          <w:bCs/>
        </w:rPr>
        <w:t xml:space="preserve">Mức Bloom:</w:t>
      </w:r>
      <w:r>
        <w:t xml:space="preserve"> Phân tích → Đánh giá</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"Các bạn là Nova. Anh Minh gửi 5 bên muốn tài trợ gala, tổng cộng hơn 2 tỷ, gấp 10 lần phần ngân sách bị cắt. Nhưng anh Minh không cần nhiều tiền nhất; anh cần gala tốt nhất cho 600 khách VIP của ngân hàng. 8 phút chấm phù hợp và rủi ro, 7 phút chọn 2 bên và ghi lợi ích cho bốn bên, 5 phút cho câu hỏi tài trợ hay đầu tư.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chọn theo số tiền → hỏi “khách của An Phát được gì?”</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Chốt: gọi 2 nhóm;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8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Nhanh Tiền vì nhiều tiền nhất</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VIP của một ngân hàng nghĩ gì khi thấy một công ty tài chính tiêu dùng bị phản ánh đòi nợ là ‘đồng tổ chức’?”</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từ chối Bình An vì “bán hàng”</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“Bình An là đối tác lâu năm của An Phát. Từ chối có ảnh hưởng quan hệ của </w:t>
            </w:r>
            <w:r>
              <w:rPr>
                <w:sz w:val="20"/>
                <w:szCs w:val="20"/>
              </w:rPr>
              <w:t xml:space="preserve">An Phát</w:t>
            </w:r>
            <w:r>
              <w:rPr>
                <w:sz w:val="20"/>
                <w:szCs w:val="20"/>
              </w:rPr>
              <w:t xml:space="preserve"> không? Có cách nhận mà đổi quyền lợi không?”</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quên khách của An Phát</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cột “phù hợp với khách của An Phát”</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tranh luận pháp lý quá sâu</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nhận, để dành cho S5 và S6</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8"/>
        <w:gridCol w:w="2564"/>
        <w:gridCol w:w="5306"/>
      </w:tblGrid>
      <w:tr>
        <w:trPr>
          <w:tblHeader/>
        </w:trPr>
        <w:tc>
          <w:tcPr>
            <w:tcW w:type="dxa" w:w="17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Ứng viên</w:t>
            </w:r>
          </w:p>
        </w:tc>
        <w:tc>
          <w:tcPr>
            <w:tcW w:type="dxa" w:w="25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Gợi ý</w:t>
            </w:r>
          </w:p>
        </w:tc>
        <w:tc>
          <w:tcPr>
            <w:tcW w:type="dxa" w:w="53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Lý do chính</w:t>
            </w:r>
          </w:p>
        </w:tc>
      </w:tr>
      <w:tr>
        <w:trPr>
          <w:tblHeader w:val="off"/>
        </w:trPr>
        <w:tc>
          <w:tcPr>
            <w:tcW w:type="dxa" w:w="17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Bình An</w:t>
            </w:r>
          </w:p>
        </w:tc>
        <w:tc>
          <w:tcPr>
            <w:tcW w:type="dxa" w:w="2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nhưng đổi quyền lợi</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lâu năm của An Phát; phù hợp với khách doanh nghiệp nếu nội dung là </w:t>
            </w:r>
            <w:r>
              <w:rPr>
                <w:sz w:val="20"/>
                <w:szCs w:val="20"/>
              </w:rPr>
              <w:t xml:space="preserve">kiến thức quản trị rủi ro</w:t>
            </w:r>
            <w:r>
              <w:rPr>
                <w:sz w:val="20"/>
                <w:szCs w:val="20"/>
              </w:rPr>
              <w:t xml:space="preserve">. Không nên đặt bàn tư vấn cạnh khu tiệc hay chào bán tại chỗ (liên hệ U13)</w:t>
            </w:r>
          </w:p>
        </w:tc>
      </w:tr>
      <w:tr>
        <w:trPr>
          <w:tblHeader w:val="off"/>
        </w:trPr>
        <w:tc>
          <w:tcPr>
            <w:tcW w:type="dxa" w:w="17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GlobalCard</w:t>
            </w:r>
          </w:p>
        </w:tc>
        <w:tc>
          <w:tcPr>
            <w:tcW w:type="dxa" w:w="2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của An Phát; ưu đãi cho chủ thẻ doanh nghiệp tạo lợi ích trực tiếp cho khách; rủi ro thấp</w:t>
            </w:r>
          </w:p>
        </w:tc>
      </w:tr>
      <w:tr>
        <w:trPr>
          <w:tblHeader w:val="off"/>
        </w:trPr>
        <w:tc>
          <w:tcPr>
            <w:tcW w:type="dxa" w:w="17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Xe điện Sao Việt</w:t>
            </w:r>
          </w:p>
        </w:tc>
        <w:tc>
          <w:tcPr>
            <w:tcW w:type="dxa" w:w="2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Cân nhắc có điều kiện</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Trải nghiệm lái thử có thể hấp dẫn; nhưng “nhận danh sách khách” cần </w:t>
            </w:r>
            <w:r>
              <w:rPr>
                <w:sz w:val="20"/>
                <w:szCs w:val="20"/>
              </w:rPr>
              <w:t xml:space="preserve">sự đồng ý của khách</w:t>
            </w:r>
            <w:r>
              <w:rPr>
                <w:sz w:val="20"/>
                <w:szCs w:val="20"/>
              </w:rPr>
              <w:t xml:space="preserve">; cần hỏi An Phát có xung đột với đối tác cho vay mua xe không</w:t>
            </w:r>
          </w:p>
        </w:tc>
      </w:tr>
      <w:tr>
        <w:trPr>
          <w:tblHeader w:val="off"/>
        </w:trPr>
        <w:tc>
          <w:tcPr>
            <w:tcW w:type="dxa" w:w="17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Sổ Xanh</w:t>
            </w:r>
          </w:p>
        </w:tc>
        <w:tc>
          <w:tcPr>
            <w:tcW w:type="dxa" w:w="2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 chối (lịch sự)</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Sản phẩm cho doanh nghiệp nhỏ, lệch với khách VIP; khoản tiền nhỏ không bù được công sức kích hoạt</w:t>
            </w:r>
          </w:p>
        </w:tc>
      </w:tr>
      <w:tr>
        <w:trPr>
          <w:tblHeader w:val="off"/>
        </w:trPr>
        <w:tc>
          <w:tcPr>
            <w:tcW w:type="dxa" w:w="17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Nhanh Tiền</w:t>
            </w:r>
          </w:p>
        </w:tc>
        <w:tc>
          <w:tcPr>
            <w:tcW w:type="dxa" w:w="2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 chối</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Rủi ro hình ảnh; có thể xung đột lợi ích với ngân hàng; “đồng tổ chức” làm loãng thương hiệu An Phát</w:t>
            </w:r>
          </w:p>
        </w:tc>
      </w:tr>
    </w:tbl>
    <w:p>
      <w:pPr>
        <w:spacing w:after="80" w:before="0"/>
      </w:pPr>
    </w:p>
    <w:p>
      <w:pPr>
        <w:spacing w:after="120"/>
      </w:pPr>
      <w:r>
        <w:rPr>
          <w:b/>
          <w:bCs/>
        </w:rPr>
        <w:t xml:space="preserve">Bước 3 — ý đúng:</w:t>
      </w:r>
    </w:p>
    <w:p>
      <w:pPr>
        <w:pStyle w:val="ListParagraph"/>
        <w:numPr>
          <w:ilvl w:val="0"/>
          <w:numId w:val="2"/>
        </w:numPr>
        <w:spacing w:after="60"/>
      </w:pPr>
      <w:r>
        <w:t xml:space="preserve">Gala </w:t>
      </w:r>
      <w:r>
        <w:rPr>
          <w:b/>
          <w:bCs/>
        </w:rPr>
        <w:t xml:space="preserve">không bán vé, không có doanh thu</w:t>
      </w:r>
      <w:r>
        <w:t xml:space="preserve"> nên không có “lợi nhuận sự kiện” để chia. Vai trò </w:t>
      </w:r>
      <w:r>
        <w:rPr>
          <w:b/>
          <w:bCs/>
        </w:rPr>
        <w:t xml:space="preserve">nhà đầu tư</w:t>
      </w:r>
      <w:r>
        <w:t xml:space="preserve"> không phù hợp. Đề nghị góp vốn thực chất là một khoản tài trợ đổi quyền kiểm soát, mà An Phát không nên trao cho một bên có rủi ro hình ảnh.</w:t>
      </w:r>
    </w:p>
    <w:p>
      <w:pPr>
        <w:pStyle w:val="ListParagraph"/>
        <w:numPr>
          <w:ilvl w:val="0"/>
          <w:numId w:val="2"/>
        </w:numPr>
        <w:spacing w:after="60"/>
      </w:pPr>
      <w:r>
        <w:t xml:space="preserve">Câu từ chối tốt nói về </w:t>
      </w:r>
      <w:r>
        <w:rPr>
          <w:b/>
          <w:bCs/>
        </w:rPr>
        <w:t xml:space="preserve">phù hợp với khách của An Phát</w:t>
      </w:r>
      <w:r>
        <w:t xml:space="preserve">, không chê đối tác. Ví dụ: </w:t>
      </w:r>
      <w:r>
        <w:rPr>
          <w:i/>
          <w:iCs/>
        </w:rPr>
        <w:t xml:space="preserve">“Sản phẩm của Sổ Xanh rất hợp với doanh nghiệp nhỏ; khách của gala năm nay chủ yếu là doanh nghiệp lớn nên có lẽ chưa đúng đối tượng. Nova xin giới thiệu một sự kiện phù hợp hơn khi có.”</w:t>
      </w:r>
    </w:p>
    <w:p>
      <w:pPr>
        <w:spacing w:after="120"/>
      </w:pPr>
      <w:r>
        <w:rPr>
          <w:b/>
          <w:bCs/>
        </w:rPr>
        <w:t xml:space="preserve">3 ý GV chốt:</w:t>
      </w:r>
    </w:p>
    <w:p>
      <w:pPr>
        <w:pStyle w:val="ListParagraph"/>
        <w:numPr>
          <w:ilvl w:val="0"/>
          <w:numId w:val="8"/>
        </w:numPr>
        <w:spacing w:after="60"/>
      </w:pPr>
      <w:r>
        <w:t xml:space="preserve">Chọn nhà tài trợ theo </w:t>
      </w:r>
      <w:r>
        <w:rPr>
          <w:b/>
          <w:bCs/>
        </w:rPr>
        <w:t xml:space="preserve">phù hợp và rủi ro</w:t>
      </w:r>
      <w:r>
        <w:t xml:space="preserve">, không theo số tiền.</w:t>
      </w:r>
    </w:p>
    <w:p>
      <w:pPr>
        <w:pStyle w:val="ListParagraph"/>
        <w:numPr>
          <w:ilvl w:val="0"/>
          <w:numId w:val="8"/>
        </w:numPr>
        <w:spacing w:after="60"/>
      </w:pPr>
      <w:r>
        <w:t xml:space="preserve">Với đối tác lâu năm của Key Account, lựa chọn thường không phải “nhận hay từ chối” mà là </w:t>
      </w:r>
      <w:r>
        <w:rPr>
          <w:b/>
          <w:bCs/>
        </w:rPr>
        <w:t xml:space="preserve">thiết kế lại quyền lợi</w:t>
      </w:r>
      <w:r>
        <w:t xml:space="preserve">.</w:t>
      </w:r>
    </w:p>
    <w:p>
      <w:pPr>
        <w:pStyle w:val="ListParagraph"/>
        <w:numPr>
          <w:ilvl w:val="0"/>
          <w:numId w:val="8"/>
        </w:numPr>
        <w:spacing w:after="60"/>
      </w:pPr>
      <w:r>
        <w:t xml:space="preserve">Nhà đầu tư chỉ có nghĩa khi sự kiện có </w:t>
      </w:r>
      <w:r>
        <w:rPr>
          <w:b/>
          <w:bCs/>
        </w:rPr>
        <w:t xml:space="preserve">dòng doanh thu và lợi nhuận</w:t>
      </w:r>
      <w:r>
        <w:t xml:space="preserve"> để chia.</w:t>
      </w:r>
    </w:p>
    <w:p>
      <w:pPr>
        <w:spacing w:after="120"/>
      </w:pPr>
      <w:r>
        <w:rPr>
          <w:b/>
          <w:bCs/>
        </w:rPr>
        <w:t xml:space="preserve">Câu chuyển tiếp sang giải lao / S4:</w:t>
      </w:r>
      <w:r>
        <w:t xml:space="preserve"> </w:t>
      </w:r>
      <w:r>
        <w:rPr>
          <w:i/>
          <w:iCs/>
        </w:rPr>
        <w:t xml:space="preserve">“Sau giờ nghỉ: Nova viết đề xuất cho Bình An thế nào để Bình An trả đủ tiền mà khách vẫn vui?”</w:t>
      </w:r>
    </w:p>
    <w:p>
      <w:pPr>
        <w:pStyle w:val="Heading2"/>
      </w:pPr>
      <w:r>
        <w:t xml:space="preserve">Ghi chú</w:t>
      </w:r>
    </w:p>
    <w:p>
      <w:pPr>
        <w:spacing w:after="120"/>
      </w:pPr>
      <w:r>
        <w:rPr>
          <w:b/>
          <w:bCs/>
        </w:rPr>
        <w:t xml:space="preserve">Phạm vi:</w:t>
      </w:r>
      <w:r>
        <w:t xml:space="preserve"> không đi sâu tư vấn pháp lý; nêu rủi ro ở mức nhận diện.</w:t>
      </w:r>
    </w:p>
    <w:p>
      <w:pPr>
        <w:spacing w:after="120"/>
      </w:pPr>
      <w:r>
        <w:rPr>
          <w:b/>
          <w:bCs/>
        </w:rPr>
        <w:t xml:space="preserve">[VERIFY] trong phiếu này:</w:t>
      </w:r>
      <w:r>
        <w:t xml:space="preserve"> không có. Mọi tên, con số là </w:t>
      </w:r>
      <w:r>
        <w:rPr>
          <w:b/>
          <w:bCs/>
        </w:rPr>
        <w:t xml:space="preserve">giả định</w:t>
      </w:r>
      <w:r>
        <w:t xml:space="preserve">; Bình An và GlobalCard không phải doanh nghiệp thật.</w:t>
      </w:r>
    </w:p>
    <w:p>
      <w:pPr>
        <w:pStyle w:val="Title"/>
      </w:pPr>
      <w:r>
        <w:t xml:space="preserve">Phiếu hoạt động</w:t>
      </w:r>
    </w:p>
    <w:p>
      <w:pPr>
        <w:pStyle w:val="Heading1"/>
      </w:pPr>
      <w:r>
        <w:t xml:space="preserve">Thực hành 2 — Bản đồ điểm chạm tài trợ cho khách hàng của Key Account</w:t>
      </w:r>
    </w:p>
    <w:p>
      <w:pPr>
        <w:spacing w:after="120"/>
      </w:pPr>
      <w:r>
        <w:t xml:space="preserve">EVM1110E · Buổi 9 · Đoạn S6 (30 phút)</w:t>
      </w:r>
    </w:p>
    <w:p>
      <w:pPr>
        <w:pStyle w:val="Heading2"/>
      </w:pPr>
      <w:r>
        <w:t xml:space="preserve">Vì sao chúng ta làm bài này</w:t>
      </w:r>
    </w:p>
    <w:p>
      <w:pPr>
        <w:spacing w:after="120"/>
      </w:pPr>
      <w:r>
        <w:t xml:space="preserve">Đây là đúng yêu cầu 9.3 của đề cương: </w:t>
      </w:r>
      <w:r>
        <w:rPr>
          <w:b/>
          <w:bCs/>
        </w:rPr>
        <w:t xml:space="preserve">gắn nhà tài trợ vào các điểm chạm phù hợp để làm giàu trải nghiệm của khách hàng của Key Account.</w:t>
      </w:r>
      <w:r>
        <w:t xml:space="preserve"> Sản phẩm là một bản đồ mà Nova có thể mang đi thuyết phục cả An Phát lẫn nhà tài trợ.</w:t>
      </w:r>
    </w:p>
    <w:p>
      <w:pPr>
        <w:pStyle w:val="Heading2"/>
      </w:pPr>
      <w:r>
        <w:t xml:space="preserve">Tình huống (GIẢ ĐỊNH)</w:t>
      </w:r>
    </w:p>
    <w:p>
      <w:pPr>
        <w:pBdr>
          <w:left w:val="single" w:color="2E8B74" w:sz="18" w:space="8"/>
        </w:pBdr>
        <w:shd w:fill="E8F4F0" w:color="auto" w:val="clear"/>
        <w:spacing w:after="160" w:before="80"/>
        <w:ind w:left="200" w:right="100"/>
      </w:pPr>
      <w:r>
        <w:rPr>
          <w:color w:val="333F55"/>
          <w:sz w:val="20"/>
          <w:szCs w:val="20"/>
        </w:rPr>
        <w:t xml:space="preserve">Tiếp nối Thực hành 1. An Phát đồng ý nhận </w:t>
      </w:r>
      <w:r>
        <w:rPr>
          <w:b/>
          <w:bCs/>
          <w:color w:val="333F55"/>
          <w:sz w:val="20"/>
          <w:szCs w:val="20"/>
        </w:rPr>
        <w:t xml:space="preserve">2 nhà tài trợ</w:t>
      </w:r>
      <w:r>
        <w:rPr>
          <w:color w:val="333F55"/>
          <w:sz w:val="20"/>
          <w:szCs w:val="20"/>
        </w:rPr>
        <w:t xml:space="preserve"> nhóm đã chọn (mặc định: </w:t>
      </w:r>
      <w:r>
        <w:rPr>
          <w:b/>
          <w:bCs/>
          <w:color w:val="333F55"/>
          <w:sz w:val="20"/>
          <w:szCs w:val="20"/>
        </w:rPr>
        <w:t xml:space="preserve">Bảo hiểm Bình An</w:t>
      </w:r>
      <w:r>
        <w:rPr>
          <w:color w:val="333F55"/>
          <w:sz w:val="20"/>
          <w:szCs w:val="20"/>
        </w:rPr>
        <w:t xml:space="preserve"> và </w:t>
      </w:r>
      <w:r>
        <w:rPr>
          <w:b/>
          <w:bCs/>
          <w:color w:val="333F55"/>
          <w:sz w:val="20"/>
          <w:szCs w:val="20"/>
        </w:rPr>
        <w:t xml:space="preserve">GlobalCard</w:t>
      </w:r>
      <w:r>
        <w:rPr>
          <w:color w:val="333F55"/>
          <w:sz w:val="20"/>
          <w:szCs w:val="20"/>
        </w:rPr>
        <w:t xml:space="preserve">). Nova cần trình anh Minh bản đồ điểm chạm cho </w:t>
      </w:r>
      <w:r>
        <w:rPr>
          <w:b/>
          <w:bCs/>
          <w:color w:val="333F55"/>
          <w:sz w:val="20"/>
          <w:szCs w:val="20"/>
        </w:rPr>
        <w:t xml:space="preserve">600 lãnh đạo doanh nghiệp VIP</w:t>
      </w:r>
      <w:r>
        <w:rPr>
          <w:color w:val="333F55"/>
          <w:sz w:val="20"/>
          <w:szCs w:val="20"/>
        </w:rPr>
        <w:t xml:space="preserve"> của An Phát, trước – trong – sau gala.</w:t>
      </w:r>
    </w:p>
    <w:p>
      <w:pPr>
        <w:pStyle w:val="Heading2"/>
      </w:pPr>
      <w:r>
        <w:t xml:space="preserve">Nhiệm vụ</w:t>
      </w:r>
    </w:p>
    <w:p>
      <w:pPr>
        <w:spacing w:after="120"/>
      </w:pPr>
      <w:r>
        <w:rPr>
          <w:b/>
          <w:bCs/>
        </w:rPr>
        <w:t xml:space="preserve">Bước 1 — Vẽ bản đồ (15 phút).</w:t>
      </w:r>
      <w:r>
        <w:t xml:space="preserve"> Trên giấy A1, kẻ hành trình khách theo 3 giai đoạn. Chọn </w:t>
      </w:r>
      <w:r>
        <w:rPr>
          <w:b/>
          <w:bCs/>
        </w:rPr>
        <w:t xml:space="preserve">ít nhất 5 điểm chạm</w:t>
      </w:r>
      <w:r>
        <w:t xml:space="preserve">, mỗi nhà tài trợ ít nhất 2. Với mỗi điểm chạm, điền đủ 6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4"/>
        <w:gridCol w:w="594"/>
        <w:gridCol w:w="1980"/>
        <w:gridCol w:w="1650"/>
        <w:gridCol w:w="3564"/>
        <w:gridCol w:w="1256"/>
      </w:tblGrid>
      <w:tr>
        <w:trPr>
          <w:tblHeader/>
        </w:trPr>
        <w:tc>
          <w:tcPr>
            <w:tcW w:type="dxa" w:w="5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5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198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tài trợ làm gì (kích hoạt)</w:t>
            </w:r>
          </w:p>
        </w:tc>
        <w:tc>
          <w:tcPr>
            <w:tcW w:type="dxa" w:w="16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của An Phát được gì</w:t>
            </w:r>
          </w:p>
        </w:tc>
        <w:tc>
          <w:tcPr>
            <w:tcW w:type="dxa" w:w="35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tài trợ đạt gì (chỉ số, cấp mấy trong khung 6 cấp)</w:t>
            </w:r>
          </w:p>
        </w:tc>
        <w:tc>
          <w:tcPr>
            <w:tcW w:type="dxa" w:w="12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Rủi ro / cách phòng</w:t>
            </w:r>
          </w:p>
        </w:tc>
      </w:tr>
      <w:tr>
        <w:trPr>
          <w:tblHeader w:val="off"/>
        </w:trPr>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9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6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r>
        <w:trPr>
          <w:tblHeader w:val="off"/>
        </w:trPr>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9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6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r>
        <w:trPr>
          <w:tblHeader w:val="off"/>
        </w:trPr>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9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6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5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2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spacing w:after="120"/>
      </w:pPr>
      <w:r>
        <w:t xml:space="preserve">Đánh dấu ⭐ </w:t>
      </w:r>
      <w:r>
        <w:rPr>
          <w:b/>
          <w:bCs/>
        </w:rPr>
        <w:t xml:space="preserve">một điểm chạm</w:t>
      </w:r>
      <w:r>
        <w:t xml:space="preserve"> nhóm tự hào nhất: làm giàu trải nghiệm nhiều nhất mà không làm phiền.</w:t>
      </w:r>
    </w:p>
    <w:p>
      <w:pPr>
        <w:spacing w:after="120"/>
      </w:pPr>
      <w:r>
        <w:rPr>
          <w:b/>
          <w:bCs/>
        </w:rPr>
        <w:t xml:space="preserve">Bước 2 — Xoay vòng các trạm (8 phút).</w:t>
      </w:r>
      <w:r>
        <w:t xml:space="preserve"> Để bản đồ trên bàn. Cả nhóm di chuyển theo chiều kim đồng hồ sang bàn bên cạnh (2 vòng, mỗi vòng 4 phút). Tại mỗi bàn, nhóm đóng vai </w:t>
      </w:r>
      <w:r>
        <w:rPr>
          <w:b/>
          <w:bCs/>
        </w:rPr>
        <w:t xml:space="preserve">“hội đồng An Phát”</w:t>
      </w:r>
      <w:r>
        <w:t xml:space="preserve"> và để lại:</w:t>
      </w:r>
    </w:p>
    <w:p>
      <w:pPr>
        <w:pStyle w:val="ListParagraph"/>
        <w:numPr>
          <w:ilvl w:val="0"/>
          <w:numId w:val="2"/>
        </w:numPr>
        <w:spacing w:after="60"/>
      </w:pPr>
      <w:r>
        <w:t xml:space="preserve">🟨 </w:t>
      </w:r>
      <w:r>
        <w:rPr>
          <w:b/>
          <w:bCs/>
        </w:rPr>
        <w:t xml:space="preserve">1 câu hỏi</w:t>
      </w:r>
      <w:r>
        <w:t xml:space="preserve"> (giấy note vàng)</w:t>
      </w:r>
    </w:p>
    <w:p>
      <w:pPr>
        <w:pStyle w:val="ListParagraph"/>
        <w:numPr>
          <w:ilvl w:val="0"/>
          <w:numId w:val="2"/>
        </w:numPr>
        <w:spacing w:after="60"/>
      </w:pPr>
      <w:r>
        <w:t xml:space="preserve">🟥 </w:t>
      </w:r>
      <w:r>
        <w:rPr>
          <w:b/>
          <w:bCs/>
        </w:rPr>
        <w:t xml:space="preserve">1 lo ngại</w:t>
      </w:r>
      <w:r>
        <w:t xml:space="preserve"> về trải nghiệm khách, pháp lý hoặc uy tín của An Phát (giấy note hồng)</w:t>
      </w:r>
    </w:p>
    <w:p>
      <w:pPr>
        <w:spacing w:after="120"/>
      </w:pPr>
      <w:r>
        <w:rPr>
          <w:b/>
          <w:bCs/>
        </w:rPr>
        <w:t xml:space="preserve">Bước 3 — Sửa và chốt (4 phút).</w:t>
      </w:r>
      <w:r>
        <w:t xml:space="preserve"> Về bàn mình, đọc note, sửa </w:t>
      </w:r>
      <w:r>
        <w:rPr>
          <w:b/>
          <w:bCs/>
        </w:rPr>
        <w:t xml:space="preserve">một</w:t>
      </w:r>
      <w:r>
        <w:t xml:space="preserve"> điểm chạm.</w:t>
      </w:r>
    </w:p>
    <w:p>
      <w:pPr>
        <w:spacing w:after="120"/>
      </w:pPr>
      <w:r>
        <w:t xml:space="preserve">⚠️ Dùng </w:t>
      </w:r>
      <w:r>
        <w:rPr>
          <w:b/>
          <w:bCs/>
        </w:rPr>
        <w:t xml:space="preserve">checklist 5 câu</w:t>
      </w:r>
      <w:r>
        <w:t xml:space="preserve"> ở slide 22: khách được gì · nhà tài trợ đạt gì · có làm phiền không · rủi ro cho An Phát · đo bằng gì.</w:t>
      </w:r>
    </w:p>
    <w:p>
      <w:pPr>
        <w:pStyle w:val="Heading2"/>
      </w:pPr>
      <w:r>
        <w:t xml:space="preserve">Tổ chức</w:t>
      </w:r>
    </w:p>
    <w:p>
      <w:pPr>
        <w:pStyle w:val="ListParagraph"/>
        <w:numPr>
          <w:ilvl w:val="0"/>
          <w:numId w:val="2"/>
        </w:numPr>
        <w:spacing w:after="60"/>
      </w:pPr>
      <w:r>
        <w:rPr>
          <w:b/>
          <w:bCs/>
        </w:rPr>
        <w:t xml:space="preserve">Nhóm:</w:t>
      </w:r>
      <w:r>
        <w:t xml:space="preserve"> 6 nhóm</w:t>
      </w:r>
    </w:p>
    <w:p>
      <w:pPr>
        <w:pStyle w:val="ListParagraph"/>
        <w:numPr>
          <w:ilvl w:val="0"/>
          <w:numId w:val="2"/>
        </w:numPr>
        <w:spacing w:after="60"/>
      </w:pPr>
      <w:r>
        <w:rPr>
          <w:b/>
          <w:bCs/>
        </w:rPr>
        <w:t xml:space="preserve">Thời gian:</w:t>
      </w:r>
      <w:r>
        <w:t xml:space="preserve"> 30 phút (3 mở đầu · 15 vẽ · 8 xoay trạm · 4 sửa và chốt)</w:t>
      </w:r>
    </w:p>
    <w:p>
      <w:pPr>
        <w:pStyle w:val="ListParagraph"/>
        <w:numPr>
          <w:ilvl w:val="0"/>
          <w:numId w:val="2"/>
        </w:numPr>
        <w:spacing w:after="60"/>
      </w:pPr>
      <w:r>
        <w:rPr>
          <w:b/>
          <w:bCs/>
        </w:rPr>
        <w:t xml:space="preserve">Cần có:</w:t>
      </w:r>
      <w:r>
        <w:t xml:space="preserve"> giấy A1, bút lông 3 màu, giấy note vàng và hồng</w:t>
      </w:r>
    </w:p>
    <w:p>
      <w:pPr>
        <w:pStyle w:val="Heading2"/>
      </w:pPr>
      <w:r>
        <w:t xml:space="preserve">Nộp gì</w:t>
      </w:r>
    </w:p>
    <w:p>
      <w:pPr>
        <w:spacing w:after="120"/>
      </w:pPr>
      <w:r>
        <w:t xml:space="preserve">Không nộp, không tính điểm. Chụp ảnh bản đồ sau khi sửa: đây là mẫu cho trang “nhà tài trợ” trong Stakeholder Management Plan.</w:t>
      </w:r>
    </w:p>
    <w:p>
      <w:pPr>
        <w:pStyle w:val="Heading2"/>
      </w:pPr>
      <w:r>
        <w:t xml:space="preserve">Thảo luận chung sau hoạt động</w:t>
      </w:r>
    </w:p>
    <w:p>
      <w:pPr>
        <w:pStyle w:val="ListParagraph"/>
        <w:numPr>
          <w:ilvl w:val="0"/>
          <w:numId w:val="2"/>
        </w:numPr>
        <w:spacing w:after="60"/>
      </w:pPr>
      <w:r>
        <w:t xml:space="preserve">Điểm chạm nào xuất hiện ở </w:t>
      </w:r>
      <w:r>
        <w:rPr>
          <w:b/>
          <w:bCs/>
        </w:rPr>
        <w:t xml:space="preserve">nhiều nhóm</w:t>
      </w:r>
      <w:r>
        <w:t xml:space="preserve">? Điểm chạm nào </w:t>
      </w:r>
      <w:r>
        <w:rPr>
          <w:b/>
          <w:bCs/>
        </w:rPr>
        <w:t xml:space="preserve">độc đáo</w:t>
      </w:r>
      <w:r>
        <w:t xml:space="preserve">?</w:t>
      </w:r>
    </w:p>
    <w:p>
      <w:pPr>
        <w:pStyle w:val="ListParagraph"/>
        <w:numPr>
          <w:ilvl w:val="0"/>
          <w:numId w:val="2"/>
        </w:numPr>
        <w:spacing w:after="60"/>
      </w:pPr>
      <w:r>
        <w:t xml:space="preserve">Lo ngại nào lặp lại nhiều nhất trên giấy note hồng?</w:t>
      </w: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Bản đồ hành trình theo nhóm + xoay vòng trạm tại bàn (như Buổi 1), có vai “hội đồng An Phát” để phản biện từ góc Key Account.</w:t>
      </w:r>
    </w:p>
    <w:p>
      <w:pPr>
        <w:spacing w:after="120"/>
      </w:pPr>
      <w:r>
        <w:rPr>
          <w:b/>
          <w:bCs/>
        </w:rPr>
        <w:t xml:space="preserve">CLO phục vụ:</w:t>
      </w:r>
      <w:r>
        <w:t xml:space="preserve"> CLO2, CLO5, CLO6 · </w:t>
      </w:r>
      <w:r>
        <w:rPr>
          <w:b/>
          <w:bCs/>
        </w:rPr>
        <w:t xml:space="preserve">Mức Bloom:</w:t>
      </w:r>
      <w:r>
        <w:t xml:space="preserve"> Vận dụng → Sáng tạo (thiết kế) → Đánh giá (phản biện)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"Hai nhà tài trợ đã vào. Giờ Nova phải cho anh Minh thấy họ xuất hiện ở đâu trên hành trình của 600 khách, và mỗi lần xuất hiện khách được gì. 15 phút vẽ ít nhất 5 điểm chạm, đủ 6 cột. Sau đó các bạn sang bàn bạn và đóng vai hội đồng An Phát: mỗi bản đồ nhận một câu hỏi và một lo ngại thật sự.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nhắc checklist 5 câu (slide 22)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96–111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vẽ bản đồ. GV đi vòng: “Cột ‘khách được gì’ có thật không, hay là ‘khách biết đến Bình An’?”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111–115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115–119</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119–123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bàn, sửa một điểm chạm;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3"/>
        <w:gridCol w:w="5405"/>
      </w:tblGrid>
      <w:tr>
        <w:trPr>
          <w:tblHeader/>
        </w:trPr>
        <w:tc>
          <w:tcPr>
            <w:tcW w:type="dxa" w:w="42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4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Mọi điểm chạm là logo, backdrop</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được gì từ cái logo? Viết lại cột 4.”</w:t>
            </w:r>
          </w:p>
        </w:tc>
      </w:tr>
      <w:tr>
        <w:trPr>
          <w:tblHeader w:val="off"/>
        </w:trPr>
        <w:tc>
          <w:tcPr>
            <w:tcW w:type="dxa" w:w="4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Bình An bán hàng tại bàn tiệc</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vào slide 21 (giới hạn pháp lý, uy tín): “Rủi ro rơi vào ai trước tiên?”</w:t>
            </w:r>
          </w:p>
        </w:tc>
      </w:tr>
      <w:tr>
        <w:trPr>
          <w:tblHeader w:val="off"/>
        </w:trPr>
        <w:tc>
          <w:tcPr>
            <w:tcW w:type="dxa" w:w="4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hứa chuyển danh sách khách cho nhà tài trợ</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đã đồng ý chưa? Cơ chế đồng ý nằm ở điểm chạm nào?”</w:t>
            </w:r>
          </w:p>
        </w:tc>
      </w:tr>
      <w:tr>
        <w:trPr>
          <w:tblHeader w:val="off"/>
        </w:trPr>
        <w:tc>
          <w:tcPr>
            <w:tcW w:type="dxa" w:w="4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 hồng hời hợt</w:t>
            </w:r>
          </w:p>
        </w:tc>
        <w:tc>
          <w:tcPr>
            <w:tcW w:type="dxa" w:w="54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mẫu: </w:t>
            </w:r>
            <w:r>
              <w:rPr>
                <w:i/>
                <w:iCs/>
                <w:sz w:val="20"/>
                <w:szCs w:val="20"/>
              </w:rPr>
              <w:t xml:space="preserve">“Bàn tư vấn của Bình An đặt cạnh lối ra tiệc: khách ra về bị giữ lại, dễ khó chịu.”</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1456"/>
        <w:gridCol w:w="2570"/>
        <w:gridCol w:w="1070"/>
        <w:gridCol w:w="2056"/>
        <w:gridCol w:w="2101"/>
      </w:tblGrid>
      <w:tr>
        <w:trPr>
          <w:tblHeader/>
        </w:trPr>
        <w:tc>
          <w:tcPr>
            <w:tcW w:type="dxa" w:w="3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Giai đoạn</w:t>
            </w:r>
          </w:p>
        </w:tc>
        <w:tc>
          <w:tcPr>
            <w:tcW w:type="dxa" w:w="1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25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Kích hoạt</w:t>
            </w:r>
          </w:p>
        </w:tc>
        <w:tc>
          <w:tcPr>
            <w:tcW w:type="dxa" w:w="10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được gì</w:t>
            </w:r>
          </w:p>
        </w:tc>
        <w:tc>
          <w:tcPr>
            <w:tcW w:type="dxa" w:w="20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Nhà tài trợ đạt gì</w:t>
            </w:r>
          </w:p>
        </w:tc>
        <w:tc>
          <w:tcPr>
            <w:tcW w:type="dxa" w:w="210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Rủi ro / cách phòng</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Đăng ký tham dự</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GlobalCard: xe đưa đón miễn phí cho chủ thẻ doanh nghiệp</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Tiện lợi</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0: đúng khách; cấp 3: số chủ thẻ dùng ưu đãi</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bắt mở thẻ mới để tham dự</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Đăng ký phiên chuyên đề</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Bình An: khách </w:t>
            </w:r>
            <w:r>
              <w:rPr>
                <w:sz w:val="20"/>
                <w:szCs w:val="20"/>
              </w:rPr>
              <w:t xml:space="preserve">tự chọn</w:t>
            </w:r>
            <w:r>
              <w:rPr>
                <w:sz w:val="20"/>
                <w:szCs w:val="20"/>
              </w:rPr>
              <w:t xml:space="preserve"> đăng ký phiên “quản trị rủi ro doanh nghiệp”</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Kiến thức hữu ích</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0–2</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Nói rõ nội dung là kiến thức, không phải bán hàng</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Phiên chuyên đề</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gia Bình An trình bày tình huống thật</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Học được điều mới</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2: % khách biết thêm</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duyệt nội dung trước</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Góc tư vấn</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w:t>
            </w:r>
            <w:r>
              <w:rPr>
                <w:sz w:val="20"/>
                <w:szCs w:val="20"/>
              </w:rPr>
              <w:t xml:space="preserve">đặt lịch</w:t>
            </w:r>
            <w:r>
              <w:rPr>
                <w:sz w:val="20"/>
                <w:szCs w:val="20"/>
              </w:rPr>
              <w:t xml:space="preserve"> gặp chuyên gia sau sự kiện qua mã QR</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Được tư vấn riêng khi cần</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3: số khách đồng ý hẹn</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chào mời tại bàn tiệc; ghi nhận đồng ý</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Trong</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Gala</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GlobalCard: quà lưu niệm thiết kế riêng; nhắc tên ngắn gọn</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Quà có giá trị</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ROO: nhận biết, thái độ</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phát biểu dài</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cảm ơn</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liệu chuyên đề của Bình An gửi kèm</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liệu tham khảo</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2–3</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gửi người đã đăng ký phiên</w:t>
            </w:r>
          </w:p>
        </w:tc>
      </w:tr>
      <w:tr>
        <w:trPr>
          <w:tblHeader w:val="off"/>
        </w:trPr>
        <w:tc>
          <w:tcPr>
            <w:tcW w:type="dxa" w:w="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w:t>
            </w:r>
          </w:p>
        </w:tc>
        <w:tc>
          <w:tcPr>
            <w:tcW w:type="dxa" w:w="1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cáo cho An Phát và nhà tài trợ</w:t>
            </w:r>
          </w:p>
        </w:tc>
        <w:tc>
          <w:tcPr>
            <w:tcW w:type="dxa" w:w="25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tổng hợp chỉ số cấp 0–3; cấp 4 do nhà tài trợ bổ sung</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0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ROI/ROO theo cam kết</w:t>
            </w:r>
          </w:p>
        </w:tc>
        <w:tc>
          <w:tcPr>
            <w:tcW w:type="dxa" w:w="21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đánh giá chung (Buổi 8)</w:t>
            </w:r>
          </w:p>
        </w:tc>
      </w:tr>
    </w:tbl>
    <w:p>
      <w:pPr>
        <w:spacing w:after="80" w:before="0"/>
      </w:pPr>
    </w:p>
    <w:p>
      <w:pPr>
        <w:spacing w:after="120"/>
      </w:pPr>
      <w:r>
        <w:rPr>
          <w:b/>
          <w:bCs/>
        </w:rPr>
        <w:t xml:space="preserve">3 ý GV chốt:</w:t>
      </w:r>
    </w:p>
    <w:p>
      <w:pPr>
        <w:pStyle w:val="ListParagraph"/>
        <w:numPr>
          <w:ilvl w:val="0"/>
          <w:numId w:val="9"/>
        </w:numPr>
        <w:spacing w:after="60"/>
      </w:pPr>
      <w:r>
        <w:t xml:space="preserve">Điểm chạm tốt trả lời được câu </w:t>
      </w:r>
      <w:r>
        <w:rPr>
          <w:b/>
          <w:bCs/>
        </w:rPr>
        <w:t xml:space="preserve">“khách được gì”</w:t>
      </w:r>
      <w:r>
        <w:t xml:space="preserve"> trước câu “nhà tài trợ được gì”.</w:t>
      </w:r>
    </w:p>
    <w:p>
      <w:pPr>
        <w:pStyle w:val="ListParagraph"/>
        <w:numPr>
          <w:ilvl w:val="0"/>
          <w:numId w:val="9"/>
        </w:numPr>
        <w:spacing w:after="60"/>
      </w:pPr>
      <w:r>
        <w:rPr>
          <w:b/>
          <w:bCs/>
        </w:rPr>
        <w:t xml:space="preserve">Sự đồng ý của khách</w:t>
      </w:r>
      <w:r>
        <w:t xml:space="preserve"> (đăng ký phiên, đặt lịch, chia sẻ thông tin) là điều kiện để nhà tài trợ đạt cấp 3 mà không làm hại An Phát.</w:t>
      </w:r>
    </w:p>
    <w:p>
      <w:pPr>
        <w:pStyle w:val="ListParagraph"/>
        <w:numPr>
          <w:ilvl w:val="0"/>
          <w:numId w:val="9"/>
        </w:numPr>
        <w:spacing w:after="60"/>
      </w:pPr>
      <w:r>
        <w:t xml:space="preserve">Agency nắm dữ liệu cấp 0–3 tại sự kiện; cấp 4–5 cần nhà tài trợ cùng báo cáo. Ghi điều này vào </w:t>
      </w:r>
      <w:r>
        <w:rPr>
          <w:b/>
          <w:bCs/>
        </w:rPr>
        <w:t xml:space="preserve">hợp đồng tài trợ</w:t>
      </w:r>
      <w:r>
        <w:t xml:space="preserve"> (U06).</w:t>
      </w:r>
    </w:p>
    <w:p>
      <w:pPr>
        <w:spacing w:after="120"/>
      </w:pPr>
      <w:r>
        <w:rPr>
          <w:b/>
          <w:bCs/>
        </w:rPr>
        <w:t xml:space="preserve">Câu chuyển tiếp sang S7:</w:t>
      </w:r>
      <w:r>
        <w:t xml:space="preserve"> </w:t>
      </w:r>
      <w:r>
        <w:rPr>
          <w:i/>
          <w:iCs/>
        </w:rPr>
        <w:t xml:space="preserve">“Các bạn vừa biến hai đối tác của An Phát thành giá trị cho khách của An Phát. Đó là toàn bộ Buổi 9.”</w:t>
      </w:r>
    </w:p>
    <w:p>
      <w:pPr>
        <w:pStyle w:val="Heading2"/>
      </w:pPr>
      <w:r>
        <w:t xml:space="preserve">Ghi chú</w:t>
      </w:r>
    </w:p>
    <w:p>
      <w:pPr>
        <w:spacing w:after="120"/>
      </w:pPr>
      <w:r>
        <w:rPr>
          <w:b/>
          <w:bCs/>
        </w:rPr>
        <w:t xml:space="preserve">Giả định:</w:t>
      </w:r>
      <w:r>
        <w:t xml:space="preserve"> 6 nhóm; phòng không dán poster → xoay vòng trạm tại bàn (như Buổi 1).</w:t>
      </w:r>
    </w:p>
    <w:p>
      <w:pPr>
        <w:spacing w:after="120"/>
      </w:pPr>
      <w:r>
        <w:rPr>
          <w:b/>
          <w:bCs/>
        </w:rPr>
        <w:t xml:space="preserve">Phạm vi:</w:t>
      </w:r>
      <w:r>
        <w:t xml:space="preserve"> không phân tích an toàn đám đông khi trưng bày, lái thử (môn Quản trị rủi ro sự kiện).</w:t>
      </w:r>
    </w:p>
    <w:p>
      <w:pPr>
        <w:spacing w:after="120"/>
      </w:pPr>
      <w:r>
        <w:rPr>
          <w:b/>
          <w:bCs/>
        </w:rPr>
        <w:t xml:space="preserve">[VERIFY] trong phiếu này:</w:t>
      </w:r>
      <w:r>
        <w:t xml:space="preserve"> quy định về giới thiệu bảo hiểm tại sự kiện và bảo vệ dữ liệu cá nhân (xem giáo án). Mọi tên, con số là </w:t>
      </w:r>
      <w:r>
        <w:rPr>
          <w:b/>
          <w:bCs/>
        </w:rPr>
        <w:t xml:space="preserve">giả định</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9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9: Kết nối nguồn lực: nhà đầu tư và nhà tài trợ</dc:title>
  <dc:creator>EVM1110E</dc:creator>
  <cp:lastModifiedBy>Un-named</cp:lastModifiedBy>
  <cp:revision>1</cp:revision>
  <dcterms:created xsi:type="dcterms:W3CDTF">2026-10-29T01:47:02.904Z</dcterms:created>
  <dcterms:modified xsi:type="dcterms:W3CDTF">2026-10-29T01:47:02.905Z</dcterms:modified>
</cp:coreProperties>
</file>

<file path=docProps/custom.xml><?xml version="1.0" encoding="utf-8"?>
<Properties xmlns="http://schemas.openxmlformats.org/officeDocument/2006/custom-properties" xmlns:vt="http://schemas.openxmlformats.org/officeDocument/2006/docPropsVTypes"/>
</file>