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Grainger Museum Collection</w:t>
      </w:r>
    </w:p>
    <w:p>
      <w:pPr>
        <w:pStyle w:val="Heading2"/>
      </w:pPr>
      <w:r>
        <w:t>Summary</w:t>
      </w:r>
    </w:p>
    <w:p>
      <w:r>
        <w:t>The personal archive, instruments and scores of composer Percy Grainger, held in trust for scholarship worldwide.</w:t>
      </w:r>
    </w:p>
    <w:p>
      <w:pPr>
        <w:pStyle w:val="Heading2"/>
      </w:pPr>
      <w:r>
        <w:t>External collection link</w:t>
      </w:r>
    </w:p>
    <w:p>
      <w:r>
        <w:t>https://storeroom.its.unimelb.edu.au/umc/grainger?page=collection-areas</w:t>
      </w:r>
    </w:p>
    <w:p>
      <w:pPr>
        <w:pStyle w:val="Heading2"/>
      </w:pPr>
      <w:r>
        <w:t>Source</w:t>
      </w:r>
    </w:p>
    <w:p>
      <w:r>
        <w:t>Extracted from the live CCS collection landing page template (public/collections/*.html) on 2026-10-01, as the canonical content source referenced by Jira CCS-189 ("Create collection landing page content").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