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Grainger Museum Collection</w:t>
      </w:r>
    </w:p>
    <w:p>
      <w:pPr>
        <w:pStyle w:val="Heading2"/>
      </w:pPr>
      <w:r>
        <w:t>Summary</w:t>
      </w:r>
    </w:p>
    <w:p>
      <w:r>
        <w:t>The personal collection of composer Percy Grainger including instruments, manuscripts, correspondence and experimental machines.</w:t>
      </w:r>
    </w:p>
    <w:p>
      <w:pPr>
        <w:pStyle w:val="Heading2"/>
      </w:pPr>
      <w:r>
        <w:t>About this collection</w:t>
      </w:r>
    </w:p>
    <w:p>
      <w:r>
        <w:t>Australian musician and composer Percy Grainger established the Grainger Museum in 1938, motivated by the desire to interpret and contextualise his creative achievements and cultural environment. The Grainger Museum Collection, an internationally significant archive of over 100,000 items, spans a range of disciplines, from experimental sound technology and musical instruments to costumes, ethnography, art and design. The collection is brought to life through collaboration with students, academic partners and artists and their creative work and production.</w:t>
      </w:r>
    </w:p>
    <w:p>
      <w:pPr>
        <w:pStyle w:val="Heading2"/>
      </w:pPr>
      <w:r>
        <w:t>Collection details</w:t>
      </w:r>
    </w:p>
    <w:tbl>
      <w:tblPr>
        <w:tblStyle w:val="LightGrid-Accent1"/>
        <w:tblW w:type="auto" w:w="0"/>
        <w:tblLook w:firstColumn="1" w:firstRow="1" w:lastColumn="0" w:lastRow="0" w:noHBand="0" w:noVBand="1" w:val="04A0"/>
      </w:tblPr>
      <w:tblGrid>
        <w:gridCol w:w="4320"/>
        <w:gridCol w:w="4320"/>
      </w:tblGrid>
      <w:tr>
        <w:tc>
          <w:tcPr>
            <w:tcW w:type="dxa" w:w="4320"/>
          </w:tcPr>
          <w:p>
            <w:r>
              <w:t>Total items</w:t>
            </w:r>
          </w:p>
        </w:tc>
        <w:tc>
          <w:tcPr>
            <w:tcW w:type="dxa" w:w="4320"/>
          </w:tcPr>
          <w:p>
            <w:r>
              <w:t>7,800</w:t>
            </w:r>
          </w:p>
        </w:tc>
      </w:tr>
      <w:tr>
        <w:tc>
          <w:tcPr>
            <w:tcW w:type="dxa" w:w="4320"/>
          </w:tcPr>
          <w:p>
            <w:r>
              <w:t>Holding institution</w:t>
            </w:r>
          </w:p>
        </w:tc>
        <w:tc>
          <w:tcPr>
            <w:tcW w:type="dxa" w:w="4320"/>
          </w:tcPr>
          <w:p>
            <w:r>
              <w:t>Grainger Museum</w:t>
            </w:r>
          </w:p>
        </w:tc>
      </w:tr>
      <w:tr>
        <w:tc>
          <w:tcPr>
            <w:tcW w:type="dxa" w:w="4320"/>
          </w:tcPr>
          <w:p>
            <w:r>
              <w:t>Physical location</w:t>
            </w:r>
          </w:p>
        </w:tc>
        <w:tc>
          <w:tcPr>
            <w:tcW w:type="dxa" w:w="4320"/>
          </w:tcPr>
          <w:p>
            <w:r>
              <w:t>Parkville VIC 3010</w:t>
            </w:r>
          </w:p>
        </w:tc>
      </w:tr>
      <w:tr>
        <w:tc>
          <w:tcPr>
            <w:tcW w:type="dxa" w:w="4320"/>
          </w:tcPr>
          <w:p>
            <w:r>
              <w:t>Date range</w:t>
            </w:r>
          </w:p>
        </w:tc>
        <w:tc>
          <w:tcPr>
            <w:tcW w:type="dxa" w:w="4320"/>
          </w:tcPr>
          <w:p>
            <w:r>
              <w:t>1890 – present</w:t>
            </w:r>
          </w:p>
        </w:tc>
      </w:tr>
      <w:tr>
        <w:tc>
          <w:tcPr>
            <w:tcW w:type="dxa" w:w="4320"/>
          </w:tcPr>
          <w:p>
            <w:r>
              <w:t>Languages</w:t>
            </w:r>
          </w:p>
        </w:tc>
        <w:tc>
          <w:tcPr>
            <w:tcW w:type="dxa" w:w="4320"/>
          </w:tcPr>
          <w:p>
            <w:r>
              <w:t>English</w:t>
            </w:r>
          </w:p>
        </w:tc>
      </w:tr>
      <w:tr>
        <w:tc>
          <w:tcPr>
            <w:tcW w:type="dxa" w:w="4320"/>
          </w:tcPr>
          <w:p>
            <w:r>
              <w:t>Formats held</w:t>
            </w:r>
          </w:p>
        </w:tc>
        <w:tc>
          <w:tcPr>
            <w:tcW w:type="dxa" w:w="4320"/>
          </w:tcPr>
          <w:p>
            <w:r>
              <w:t>Instruments, Manuscripts, Correspondence</w:t>
            </w:r>
          </w:p>
        </w:tc>
      </w:tr>
    </w:tbl>
    <w:p>
      <w:pPr>
        <w:pStyle w:val="Heading2"/>
      </w:pPr>
      <w:r>
        <w:t>Visit details</w:t>
      </w:r>
    </w:p>
    <w:p>
      <w:r>
        <w:rPr>
          <w:b/>
        </w:rPr>
        <w:t xml:space="preserve">Opening hours: </w:t>
      </w:r>
      <w:r>
        <w:t>Tue–Sun 12:00pm – 5:00pm</w:t>
      </w:r>
    </w:p>
    <w:p>
      <w:r>
        <w:rPr>
          <w:b/>
        </w:rPr>
        <w:t xml:space="preserve">Enquiries: </w:t>
      </w:r>
      <w:r>
        <w:t>grainger.museum@unimelb.edu.au  |  +61 3 8344 8828</w:t>
      </w:r>
    </w:p>
    <w:p>
      <w:pPr>
        <w:pStyle w:val="Heading2"/>
      </w:pPr>
      <w:r>
        <w:t>External collection link</w:t>
      </w:r>
    </w:p>
    <w:p>
      <w:r>
        <w:t>https://storeroom.its.unimelb.edu.au/umc/grainger?page=collection-areas</w:t>
      </w:r>
    </w:p>
    <w:p>
      <w:pPr>
        <w:pStyle w:val="Heading2"/>
      </w:pPr>
      <w:r>
        <w:t>Source</w:t>
      </w:r>
    </w:p>
    <w:p>
      <w:r>
        <w:t>Content sourced from the CCS prototype v0.2 data file (CCS-prototype-2026-v0.2-main/data.js), cross-checked against the live CCS collection landing page template, as the canonical content source referenced by Jira CCS-189 ("Create collection landing page content"). Figures (total items, dates) are prototype placeholder estimates and should be verified against the authoritative collection management system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