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University Art Collection</w:t>
      </w:r>
    </w:p>
    <w:p>
      <w:pPr>
        <w:pStyle w:val="Heading2"/>
      </w:pPr>
      <w:r>
        <w:t>Summary</w:t>
      </w:r>
    </w:p>
    <w:p>
      <w:r>
        <w:t>A major university art collection featuring Australian and international works spanning painting, sculpture and works on paper.</w:t>
      </w:r>
    </w:p>
    <w:p>
      <w:pPr>
        <w:pStyle w:val="Heading2"/>
      </w:pPr>
      <w:r>
        <w:t>About this collection</w:t>
      </w:r>
    </w:p>
    <w:p>
      <w:r>
        <w:t>The University of Melbourne Art Collection is the largest university-based art collection in Australia, comprising over 18,000 artworks. The collection includes major holdings of paintings, prints and drawings, ceramics and sculpture, including contemporary Australian art and Aboriginal and Torres Strait Islander art.</w:t>
      </w:r>
    </w:p>
    <w:p>
      <w:pPr>
        <w:pStyle w:val="Heading2"/>
      </w:pPr>
      <w:r>
        <w:t>Collection details</w:t>
      </w:r>
    </w:p>
    <w:tbl>
      <w:tblPr>
        <w:tblStyle w:val="LightGrid-Accent1"/>
        <w:tblW w:type="auto" w:w="0"/>
        <w:tblLook w:firstColumn="1" w:firstRow="1" w:lastColumn="0" w:lastRow="0" w:noHBand="0" w:noVBand="1" w:val="04A0"/>
      </w:tblPr>
      <w:tblGrid>
        <w:gridCol w:w="4320"/>
        <w:gridCol w:w="4320"/>
      </w:tblGrid>
      <w:tr>
        <w:tc>
          <w:tcPr>
            <w:tcW w:type="dxa" w:w="4320"/>
          </w:tcPr>
          <w:p>
            <w:r>
              <w:t>Total items</w:t>
            </w:r>
          </w:p>
        </w:tc>
        <w:tc>
          <w:tcPr>
            <w:tcW w:type="dxa" w:w="4320"/>
          </w:tcPr>
          <w:p>
            <w:r>
              <w:t>14,300</w:t>
            </w:r>
          </w:p>
        </w:tc>
      </w:tr>
      <w:tr>
        <w:tc>
          <w:tcPr>
            <w:tcW w:type="dxa" w:w="4320"/>
          </w:tcPr>
          <w:p>
            <w:r>
              <w:t>Holding institution</w:t>
            </w:r>
          </w:p>
        </w:tc>
        <w:tc>
          <w:tcPr>
            <w:tcW w:type="dxa" w:w="4320"/>
          </w:tcPr>
          <w:p>
            <w:r>
              <w:t>Potter Museum of Art</w:t>
            </w:r>
          </w:p>
        </w:tc>
      </w:tr>
      <w:tr>
        <w:tc>
          <w:tcPr>
            <w:tcW w:type="dxa" w:w="4320"/>
          </w:tcPr>
          <w:p>
            <w:r>
              <w:t>Physical location</w:t>
            </w:r>
          </w:p>
        </w:tc>
        <w:tc>
          <w:tcPr>
            <w:tcW w:type="dxa" w:w="4320"/>
          </w:tcPr>
          <w:p>
            <w:r>
              <w:t>Parkville VIC 3010</w:t>
            </w:r>
          </w:p>
        </w:tc>
      </w:tr>
      <w:tr>
        <w:tc>
          <w:tcPr>
            <w:tcW w:type="dxa" w:w="4320"/>
          </w:tcPr>
          <w:p>
            <w:r>
              <w:t>Date range</w:t>
            </w:r>
          </w:p>
        </w:tc>
        <w:tc>
          <w:tcPr>
            <w:tcW w:type="dxa" w:w="4320"/>
          </w:tcPr>
          <w:p>
            <w:r>
              <w:t>1850 – present</w:t>
            </w:r>
          </w:p>
        </w:tc>
      </w:tr>
      <w:tr>
        <w:tc>
          <w:tcPr>
            <w:tcW w:type="dxa" w:w="4320"/>
          </w:tcPr>
          <w:p>
            <w:r>
              <w:t>Languages</w:t>
            </w:r>
          </w:p>
        </w:tc>
        <w:tc>
          <w:tcPr>
            <w:tcW w:type="dxa" w:w="4320"/>
          </w:tcPr>
          <w:p>
            <w:r>
              <w:t>English</w:t>
            </w:r>
          </w:p>
        </w:tc>
      </w:tr>
      <w:tr>
        <w:tc>
          <w:tcPr>
            <w:tcW w:type="dxa" w:w="4320"/>
          </w:tcPr>
          <w:p>
            <w:r>
              <w:t>Formats held</w:t>
            </w:r>
          </w:p>
        </w:tc>
        <w:tc>
          <w:tcPr>
            <w:tcW w:type="dxa" w:w="4320"/>
          </w:tcPr>
          <w:p>
            <w:r>
              <w:t>Paintings, Sculpture, Works on paper</w:t>
            </w:r>
          </w:p>
        </w:tc>
      </w:tr>
    </w:tbl>
    <w:p>
      <w:pPr>
        <w:pStyle w:val="Heading2"/>
      </w:pPr>
      <w:r>
        <w:t>Visit details</w:t>
      </w:r>
    </w:p>
    <w:p>
      <w:r>
        <w:rPr>
          <w:b/>
        </w:rPr>
        <w:t xml:space="preserve">Opening hours: </w:t>
      </w:r>
      <w:r>
        <w:t>Tue–Sun 10:00am – 5:00pm</w:t>
      </w:r>
    </w:p>
    <w:p>
      <w:r>
        <w:rPr>
          <w:b/>
        </w:rPr>
        <w:t xml:space="preserve">Enquiries: </w:t>
      </w:r>
      <w:r>
        <w:t>uac@unimelb.edu.au  |  +61 3 8344 5148</w:t>
      </w:r>
    </w:p>
    <w:p>
      <w:pPr>
        <w:pStyle w:val="Heading2"/>
      </w:pPr>
      <w:r>
        <w:t>External collection link</w:t>
      </w:r>
    </w:p>
    <w:p>
      <w:r>
        <w:t>https://storeroom.its.unimelb.edu.au/umc/art?page=collection-areas</w:t>
      </w:r>
    </w:p>
    <w:p>
      <w:pPr>
        <w:pStyle w:val="Heading2"/>
      </w:pPr>
      <w:r>
        <w:t>Source</w:t>
      </w:r>
    </w:p>
    <w:p>
      <w:r>
        <w:t>Content sourced from the CCS prototype v0.2 data file (CCS-prototype-2026-v0.2-main/data.js), cross-checked against the live CCS collection landing page template, as the canonical content source referenced by Jira CCS-189 ("Create collection landing page content"). Figures (total items, dates) are prototype placeholder estimates and should be verified against the authoritative collection management system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