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C3489"/>
          <w:sz w:val="56"/>
          <w:szCs w:val="56"/>
        </w:rPr>
        <w:t xml:space="preserve">FMNR Hub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F5E5A"/>
          <w:sz w:val="36"/>
          <w:szCs w:val="36"/>
        </w:rPr>
        <w:t xml:space="preserve">Site Map &amp; Information Architecture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fmnrhub.com.au  ·  May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[NEW]  New page or section required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[IMPROVE]  Existing page to improve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5F5E5A"/>
          <w:sz w:val="28"/>
          <w:szCs w:val="28"/>
        </w:rPr>
        <w:t xml:space="preserve">Global elements (site-wide)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Search &amp; resource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Newsletter / EDM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 + audience entry points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 FMNR activity map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EDM signup (persistent CTA)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Audience selector cards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homepage is the junction — not a destination. It routes visitors to their relevant section via audience cards and carries a persistent EDM sign-up.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1 — Learn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What is FMNR? For newcomers, curious visitors, and community leaders.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FMNR fundamentals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Science &amp; 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Global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is FMNR? (hero page)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overview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Interactive global map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it works — carousel tiles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Climate &amp; ecosystem benefits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Where WV offices &amp; adopters work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it matters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Livelihood outcomes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Flagship countries (Niger, Ethiopia, Zambia, Mali)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1-billion-hectare vision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Fragile contexts &amp; conflict areas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Movement tracker / adopter count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FMNR vs conventional land restoration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Water &amp; landscape benefits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Replace long scrolling text with compact carousel tiles. Add rich media video explainer.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Consolidate duplicated evidence across site. Clear one-liners up front, detail below fold.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Zambia-style country pages to be redesigned: visual-first, GGW-style layout.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2 — Adopt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Start practising FMNR. Tools, guides, and country examples.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Country 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Connect to adopt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Step-by-step adoption guide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Niger (flagship)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a local contact / WV office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Tools &amp; field resources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Ethiopia (flagship)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your adoption 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library (YouTube / Vimeo)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Zambia (flagship — redesign)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signup (adopter track)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Downloadable field guides (PDF)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Mali (flagship)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Community / LinkedIn links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FMNR as a complementary technique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Community-led adoption stories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Rich media priority: embedded video players. Mobile-first layout for field workers.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GGW page format as template: visual-led, punchy stats, short copy, rich imagery.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Each CTA tied to the adopter journey: learn → try → connect → report back.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3 — Partner</w:t>
            </w:r>
            <w:r>
              <w:rPr>
                <w:rFonts w:ascii="Arial" w:cs="Arial" w:eastAsia="Arial" w:hAnsi="Arial"/>
                <w:b/>
                <w:bCs/>
                <w:color w:val="7F77DD"/>
                <w:sz w:val="22"/>
                <w:szCs w:val="22"/>
              </w:rPr>
              <w:t xml:space="preserve">  ★ TOP PRIORITY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Audience-specific entry points: faith groups, NGOs, governments, and funders.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3C3489"/>
                <w:sz w:val="18"/>
                <w:szCs w:val="18"/>
              </w:rPr>
              <w:t xml:space="preserve">All four audience landing pages are new builds. The faith-based page is the most urgent — JR and faith leaders need it to point partners to right now.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Faith-based actors  [NEW — URGENT]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NGOs &amp; implementing orgs 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faith communities &amp; FMNR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FMNR as a programme tool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JR and faith-leader entry point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with existing programmes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Faith-led adoption case studies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Technical partnership pathway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Sermon / resource kit for faith leaders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Evidence pack for NGO proposal use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Faith network map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/ partner enquiry form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involved CTA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Dedicated URL that JR can send directly to faith partners. Must use creation care language throughout.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Routes to WV programme team. Include downloadable technical evidence pack for proposal writing.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Governments &amp; policy 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Funders &amp; supporters 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Policy case for FMNR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funding opportunity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National-scale adoption examples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Impact ROI &amp; cost-effectiveness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 restoration policy alignment (NDC, AFR100)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funding priorities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Cost-effectiveness brief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Private funder pathway (WV collaboration)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Official partner enquiry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for funding conversations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Policy-ready language aligned to NDC / AFR100 / Bonn Challenge. Include downloadable 2-page policy brief.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Developed with WV private funding team. Routes enquiry confidentially to WV fundraising.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4 — Impact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Evidence, stories, research, and the 1-billion-hectare scale vision.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Resource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Impact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Reporting &amp;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Stories, research &amp; case studies (unified)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Livelihoods impact (people reached)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highlights / progress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[NEW]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 by: topic / country / audience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Hectares restored to date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archive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Featured stories carousel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Fragile &amp; conflict contexts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EDM content strategy (partner &amp; adopter tracks)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a story / case study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Water &amp; ecosystem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community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1-billion-hectare scale 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Consolidate all content currently spread across separate pages into one browseable hub with filters.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Visual-first: stat tiles, maps, short data stories. Not a data platform — punchy highlights only.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Two EDM tracks: adopter (practical how-to) and partner/funder (impact-led updates).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5 — About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Tony Rinaudo, World Vision, and the FMNR Hub's mission.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Tony Rinaudo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World Vision &amp; FMNR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Tony's story (hero)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FMNR Hub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us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Podcasts &amp; audio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World Vision Australia relationship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signup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Articles &amp; media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Our approach &amp; values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&amp; community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Awards &amp; external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/ key 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Partnership enquiry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Speaking / keynote enquiry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Open-source commitment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 [IMPROVE]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↳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Strengthen as credibility anchor. Embed podcast players, link to external awards and media.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Remove underused 'Connect with us' widget. Replace with active, monitored contact pathways.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📝 Two newsletter tracks visible here as well: adopter and partner/funder.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5F5E5A"/>
          <w:sz w:val="28"/>
          <w:szCs w:val="28"/>
        </w:rPr>
        <w:t xml:space="preserve">Summary: pages by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Section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Key new pages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Partner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audience landing pages (Faith, NGO, Govt, Funder) — all new builds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★ Highest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About / Tony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Podcasts, articles, awards, speaking enquiry — Tony page significantly expanded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Impact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Unified resource hub, impact dashboard with livelihood/water/fragile context 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Adopt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Video library, downloadable field guides, FMNR as complementary technique, local contact finder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Learn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1B ha vision, water/ecosystem page, movement tracker, fragile contexts section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Prepared for World Vision Australia · fmnrhub.com.au redesign project · May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2026-05-15T12:11:51.957Z</dcterms:created>
  <dcterms:modified xsi:type="dcterms:W3CDTF">2026-05-15T12:11:51.957Z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