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EC16 — SHARED AI PROVIDER, USAGE, COST, CREDIT, AND GOVERNANCE FOUNDATION</w:t>
      </w:r>
    </w:p>
    <w:p>
      <w:pPr>
        <w:pStyle w:val="Subtitle"/>
        <w:jc w:val="center"/>
      </w:pPr>
      <w:r>
        <w:t>One metered, permissioned, provider-agnostic AI infrastructure layer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Conflict resolution</w:t>
      </w:r>
    </w:p>
    <w:p>
      <w:pPr>
        <w:pStyle w:val="ListBullet"/>
      </w:pPr>
      <w:r>
        <w:t>FEES controls customer plans, included credits, and credit pack prices.</w:t>
      </w:r>
    </w:p>
    <w:p>
      <w:pPr>
        <w:pStyle w:val="ListBullet"/>
      </w:pPr>
      <w:r>
        <w:t>AI source documents control capability requirements and usage telemetry, but legacy plan names and “unlimited” labels are superseded.</w:t>
      </w:r>
    </w:p>
    <w:p>
      <w:pPr>
        <w:pStyle w:val="ListBullet"/>
      </w:pPr>
      <w:r>
        <w:t>Per-tool credit costs are provisional until owner tool review and provider cost audit.</w:t>
      </w:r>
    </w:p>
    <w:p>
      <w:pPr>
        <w:pStyle w:val="ListBullet"/>
      </w:pPr>
      <w:r>
        <w:t>No AI feature calls a provider directly outside the gateway.</w:t>
      </w:r>
    </w:p>
    <w:p>
      <w:pPr>
        <w:pStyle w:val="Heading1"/>
      </w:pPr>
      <w:r>
        <w:t>2. Required services</w:t>
      </w:r>
    </w:p>
    <w:p>
      <w:pPr>
        <w:pStyle w:val="ListBullet"/>
      </w:pPr>
      <w:r>
        <w:t>Provider gateway/model router</w:t>
      </w:r>
    </w:p>
    <w:p>
      <w:pPr>
        <w:pStyle w:val="ListBullet"/>
      </w:pPr>
      <w:r>
        <w:t>Capability registry</w:t>
      </w:r>
    </w:p>
    <w:p>
      <w:pPr>
        <w:pStyle w:val="ListBullet"/>
      </w:pPr>
      <w:r>
        <w:t>Prompt/version registry</w:t>
      </w:r>
    </w:p>
    <w:p>
      <w:pPr>
        <w:pStyle w:val="ListBullet"/>
      </w:pPr>
      <w:r>
        <w:t>Context service</w:t>
      </w:r>
    </w:p>
    <w:p>
      <w:pPr>
        <w:pStyle w:val="ListBullet"/>
      </w:pPr>
      <w:r>
        <w:t>Action service</w:t>
      </w:r>
    </w:p>
    <w:p>
      <w:pPr>
        <w:pStyle w:val="ListBullet"/>
      </w:pPr>
      <w:r>
        <w:t>Usage ledger</w:t>
      </w:r>
    </w:p>
    <w:p>
      <w:pPr>
        <w:pStyle w:val="ListBullet"/>
      </w:pPr>
      <w:r>
        <w:t>Provider cost ledger</w:t>
      </w:r>
    </w:p>
    <w:p>
      <w:pPr>
        <w:pStyle w:val="ListBullet"/>
      </w:pPr>
      <w:r>
        <w:t>Credit ledger</w:t>
      </w:r>
    </w:p>
    <w:p>
      <w:pPr>
        <w:pStyle w:val="ListBullet"/>
      </w:pPr>
      <w:r>
        <w:t>Generation history</w:t>
      </w:r>
    </w:p>
    <w:p>
      <w:pPr>
        <w:pStyle w:val="ListBullet"/>
      </w:pPr>
      <w:r>
        <w:t>Audit/activity</w:t>
      </w:r>
    </w:p>
    <w:p>
      <w:pPr>
        <w:pStyle w:val="ListBullet"/>
      </w:pPr>
      <w:r>
        <w:t>Rate limits and budget alerts</w:t>
      </w:r>
    </w:p>
    <w:p>
      <w:pPr>
        <w:pStyle w:val="ListBullet"/>
      </w:pPr>
      <w:r>
        <w:t>Entitlement checks</w:t>
      </w:r>
    </w:p>
    <w:p>
      <w:pPr>
        <w:pStyle w:val="ListBullet"/>
      </w:pPr>
      <w:r>
        <w:t>Failure/refund/retry policy</w:t>
      </w:r>
    </w:p>
    <w:p>
      <w:pPr>
        <w:pStyle w:val="Heading1"/>
      </w:pPr>
      <w:r>
        <w:t>3. Required telemetry</w:t>
      </w:r>
    </w:p>
    <w:p>
      <w:pPr>
        <w:pStyle w:val="ListBullet"/>
      </w:pPr>
      <w:r>
        <w:t>tenant</w:t>
      </w:r>
    </w:p>
    <w:p>
      <w:pPr>
        <w:pStyle w:val="ListBullet"/>
      </w:pPr>
      <w:r>
        <w:t>user</w:t>
      </w:r>
    </w:p>
    <w:p>
      <w:pPr>
        <w:pStyle w:val="ListBullet"/>
      </w:pPr>
      <w:r>
        <w:t>feature</w:t>
      </w:r>
    </w:p>
    <w:p>
      <w:pPr>
        <w:pStyle w:val="ListBullet"/>
      </w:pPr>
      <w:r>
        <w:t>action</w:t>
      </w:r>
    </w:p>
    <w:p>
      <w:pPr>
        <w:pStyle w:val="ListBullet"/>
      </w:pPr>
      <w:r>
        <w:t>provider</w:t>
      </w:r>
    </w:p>
    <w:p>
      <w:pPr>
        <w:pStyle w:val="ListBullet"/>
      </w:pPr>
      <w:r>
        <w:t>model</w:t>
      </w:r>
    </w:p>
    <w:p>
      <w:pPr>
        <w:pStyle w:val="ListBullet"/>
      </w:pPr>
      <w:r>
        <w:t>input/output units</w:t>
      </w:r>
    </w:p>
    <w:p>
      <w:pPr>
        <w:pStyle w:val="ListBullet"/>
      </w:pPr>
      <w:r>
        <w:t>estimated/actual cost</w:t>
      </w:r>
    </w:p>
    <w:p>
      <w:pPr>
        <w:pStyle w:val="ListBullet"/>
      </w:pPr>
      <w:r>
        <w:t>credits</w:t>
      </w:r>
    </w:p>
    <w:p>
      <w:pPr>
        <w:pStyle w:val="ListBullet"/>
      </w:pPr>
      <w:r>
        <w:t>duration</w:t>
      </w:r>
    </w:p>
    <w:p>
      <w:pPr>
        <w:pStyle w:val="ListBullet"/>
      </w:pPr>
      <w:r>
        <w:t>result</w:t>
      </w:r>
    </w:p>
    <w:p>
      <w:pPr>
        <w:pStyle w:val="ListBullet"/>
      </w:pPr>
      <w:r>
        <w:t>session</w:t>
      </w:r>
    </w:p>
    <w:p>
      <w:pPr>
        <w:pStyle w:val="ListBullet"/>
      </w:pPr>
      <w:r>
        <w:t>background flag</w:t>
      </w:r>
    </w:p>
    <w:p>
      <w:pPr>
        <w:pStyle w:val="ListBullet"/>
      </w:pPr>
      <w:r>
        <w:t>source record links</w:t>
      </w:r>
    </w:p>
    <w:p>
      <w:pPr>
        <w:pStyle w:val="Heading1"/>
      </w:pPr>
      <w:r>
        <w:t>4. Safety and future readiness</w:t>
      </w:r>
    </w:p>
    <w:p>
      <w:pPr>
        <w:pStyle w:val="ListBullet"/>
      </w:pPr>
      <w:r>
        <w:t>Platform-managed credentials first</w:t>
      </w:r>
    </w:p>
    <w:p>
      <w:pPr>
        <w:pStyle w:val="ListBullet"/>
      </w:pPr>
      <w:r>
        <w:t>No keys in frontend or logs</w:t>
      </w:r>
    </w:p>
    <w:p>
      <w:pPr>
        <w:pStyle w:val="ListBullet"/>
      </w:pPr>
      <w:r>
        <w:t>Reserve BYOK fields and adapter boundary</w:t>
      </w:r>
    </w:p>
    <w:p>
      <w:pPr>
        <w:pStyle w:val="ListBullet"/>
      </w:pPr>
      <w:r>
        <w:t>Direct function calling first</w:t>
      </w:r>
    </w:p>
    <w:p>
      <w:pPr>
        <w:pStyle w:val="ListBullet"/>
      </w:pPr>
      <w:r>
        <w:t>MCP adapter later over same capability layer</w:t>
      </w:r>
    </w:p>
    <w:p>
      <w:pPr>
        <w:pStyle w:val="ListBullet"/>
      </w:pPr>
      <w:r>
        <w:t>No silent provider fallback for future BYOK</w:t>
      </w:r>
    </w:p>
    <w:p>
      <w:pPr>
        <w:pStyle w:val="ListBullet"/>
      </w:pPr>
      <w:r>
        <w:t>Configurable limits, not permanent hardcoded assumptions</w:t>
      </w:r>
    </w:p>
    <w:p>
      <w:pPr>
        <w:pStyle w:val="Heading1"/>
      </w:pPr>
      <w:r>
        <w:t>5. Completion gate</w:t>
      </w:r>
    </w:p>
    <w:p>
      <w:pPr>
        <w:pStyle w:val="ListBullet"/>
      </w:pPr>
      <w:r>
        <w:t>Every AI call is metered</w:t>
      </w:r>
    </w:p>
    <w:p>
      <w:pPr>
        <w:pStyle w:val="ListBullet"/>
      </w:pPr>
      <w:r>
        <w:t>Credits and provider cost remain separate</w:t>
      </w:r>
    </w:p>
    <w:p>
      <w:pPr>
        <w:pStyle w:val="ListBullet"/>
      </w:pPr>
      <w:r>
        <w:t>Zero-credit behavior tested</w:t>
      </w:r>
    </w:p>
    <w:p>
      <w:pPr>
        <w:pStyle w:val="ListBullet"/>
      </w:pPr>
      <w:r>
        <w:t>Idempotent credit reservation/commit/refund</w:t>
      </w:r>
    </w:p>
    <w:p>
      <w:pPr>
        <w:pStyle w:val="ListBullet"/>
      </w:pPr>
      <w:r>
        <w:t>Admin cost dashboards</w:t>
      </w:r>
    </w:p>
    <w:p>
      <w:pPr>
        <w:pStyle w:val="ListBullet"/>
      </w:pPr>
      <w:r>
        <w:t>Tenant isolation and permissions</w:t>
      </w:r>
    </w:p>
    <w:p>
      <w:pPr>
        <w:pStyle w:val="ListBullet"/>
      </w:pPr>
      <w:r>
        <w:t>No AI tool implementation begins until foundation passes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EC16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