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SIGNGUY AI</w:t>
      </w:r>
    </w:p>
    <w:p>
      <w:pPr>
        <w:pStyle w:val="Title"/>
        <w:jc w:val="center"/>
      </w:pPr>
      <w:r>
        <w:t>CHECKPOINT SPECIFICATION PACK</w:t>
      </w:r>
    </w:p>
    <w:p>
      <w:pPr>
        <w:pStyle w:val="Subtitle"/>
        <w:jc w:val="center"/>
      </w:pPr>
      <w:r>
        <w:t>Consolidated, conflict-resolved implementation authorities for EC9–EC22</w:t>
      </w:r>
    </w:p>
    <w:tbl>
      <w:tblPr>
        <w:tblW w:type="auto" w:w="0"/>
        <w:jc w:val="center"/>
        <w:tblLook w:firstColumn="1" w:firstRow="1" w:lastColumn="0" w:lastRow="0" w:noHBand="0" w:noVBand="1" w:val="04A0"/>
      </w:tblPr>
      <w:tblGrid>
        <w:gridCol w:w="10080"/>
      </w:tblGrid>
      <w:tr>
        <w:tc>
          <w:tcPr>
            <w:tcW w:type="dxa" w:w="10080"/>
            <w:shd w:fill="FFF2CC"/>
          </w:tcPr>
          <w:p>
            <w:pPr>
              <w:jc w:val="center"/>
            </w:pPr>
            <w:r>
              <w:rPr>
                <w:b/>
                <w:color w:val="9C6500"/>
              </w:rPr>
              <w:t>PLANNING AUTHORITY — NO IMPLEMENTATION AUTHORIZATION</w:t>
            </w:r>
          </w:p>
        </w:tc>
      </w:tr>
    </w:tbl>
    <w:p/>
    <w:p>
      <w:pPr>
        <w:pStyle w:val="Heading1"/>
      </w:pPr>
      <w:r>
        <w:t>1. Why this pack exists</w:t>
      </w:r>
    </w:p>
    <w:p>
      <w:r>
        <w:t>The earlier roadmap was too condensed to act as a safe build authority. This pack creates one controlling document per remaining checkpoint, removes repeated or conflicting rules, records owner decisions, and prevents an implementation agent from selecting whichever old sentence is easiest.</w:t>
      </w:r>
    </w:p>
    <w:p>
      <w:pPr>
        <w:pStyle w:val="Heading1"/>
      </w:pPr>
      <w:r>
        <w:t>2. Locked owner decisions added in this revision</w:t>
      </w:r>
    </w:p>
    <w:p>
      <w:pPr>
        <w:pStyle w:val="ListBullet"/>
      </w:pPr>
      <w:r>
        <w:t>Use Webstores as the final product name. “Order Portal” survives only as a historical source term or documented compatibility adapter.</w:t>
      </w:r>
    </w:p>
    <w:p>
      <w:pPr>
        <w:pStyle w:val="ListBullet"/>
      </w:pPr>
      <w:r>
        <w:t>Use Wrap Lab as the final product name. “Wrap Command Center” is obsolete customer-facing terminology.</w:t>
      </w:r>
    </w:p>
    <w:p>
      <w:pPr>
        <w:pStyle w:val="ListBullet"/>
      </w:pPr>
      <w:r>
        <w:t>Pricing Foundation quizzes must remain simple. One question may collect several related facts, such as how long a representative job takes and what the shop charges for that job, then derive labor rate, minimums, and related defaults for owner review.</w:t>
      </w:r>
    </w:p>
    <w:p>
      <w:pPr>
        <w:pStyle w:val="ListBullet"/>
      </w:pPr>
      <w:r>
        <w:t>Manual price entry remains available in every calculator. AI pricing analysis and market comparison are advisory and must never overwrite shop prices.</w:t>
      </w:r>
    </w:p>
    <w:p>
      <w:pPr>
        <w:pStyle w:val="ListBullet"/>
      </w:pPr>
      <w:r>
        <w:t>Advanced or specialist pricing tools remain available in a dedicated pricing area because they are too important to bury inside a single order form.</w:t>
      </w:r>
    </w:p>
    <w:p>
      <w:pPr>
        <w:pStyle w:val="ListBullet"/>
      </w:pPr>
      <w:r>
        <w:t>Wrap Lab packets must preserve the visual layout and information structure shown in the supplied examples, especially the pre-install, work-order/wrap packet, and completion packet examples.</w:t>
      </w:r>
    </w:p>
    <w:p>
      <w:pPr>
        <w:pStyle w:val="ListBullet"/>
      </w:pPr>
      <w:r>
        <w:t>Community must include a message board, Q&amp;A, bug reports, feature requests, voting, a Founders area, and support/contact requests.</w:t>
      </w:r>
    </w:p>
    <w:p>
      <w:pPr>
        <w:pStyle w:val="ListBullet"/>
      </w:pPr>
      <w:r>
        <w:t>Team management must include schedule creation, announcements, individual messages, time-off requests/approval, absence visibility, daily shop digest, tasks, account/profile, password, status, schedule, training, certifications, advances, and pay links.</w:t>
      </w:r>
    </w:p>
    <w:p>
      <w:pPr>
        <w:pStyle w:val="ListBullet"/>
      </w:pPr>
      <w:r>
        <w:t>Production must provide both Order-level and Order Item-level views. Users may choose a summarized workflow view instead of seeing every tiny production stage.</w:t>
      </w:r>
    </w:p>
    <w:p>
      <w:pPr>
        <w:pStyle w:val="ListBullet"/>
      </w:pPr>
      <w:r>
        <w:t>Detailed production timing, shop-floor kiosk, bottleneck analytics, and related advanced controls are an entitled paid add-on over the shared production-event foundation.</w:t>
      </w:r>
    </w:p>
    <w:p>
      <w:pPr>
        <w:pStyle w:val="ListBullet"/>
      </w:pPr>
      <w:r>
        <w:t>Appointment and Shop Schedule systems are required and must share calendar infrastructure.</w:t>
      </w:r>
    </w:p>
    <w:p>
      <w:pPr>
        <w:pStyle w:val="ListBullet"/>
      </w:pPr>
      <w:r>
        <w:t>Email, document, form, questionnaire, and message templates are required. Users can open the document creator when a template is insufficient.</w:t>
      </w:r>
    </w:p>
    <w:p>
      <w:pPr>
        <w:pStyle w:val="ListBullet"/>
      </w:pPr>
      <w:r>
        <w:t>Setup and onboarding fees are part of the commercial authority and must appear in billing, sales, onboarding, and public pricing implementation.</w:t>
      </w:r>
    </w:p>
    <w:p>
      <w:pPr>
        <w:pStyle w:val="ListBullet"/>
      </w:pPr>
      <w:r>
        <w:t>Studio AI tool inventory must receive an owner Keep / Change / Remove review before EC17 implementation. No legacy tool list is automatically final.</w:t>
      </w:r>
    </w:p>
    <w:p>
      <w:pPr>
        <w:pStyle w:val="Heading1"/>
      </w:pPr>
      <w:r>
        <w:t>3. Final checkpoint sequence</w:t>
      </w:r>
    </w:p>
    <w:tbl>
      <w:tblPr>
        <w:tblStyle w:val="TableGrid"/>
        <w:tblW w:type="auto" w:w="0"/>
        <w:jc w:val="center"/>
        <w:tblLook w:firstColumn="1" w:firstRow="1" w:lastColumn="0" w:lastRow="0" w:noHBand="0" w:noVBand="1" w:val="04A0"/>
      </w:tblPr>
      <w:tblGrid>
        <w:gridCol w:w="5040"/>
        <w:gridCol w:w="5040"/>
      </w:tblGrid>
      <w:tr>
        <w:tc>
          <w:tcPr>
            <w:tcW w:type="dxa" w:w="5040"/>
            <w:shd w:fill="5B1F73"/>
          </w:tcPr>
          <w:p>
            <w:r>
              <w:rPr>
                <w:color w:val="FFFFFF"/>
              </w:rPr>
              <w:t>Checkpoint</w:t>
            </w:r>
          </w:p>
        </w:tc>
        <w:tc>
          <w:tcPr>
            <w:tcW w:type="dxa" w:w="5040"/>
            <w:shd w:fill="5B1F73"/>
          </w:tcPr>
          <w:p>
            <w:r>
              <w:rPr>
                <w:color w:val="FFFFFF"/>
              </w:rPr>
              <w:t>Controlling document</w:t>
            </w:r>
          </w:p>
        </w:tc>
      </w:tr>
      <w:tr>
        <w:tc>
          <w:tcPr>
            <w:tcW w:type="dxa" w:w="5040"/>
          </w:tcPr>
          <w:p>
            <w:r>
              <w:t>EC9</w:t>
            </w:r>
          </w:p>
        </w:tc>
        <w:tc>
          <w:tcPr>
            <w:tcW w:type="dxa" w:w="5040"/>
          </w:tcPr>
          <w:p>
            <w:r>
              <w:t>Pricing Foundation, Detailed Calculators, Exact Order Workflow</w:t>
            </w:r>
          </w:p>
        </w:tc>
      </w:tr>
      <w:tr>
        <w:tc>
          <w:tcPr>
            <w:tcW w:type="dxa" w:w="5040"/>
          </w:tcPr>
          <w:p>
            <w:r>
              <w:t>EC10</w:t>
            </w:r>
          </w:p>
        </w:tc>
        <w:tc>
          <w:tcPr>
            <w:tcW w:type="dxa" w:w="5040"/>
          </w:tcPr>
          <w:p>
            <w:r>
              <w:t>Order Intake, Visual Markup, Customer Decision Room, Templates</w:t>
            </w:r>
          </w:p>
        </w:tc>
      </w:tr>
      <w:tr>
        <w:tc>
          <w:tcPr>
            <w:tcW w:type="dxa" w:w="5040"/>
          </w:tcPr>
          <w:p>
            <w:r>
              <w:t>EC11</w:t>
            </w:r>
          </w:p>
        </w:tc>
        <w:tc>
          <w:tcPr>
            <w:tcW w:type="dxa" w:w="5040"/>
          </w:tcPr>
          <w:p>
            <w:r>
              <w:t>Production Timeline, Workflow Configuration, Stage Tracking, Kiosk</w:t>
            </w:r>
          </w:p>
        </w:tc>
      </w:tr>
      <w:tr>
        <w:tc>
          <w:tcPr>
            <w:tcW w:type="dxa" w:w="5040"/>
          </w:tcPr>
          <w:p>
            <w:r>
              <w:t>EC12</w:t>
            </w:r>
          </w:p>
        </w:tc>
        <w:tc>
          <w:tcPr>
            <w:tcW w:type="dxa" w:w="5040"/>
          </w:tcPr>
          <w:p>
            <w:r>
              <w:t>Tasks, Kanban, Messages, Notes, Calendar, Appointments, Community</w:t>
            </w:r>
          </w:p>
        </w:tc>
      </w:tr>
      <w:tr>
        <w:tc>
          <w:tcPr>
            <w:tcW w:type="dxa" w:w="5040"/>
          </w:tcPr>
          <w:p>
            <w:r>
              <w:t>EC13</w:t>
            </w:r>
          </w:p>
        </w:tc>
        <w:tc>
          <w:tcPr>
            <w:tcW w:type="dxa" w:w="5040"/>
          </w:tcPr>
          <w:p>
            <w:r>
              <w:t>Commercial Billing, Entitlements, Fees, Trials, Setup Packages</w:t>
            </w:r>
          </w:p>
        </w:tc>
      </w:tr>
      <w:tr>
        <w:tc>
          <w:tcPr>
            <w:tcW w:type="dxa" w:w="5040"/>
          </w:tcPr>
          <w:p>
            <w:r>
              <w:t>EC14</w:t>
            </w:r>
          </w:p>
        </w:tc>
        <w:tc>
          <w:tcPr>
            <w:tcW w:type="dxa" w:w="5040"/>
          </w:tcPr>
          <w:p>
            <w:r>
              <w:t>Webstores</w:t>
            </w:r>
          </w:p>
        </w:tc>
      </w:tr>
      <w:tr>
        <w:tc>
          <w:tcPr>
            <w:tcW w:type="dxa" w:w="5040"/>
          </w:tcPr>
          <w:p>
            <w:r>
              <w:t>EC15</w:t>
            </w:r>
          </w:p>
        </w:tc>
        <w:tc>
          <w:tcPr>
            <w:tcW w:type="dxa" w:w="5040"/>
          </w:tcPr>
          <w:p>
            <w:r>
              <w:t>Wrap Lab</w:t>
            </w:r>
          </w:p>
        </w:tc>
      </w:tr>
      <w:tr>
        <w:tc>
          <w:tcPr>
            <w:tcW w:type="dxa" w:w="5040"/>
          </w:tcPr>
          <w:p>
            <w:r>
              <w:t>EC16</w:t>
            </w:r>
          </w:p>
        </w:tc>
        <w:tc>
          <w:tcPr>
            <w:tcW w:type="dxa" w:w="5040"/>
          </w:tcPr>
          <w:p>
            <w:r>
              <w:t>Shared AI Gateway, Usage, Cost, Credits, Governance</w:t>
            </w:r>
          </w:p>
        </w:tc>
      </w:tr>
      <w:tr>
        <w:tc>
          <w:tcPr>
            <w:tcW w:type="dxa" w:w="5040"/>
          </w:tcPr>
          <w:p>
            <w:r>
              <w:t>EC17</w:t>
            </w:r>
          </w:p>
        </w:tc>
        <w:tc>
          <w:tcPr>
            <w:tcW w:type="dxa" w:w="5040"/>
          </w:tcPr>
          <w:p>
            <w:r>
              <w:t>Studio AI Tools, Prompt Library, Generated Assets, AI Activity</w:t>
            </w:r>
          </w:p>
        </w:tc>
      </w:tr>
      <w:tr>
        <w:tc>
          <w:tcPr>
            <w:tcW w:type="dxa" w:w="5040"/>
          </w:tcPr>
          <w:p>
            <w:r>
              <w:t>EC18</w:t>
            </w:r>
          </w:p>
        </w:tc>
        <w:tc>
          <w:tcPr>
            <w:tcW w:type="dxa" w:w="5040"/>
          </w:tcPr>
          <w:p>
            <w:r>
              <w:t>Paid Business Assistant, Actions, Intelligence, Realtime Voice</w:t>
            </w:r>
          </w:p>
        </w:tc>
      </w:tr>
      <w:tr>
        <w:tc>
          <w:tcPr>
            <w:tcW w:type="dxa" w:w="5040"/>
          </w:tcPr>
          <w:p>
            <w:r>
              <w:t>EC19</w:t>
            </w:r>
          </w:p>
        </w:tc>
        <w:tc>
          <w:tcPr>
            <w:tcW w:type="dxa" w:w="5040"/>
          </w:tcPr>
          <w:p>
            <w:r>
              <w:t>Onboarding, Help Center, Contextual Help, App Documentation</w:t>
            </w:r>
          </w:p>
        </w:tc>
      </w:tr>
      <w:tr>
        <w:tc>
          <w:tcPr>
            <w:tcW w:type="dxa" w:w="5040"/>
          </w:tcPr>
          <w:p>
            <w:r>
              <w:t>EC20</w:t>
            </w:r>
          </w:p>
        </w:tc>
        <w:tc>
          <w:tcPr>
            <w:tcW w:type="dxa" w:w="5040"/>
          </w:tcPr>
          <w:p>
            <w:r>
              <w:t>Platform Admin, Analytics, Dunning, Support, Governance</w:t>
            </w:r>
          </w:p>
        </w:tc>
      </w:tr>
      <w:tr>
        <w:tc>
          <w:tcPr>
            <w:tcW w:type="dxa" w:w="5040"/>
          </w:tcPr>
          <w:p>
            <w:r>
              <w:t>EC21</w:t>
            </w:r>
          </w:p>
        </w:tc>
        <w:tc>
          <w:tcPr>
            <w:tcW w:type="dxa" w:w="5040"/>
          </w:tcPr>
          <w:p>
            <w:r>
              <w:t>Marketing Website, Public Pricing, Founder Offer, Signup</w:t>
            </w:r>
          </w:p>
        </w:tc>
      </w:tr>
      <w:tr>
        <w:tc>
          <w:tcPr>
            <w:tcW w:type="dxa" w:w="5040"/>
          </w:tcPr>
          <w:p>
            <w:r>
              <w:t>EC22</w:t>
            </w:r>
          </w:p>
        </w:tc>
        <w:tc>
          <w:tcPr>
            <w:tcW w:type="dxa" w:w="5040"/>
          </w:tcPr>
          <w:p>
            <w:r>
              <w:t>Final Integration and Commercial Release Hardening</w:t>
            </w:r>
          </w:p>
        </w:tc>
      </w:tr>
    </w:tbl>
    <w:p>
      <w:pPr>
        <w:pStyle w:val="Heading1"/>
      </w:pPr>
      <w:r>
        <w:t>4. Source precedence</w:t>
      </w:r>
    </w:p>
    <w:p>
      <w:pPr>
        <w:pStyle w:val="ListNumber"/>
      </w:pPr>
      <w:r>
        <w:t>This checkpoint pack and later written owner corrections</w:t>
      </w:r>
    </w:p>
    <w:p>
      <w:pPr>
        <w:pStyle w:val="ListNumber"/>
      </w:pPr>
      <w:r>
        <w:t>The final uploaded topic specifications</w:t>
      </w:r>
    </w:p>
    <w:p>
      <w:pPr>
        <w:pStyle w:val="ListNumber"/>
      </w:pPr>
      <w:r>
        <w:t>Current MVP architecture and completed checkpoint evidence</w:t>
      </w:r>
    </w:p>
    <w:p>
      <w:pPr>
        <w:pStyle w:val="ListNumber"/>
      </w:pPr>
      <w:r>
        <w:t>Older consolidated plans</w:t>
      </w:r>
    </w:p>
    <w:p>
      <w:pPr>
        <w:pStyle w:val="ListNumber"/>
      </w:pPr>
      <w:r>
        <w:t>Legacy donor repositories as behavior references only</w:t>
      </w:r>
    </w:p>
    <w:p>
      <w:pPr>
        <w:pStyle w:val="Heading1"/>
      </w:pPr>
      <w:r>
        <w:t>5. Documents in this pack</w:t>
      </w:r>
    </w:p>
    <w:p>
      <w:pPr>
        <w:pStyle w:val="ListBullet"/>
      </w:pPr>
      <w:r>
        <w:t>EC9: Pricing Foundation, Detailed Calculators, Exact Order Workflow</w:t>
      </w:r>
    </w:p>
    <w:p>
      <w:pPr>
        <w:pStyle w:val="ListBullet"/>
      </w:pPr>
      <w:r>
        <w:t>EC10: Order Intake, Visual Markup, Customer Decision Room, Templates</w:t>
      </w:r>
    </w:p>
    <w:p>
      <w:pPr>
        <w:pStyle w:val="ListBullet"/>
      </w:pPr>
      <w:r>
        <w:t>EC11: Production Timeline, Workflow Configuration, Stage Tracking, Kiosk</w:t>
      </w:r>
    </w:p>
    <w:p>
      <w:pPr>
        <w:pStyle w:val="ListBullet"/>
      </w:pPr>
      <w:r>
        <w:t>EC12: Tasks, Kanban, Messages, Notes, Calendar, Appointments, Community</w:t>
      </w:r>
    </w:p>
    <w:p>
      <w:pPr>
        <w:pStyle w:val="ListBullet"/>
      </w:pPr>
      <w:r>
        <w:t>EC13: Commercial Billing, Entitlements, Fees, Trials, Setup Packages</w:t>
      </w:r>
    </w:p>
    <w:p>
      <w:pPr>
        <w:pStyle w:val="ListBullet"/>
      </w:pPr>
      <w:r>
        <w:t>EC14: Webstores</w:t>
      </w:r>
    </w:p>
    <w:p>
      <w:pPr>
        <w:pStyle w:val="ListBullet"/>
      </w:pPr>
      <w:r>
        <w:t>EC15: Wrap Lab</w:t>
      </w:r>
    </w:p>
    <w:p>
      <w:pPr>
        <w:pStyle w:val="ListBullet"/>
      </w:pPr>
      <w:r>
        <w:t>EC16: Shared AI Gateway, Usage, Cost, Credits, Governance</w:t>
      </w:r>
    </w:p>
    <w:p>
      <w:pPr>
        <w:pStyle w:val="ListBullet"/>
      </w:pPr>
      <w:r>
        <w:t>EC17: Studio AI Tools, Prompt Library, Generated Assets, AI Activity</w:t>
      </w:r>
    </w:p>
    <w:p>
      <w:pPr>
        <w:pStyle w:val="ListBullet"/>
      </w:pPr>
      <w:r>
        <w:t>EC18: Paid Business Assistant, Actions, Intelligence, Realtime Voice</w:t>
      </w:r>
    </w:p>
    <w:p>
      <w:pPr>
        <w:pStyle w:val="ListBullet"/>
      </w:pPr>
      <w:r>
        <w:t>EC19: Onboarding, Help Center, Contextual Help, App Documentation</w:t>
      </w:r>
    </w:p>
    <w:p>
      <w:pPr>
        <w:pStyle w:val="ListBullet"/>
      </w:pPr>
      <w:r>
        <w:t>EC20: Platform Admin, Analytics, Dunning, Support, Governance</w:t>
      </w:r>
    </w:p>
    <w:p>
      <w:pPr>
        <w:pStyle w:val="ListBullet"/>
      </w:pPr>
      <w:r>
        <w:t>EC21: Marketing Website, Public Pricing, Founder Offer, Signup</w:t>
      </w:r>
    </w:p>
    <w:p>
      <w:pPr>
        <w:pStyle w:val="ListBullet"/>
      </w:pPr>
      <w:r>
        <w:t>EC22: Final Integration and Commercial Release Hardening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MASTER | Owner consolidation draft |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5B1F7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5B1F7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1F4E7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