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63"/>
          <w:sz w:val="28"/>
        </w:rPr>
        <w:t>SIGNGUY AI</w:t>
      </w:r>
    </w:p>
    <w:p>
      <w:pPr>
        <w:jc w:val="center"/>
      </w:pPr>
      <w:r>
        <w:rPr>
          <w:b/>
          <w:color w:val="1F2937"/>
          <w:sz w:val="58"/>
        </w:rPr>
        <w:t>Phase 1 Core Foundation Systems</w:t>
      </w:r>
    </w:p>
    <w:p>
      <w:pPr>
        <w:jc w:val="center"/>
      </w:pPr>
      <w:r>
        <w:rPr>
          <w:color w:val="475569"/>
          <w:sz w:val="24"/>
        </w:rPr>
        <w:t>Detailed build specification for the first reusable systems that every core SignGuy AI module depends on</w:t>
      </w:r>
    </w:p>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Purpose of this document</w:t>
            </w:r>
          </w:p>
          <w:p>
            <w:pPr>
              <w:spacing w:after="20"/>
            </w:pPr>
            <w:r>
              <w:t>Phase 1 turns the Phase 0 architecture decisions into usable shared foundation systems. It is not a collection of random utilities. Each item here must be implemented as a governed, tenant-safe, reusable system before the primary customer, quote, order, production, and invoicing modules are rebuilt.</w:t>
            </w:r>
          </w:p>
        </w:tc>
      </w:tr>
    </w:tbl>
    <w:p/>
    <w:p>
      <w:pPr>
        <w:pStyle w:val="Heading1"/>
      </w:pPr>
      <w:r>
        <w:t>Phase 1 modules in build order</w:t>
      </w:r>
    </w:p>
    <w:tbl>
      <w:tblPr>
        <w:tblStyle w:val="TableGrid"/>
        <w:tblW w:type="auto" w:w="0"/>
        <w:jc w:val="center"/>
        <w:tblLook w:firstColumn="1" w:firstRow="1" w:lastColumn="0" w:lastRow="0" w:noHBand="0" w:noVBand="1" w:val="04A0"/>
      </w:tblPr>
      <w:tblGrid>
        <w:gridCol w:w="3456"/>
        <w:gridCol w:w="3456"/>
        <w:gridCol w:w="3456"/>
      </w:tblGrid>
      <w:tr>
        <w:tc>
          <w:tcPr>
            <w:tcW w:type="dxa" w:w="504"/>
            <w:shd w:fill="123B63"/>
            <w:vAlign w:val="center"/>
          </w:tcPr>
          <w:p>
            <w:pPr>
              <w:spacing w:after="0"/>
            </w:pPr>
            <w:r/>
            <w:r>
              <w:rPr>
                <w:b/>
                <w:color w:val="FFFFFF"/>
                <w:sz w:val="16"/>
              </w:rPr>
              <w:t>#</w:t>
            </w:r>
          </w:p>
        </w:tc>
        <w:tc>
          <w:tcPr>
            <w:tcW w:type="dxa" w:w="3168"/>
            <w:shd w:fill="123B63"/>
            <w:vAlign w:val="center"/>
          </w:tcPr>
          <w:p>
            <w:pPr>
              <w:spacing w:after="0"/>
            </w:pPr>
            <w:r/>
            <w:r>
              <w:rPr>
                <w:b/>
                <w:color w:val="FFFFFF"/>
                <w:sz w:val="16"/>
              </w:rPr>
              <w:t>Module</w:t>
            </w:r>
          </w:p>
        </w:tc>
        <w:tc>
          <w:tcPr>
            <w:tcW w:type="dxa" w:w="6192"/>
            <w:shd w:fill="123B63"/>
            <w:vAlign w:val="center"/>
          </w:tcPr>
          <w:p>
            <w:pPr>
              <w:spacing w:after="0"/>
            </w:pPr>
            <w:r/>
            <w:r>
              <w:rPr>
                <w:b/>
                <w:color w:val="FFFFFF"/>
                <w:sz w:val="16"/>
              </w:rPr>
              <w:t>Why it belongs in Phase 1</w:t>
            </w:r>
          </w:p>
        </w:tc>
      </w:tr>
      <w:tr>
        <w:tc>
          <w:tcPr>
            <w:tcW w:type="dxa" w:w="504"/>
            <w:vAlign w:val="center"/>
          </w:tcPr>
          <w:p>
            <w:pPr>
              <w:spacing w:after="0"/>
            </w:pPr>
            <w:r/>
            <w:r>
              <w:rPr>
                <w:b w:val="0"/>
                <w:sz w:val="16"/>
              </w:rPr>
              <w:t>1</w:t>
            </w:r>
          </w:p>
        </w:tc>
        <w:tc>
          <w:tcPr>
            <w:tcW w:type="dxa" w:w="3168"/>
            <w:vAlign w:val="center"/>
          </w:tcPr>
          <w:p>
            <w:pPr>
              <w:spacing w:after="0"/>
            </w:pPr>
            <w:r/>
            <w:r>
              <w:rPr>
                <w:b w:val="0"/>
                <w:sz w:val="16"/>
              </w:rPr>
              <w:t>Authentication &amp; Account Access</w:t>
            </w:r>
          </w:p>
        </w:tc>
        <w:tc>
          <w:tcPr>
            <w:tcW w:type="dxa" w:w="6192"/>
            <w:vAlign w:val="center"/>
          </w:tcPr>
          <w:p>
            <w:pPr>
              <w:spacing w:after="0"/>
            </w:pPr>
            <w:r/>
            <w:r>
              <w:rPr>
                <w:b w:val="0"/>
                <w:sz w:val="16"/>
              </w:rPr>
              <w:t>Controls who may enter the app and how sessions, recovery, activation, and suspension behave.</w:t>
            </w:r>
          </w:p>
        </w:tc>
      </w:tr>
      <w:tr>
        <w:tc>
          <w:tcPr>
            <w:tcW w:type="dxa" w:w="504"/>
            <w:vAlign w:val="center"/>
          </w:tcPr>
          <w:p>
            <w:pPr>
              <w:spacing w:after="0"/>
            </w:pPr>
            <w:r/>
            <w:r>
              <w:rPr>
                <w:b w:val="0"/>
                <w:sz w:val="16"/>
              </w:rPr>
              <w:t>2</w:t>
            </w:r>
          </w:p>
        </w:tc>
        <w:tc>
          <w:tcPr>
            <w:tcW w:type="dxa" w:w="3168"/>
            <w:vAlign w:val="center"/>
          </w:tcPr>
          <w:p>
            <w:pPr>
              <w:spacing w:after="0"/>
            </w:pPr>
            <w:r/>
            <w:r>
              <w:rPr>
                <w:b w:val="0"/>
                <w:sz w:val="16"/>
              </w:rPr>
              <w:t>Tenant / Organization Management</w:t>
            </w:r>
          </w:p>
        </w:tc>
        <w:tc>
          <w:tcPr>
            <w:tcW w:type="dxa" w:w="6192"/>
            <w:vAlign w:val="center"/>
          </w:tcPr>
          <w:p>
            <w:pPr>
              <w:spacing w:after="0"/>
            </w:pPr>
            <w:r/>
            <w:r>
              <w:rPr>
                <w:b w:val="0"/>
                <w:sz w:val="16"/>
              </w:rPr>
              <w:t>Establishes the business boundary every record, role, setting, and portal must respect.</w:t>
            </w:r>
          </w:p>
        </w:tc>
      </w:tr>
      <w:tr>
        <w:tc>
          <w:tcPr>
            <w:tcW w:type="dxa" w:w="504"/>
            <w:vAlign w:val="center"/>
          </w:tcPr>
          <w:p>
            <w:pPr>
              <w:spacing w:after="0"/>
            </w:pPr>
            <w:r/>
            <w:r>
              <w:rPr>
                <w:b w:val="0"/>
                <w:sz w:val="16"/>
              </w:rPr>
              <w:t>3</w:t>
            </w:r>
          </w:p>
        </w:tc>
        <w:tc>
          <w:tcPr>
            <w:tcW w:type="dxa" w:w="3168"/>
            <w:vAlign w:val="center"/>
          </w:tcPr>
          <w:p>
            <w:pPr>
              <w:spacing w:after="0"/>
            </w:pPr>
            <w:r/>
            <w:r>
              <w:rPr>
                <w:b w:val="0"/>
                <w:sz w:val="16"/>
              </w:rPr>
              <w:t>Users, Roles &amp; Permissions</w:t>
            </w:r>
          </w:p>
        </w:tc>
        <w:tc>
          <w:tcPr>
            <w:tcW w:type="dxa" w:w="6192"/>
            <w:vAlign w:val="center"/>
          </w:tcPr>
          <w:p>
            <w:pPr>
              <w:spacing w:after="0"/>
            </w:pPr>
            <w:r/>
            <w:r>
              <w:rPr>
                <w:b w:val="0"/>
                <w:sz w:val="16"/>
              </w:rPr>
              <w:t>Defines who can view, create, edit, approve, export, or administer each capability.</w:t>
            </w:r>
          </w:p>
        </w:tc>
      </w:tr>
      <w:tr>
        <w:tc>
          <w:tcPr>
            <w:tcW w:type="dxa" w:w="504"/>
            <w:vAlign w:val="center"/>
          </w:tcPr>
          <w:p>
            <w:pPr>
              <w:spacing w:after="0"/>
            </w:pPr>
            <w:r/>
            <w:r>
              <w:rPr>
                <w:b w:val="0"/>
                <w:sz w:val="16"/>
              </w:rPr>
              <w:t>4</w:t>
            </w:r>
          </w:p>
        </w:tc>
        <w:tc>
          <w:tcPr>
            <w:tcW w:type="dxa" w:w="3168"/>
            <w:vAlign w:val="center"/>
          </w:tcPr>
          <w:p>
            <w:pPr>
              <w:spacing w:after="0"/>
            </w:pPr>
            <w:r/>
            <w:r>
              <w:rPr>
                <w:b w:val="0"/>
                <w:sz w:val="16"/>
              </w:rPr>
              <w:t>Settings &amp; Configuration Framework</w:t>
            </w:r>
          </w:p>
        </w:tc>
        <w:tc>
          <w:tcPr>
            <w:tcW w:type="dxa" w:w="6192"/>
            <w:vAlign w:val="center"/>
          </w:tcPr>
          <w:p>
            <w:pPr>
              <w:spacing w:after="0"/>
            </w:pPr>
            <w:r/>
            <w:r>
              <w:rPr>
                <w:b w:val="0"/>
                <w:sz w:val="16"/>
              </w:rPr>
              <w:t>Creates one governed source for shop, branding, integration, and module configuration.</w:t>
            </w:r>
          </w:p>
        </w:tc>
      </w:tr>
      <w:tr>
        <w:tc>
          <w:tcPr>
            <w:tcW w:type="dxa" w:w="504"/>
            <w:vAlign w:val="center"/>
          </w:tcPr>
          <w:p>
            <w:pPr>
              <w:spacing w:after="0"/>
            </w:pPr>
            <w:r/>
            <w:r>
              <w:rPr>
                <w:b w:val="0"/>
                <w:sz w:val="16"/>
              </w:rPr>
              <w:t>5</w:t>
            </w:r>
          </w:p>
        </w:tc>
        <w:tc>
          <w:tcPr>
            <w:tcW w:type="dxa" w:w="3168"/>
            <w:vAlign w:val="center"/>
          </w:tcPr>
          <w:p>
            <w:pPr>
              <w:spacing w:after="0"/>
            </w:pPr>
            <w:r/>
            <w:r>
              <w:rPr>
                <w:b w:val="0"/>
                <w:sz w:val="16"/>
              </w:rPr>
              <w:t>File Uploads &amp; Attachments</w:t>
            </w:r>
          </w:p>
        </w:tc>
        <w:tc>
          <w:tcPr>
            <w:tcW w:type="dxa" w:w="6192"/>
            <w:vAlign w:val="center"/>
          </w:tcPr>
          <w:p>
            <w:pPr>
              <w:spacing w:after="0"/>
            </w:pPr>
            <w:r/>
            <w:r>
              <w:rPr>
                <w:b w:val="0"/>
                <w:sz w:val="16"/>
              </w:rPr>
              <w:t>Allows all later modules to reliably store artwork, photos, documents, proofs, and generated files.</w:t>
            </w:r>
          </w:p>
        </w:tc>
      </w:tr>
      <w:tr>
        <w:tc>
          <w:tcPr>
            <w:tcW w:type="dxa" w:w="504"/>
            <w:vAlign w:val="center"/>
          </w:tcPr>
          <w:p>
            <w:pPr>
              <w:spacing w:after="0"/>
            </w:pPr>
            <w:r/>
            <w:r>
              <w:rPr>
                <w:b w:val="0"/>
                <w:sz w:val="16"/>
              </w:rPr>
              <w:t>6</w:t>
            </w:r>
          </w:p>
        </w:tc>
        <w:tc>
          <w:tcPr>
            <w:tcW w:type="dxa" w:w="3168"/>
            <w:vAlign w:val="center"/>
          </w:tcPr>
          <w:p>
            <w:pPr>
              <w:spacing w:after="0"/>
            </w:pPr>
            <w:r/>
            <w:r>
              <w:rPr>
                <w:b w:val="0"/>
                <w:sz w:val="16"/>
              </w:rPr>
              <w:t>Activity Log &amp; Audit Trail</w:t>
            </w:r>
          </w:p>
        </w:tc>
        <w:tc>
          <w:tcPr>
            <w:tcW w:type="dxa" w:w="6192"/>
            <w:vAlign w:val="center"/>
          </w:tcPr>
          <w:p>
            <w:pPr>
              <w:spacing w:after="0"/>
            </w:pPr>
            <w:r/>
            <w:r>
              <w:rPr>
                <w:b w:val="0"/>
                <w:sz w:val="16"/>
              </w:rPr>
              <w:t>Creates trustworthy history for changes, approvals, communications, payments, automation, and AI actions.</w:t>
            </w:r>
          </w:p>
        </w:tc>
      </w:tr>
      <w:tr>
        <w:tc>
          <w:tcPr>
            <w:tcW w:type="dxa" w:w="504"/>
            <w:vAlign w:val="center"/>
          </w:tcPr>
          <w:p>
            <w:pPr>
              <w:spacing w:after="0"/>
            </w:pPr>
            <w:r/>
            <w:r>
              <w:rPr>
                <w:b w:val="0"/>
                <w:sz w:val="16"/>
              </w:rPr>
              <w:t>7</w:t>
            </w:r>
          </w:p>
        </w:tc>
        <w:tc>
          <w:tcPr>
            <w:tcW w:type="dxa" w:w="3168"/>
            <w:vAlign w:val="center"/>
          </w:tcPr>
          <w:p>
            <w:pPr>
              <w:spacing w:after="0"/>
            </w:pPr>
            <w:r/>
            <w:r>
              <w:rPr>
                <w:b w:val="0"/>
                <w:sz w:val="16"/>
              </w:rPr>
              <w:t>Messaging, Email, SMS &amp; Notifications</w:t>
            </w:r>
          </w:p>
        </w:tc>
        <w:tc>
          <w:tcPr>
            <w:tcW w:type="dxa" w:w="6192"/>
            <w:vAlign w:val="center"/>
          </w:tcPr>
          <w:p>
            <w:pPr>
              <w:spacing w:after="0"/>
            </w:pPr>
            <w:r/>
            <w:r>
              <w:rPr>
                <w:b w:val="0"/>
                <w:sz w:val="16"/>
              </w:rPr>
              <w:t>Provides one communications system instead of each module inventing its own delivery logic.</w:t>
            </w:r>
          </w:p>
        </w:tc>
      </w:tr>
      <w:tr>
        <w:tc>
          <w:tcPr>
            <w:tcW w:type="dxa" w:w="504"/>
            <w:vAlign w:val="center"/>
          </w:tcPr>
          <w:p>
            <w:pPr>
              <w:spacing w:after="0"/>
            </w:pPr>
            <w:r/>
            <w:r>
              <w:rPr>
                <w:b w:val="0"/>
                <w:sz w:val="16"/>
              </w:rPr>
              <w:t>8</w:t>
            </w:r>
          </w:p>
        </w:tc>
        <w:tc>
          <w:tcPr>
            <w:tcW w:type="dxa" w:w="3168"/>
            <w:vAlign w:val="center"/>
          </w:tcPr>
          <w:p>
            <w:pPr>
              <w:spacing w:after="0"/>
            </w:pPr>
            <w:r/>
            <w:r>
              <w:rPr>
                <w:b w:val="0"/>
                <w:sz w:val="16"/>
              </w:rPr>
              <w:t>Forms, Questionnaires &amp; Signatures</w:t>
            </w:r>
          </w:p>
        </w:tc>
        <w:tc>
          <w:tcPr>
            <w:tcW w:type="dxa" w:w="6192"/>
            <w:vAlign w:val="center"/>
          </w:tcPr>
          <w:p>
            <w:pPr>
              <w:spacing w:after="0"/>
            </w:pPr>
            <w:r/>
            <w:r>
              <w:rPr>
                <w:b w:val="0"/>
                <w:sz w:val="16"/>
              </w:rPr>
              <w:t>Supports intake, approvals, questionnaires, contracts, and reusable templates.</w:t>
            </w:r>
          </w:p>
        </w:tc>
      </w:tr>
      <w:tr>
        <w:tc>
          <w:tcPr>
            <w:tcW w:type="dxa" w:w="504"/>
            <w:vAlign w:val="center"/>
          </w:tcPr>
          <w:p>
            <w:pPr>
              <w:spacing w:after="0"/>
            </w:pPr>
            <w:r/>
            <w:r>
              <w:rPr>
                <w:b w:val="0"/>
                <w:sz w:val="16"/>
              </w:rPr>
              <w:t>9</w:t>
            </w:r>
          </w:p>
        </w:tc>
        <w:tc>
          <w:tcPr>
            <w:tcW w:type="dxa" w:w="3168"/>
            <w:vAlign w:val="center"/>
          </w:tcPr>
          <w:p>
            <w:pPr>
              <w:spacing w:after="0"/>
            </w:pPr>
            <w:r/>
            <w:r>
              <w:rPr>
                <w:b w:val="0"/>
                <w:sz w:val="16"/>
              </w:rPr>
              <w:t>Global Search</w:t>
            </w:r>
          </w:p>
        </w:tc>
        <w:tc>
          <w:tcPr>
            <w:tcW w:type="dxa" w:w="6192"/>
            <w:vAlign w:val="center"/>
          </w:tcPr>
          <w:p>
            <w:pPr>
              <w:spacing w:after="0"/>
            </w:pPr>
            <w:r/>
            <w:r>
              <w:rPr>
                <w:b w:val="0"/>
                <w:sz w:val="16"/>
              </w:rPr>
              <w:t>Provides cross-module discovery only after authoritative core records and permissions exist.</w:t>
            </w:r>
          </w:p>
        </w:tc>
      </w:tr>
    </w:tbl>
    <w:p/>
    <w:p>
      <w:pPr>
        <w:pStyle w:val="Heading1"/>
      </w:pPr>
      <w:r>
        <w:t>Phase 1 exit gate</w:t>
      </w:r>
    </w:p>
    <w:p>
      <w:pPr>
        <w:pStyle w:val="ListBullet"/>
      </w:pPr>
      <w:r>
        <w:t>Every internal, portal, public, and platform-admin request resolves an authenticated actor or an intentional anonymous actor using the Phase 0 route rules.</w:t>
      </w:r>
    </w:p>
    <w:p>
      <w:pPr>
        <w:pStyle w:val="ListBullet"/>
      </w:pPr>
      <w:r>
        <w:t>Every tenant-scoped record is created with the resolved tenant_id and every read/write is backend-filtered by tenant_id.</w:t>
      </w:r>
    </w:p>
    <w:p>
      <w:pPr>
        <w:pStyle w:val="ListBullet"/>
      </w:pPr>
      <w:r>
        <w:t>Role and permission checks are enforced by backend policy, not merely by hidden buttons.</w:t>
      </w:r>
    </w:p>
    <w:p>
      <w:pPr>
        <w:pStyle w:val="ListBullet"/>
      </w:pPr>
      <w:r>
        <w:t>Settings, files, activity, communication, forms, and search are shared systems, not copies inside individual modules.</w:t>
      </w:r>
    </w:p>
    <w:p>
      <w:pPr>
        <w:pStyle w:val="ListBullet"/>
      </w:pPr>
      <w:r>
        <w:t>Each shared system exposes documented services, APIs, events, error behavior, retention rules, and acceptance tests.</w:t>
      </w:r>
    </w:p>
    <w:p>
      <w:pPr>
        <w:pStyle w:val="ListBullet"/>
      </w:pPr>
      <w:r>
        <w:t>No Phase 2 module may invent a parallel user, attachment, note, event, setting, notification, form, signature, or search implementation.</w:t>
      </w:r>
    </w:p>
    <w:p>
      <w:r>
        <w:br w:type="page"/>
      </w:r>
    </w:p>
    <w:p>
      <w:pPr>
        <w:pStyle w:val="Heading1"/>
      </w:pPr>
      <w:r>
        <w:t>How to use this document</w:t>
      </w:r>
    </w:p>
    <w:p>
      <w:r>
        <w:t>This is the implementation contract for Phase 1. Build in the stated order. Do not skip ahead to Orders, Webstores, or Wrap Lab just because they are more visible. Those modules consume the systems in this document. Building them first would force temporary copies, fake data models, and cleanup work later.</w:t>
      </w:r>
    </w:p>
    <w:p>
      <w:pPr>
        <w:pStyle w:val="Heading2"/>
      </w:pPr>
      <w:r>
        <w:t>Prerequisites from Phase 0</w:t>
      </w:r>
    </w:p>
    <w:p>
      <w:pPr>
        <w:pStyle w:val="ListBullet"/>
      </w:pPr>
      <w:r>
        <w:t>Use the approved module-oriented folder structure and canonical access-zone route map.</w:t>
      </w:r>
    </w:p>
    <w:p>
      <w:pPr>
        <w:pStyle w:val="ListBullet"/>
      </w:pPr>
      <w:r>
        <w:t>Use canonical terminology in all new code: Customer, Quote, Order, Order Item, Work Order Summary, Proof, Invoice, Attachment, Activity Event.</w:t>
      </w:r>
    </w:p>
    <w:p>
      <w:pPr>
        <w:pStyle w:val="ListBullet"/>
      </w:pPr>
      <w:r>
        <w:t>Use the shared event envelope, settings merge rules, permission model, API naming contract, and design primitives defined in Phase 0 Parts 2 and 3.</w:t>
      </w:r>
    </w:p>
    <w:p>
      <w:pPr>
        <w:pStyle w:val="ListBullet"/>
      </w:pPr>
      <w:r>
        <w:t>Keep all module-owned records behind their owning service/API. Shared systems may be used by all modules, but no module may silently write another module's records.</w:t>
      </w:r>
    </w:p>
    <w:p>
      <w:pPr>
        <w:pStyle w:val="Heading2"/>
      </w:pPr>
      <w:r>
        <w:t>Phase 1 architectural rule</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One shared implementation, many module consumers</w:t>
            </w:r>
          </w:p>
          <w:p>
            <w:pPr>
              <w:spacing w:after="20"/>
            </w:pPr>
            <w:r>
              <w:t>The purpose is not to make one giant god-service. Each shared system should have a narrow, documented responsibility and a clean service/API contract. Modules request the capability through that contract rather than recreating storage, authorization, delivery, or audit logic.</w:t>
            </w:r>
          </w:p>
        </w:tc>
      </w:tr>
    </w:tbl>
    <w:p/>
    <w:p>
      <w:pPr>
        <w:pStyle w:val="Heading2"/>
      </w:pPr>
      <w:r>
        <w:t>Recommended implementation rhythm</w:t>
      </w:r>
    </w:p>
    <w:p>
      <w:pPr>
        <w:pStyle w:val="ListNumber"/>
      </w:pPr>
      <w:r>
        <w:t>Document existing behavior and legacy files using the Module Documentation Template before changing the system.</w:t>
      </w:r>
    </w:p>
    <w:p>
      <w:pPr>
        <w:pStyle w:val="ListNumber"/>
      </w:pPr>
      <w:r>
        <w:t>Create the canonical data model and service contract.</w:t>
      </w:r>
    </w:p>
    <w:p>
      <w:pPr>
        <w:pStyle w:val="ListNumber"/>
      </w:pPr>
      <w:r>
        <w:t>Implement backend permission and tenant enforcement before building polished UI.</w:t>
      </w:r>
    </w:p>
    <w:p>
      <w:pPr>
        <w:pStyle w:val="ListNumber"/>
      </w:pPr>
      <w:r>
        <w:t>Create the minimum internal UI required to manage and verify the system.</w:t>
      </w:r>
    </w:p>
    <w:p>
      <w:pPr>
        <w:pStyle w:val="ListNumber"/>
      </w:pPr>
      <w:r>
        <w:t>Add integration tests, manual test steps, event logging, and migration notes.</w:t>
      </w:r>
    </w:p>
    <w:p>
      <w:pPr>
        <w:pStyle w:val="ListNumber"/>
      </w:pPr>
      <w:r>
        <w:t>Only then expose the system to later modules through a stable API/service contract.</w:t>
      </w:r>
    </w:p>
    <w:p>
      <w:r>
        <w:br w:type="page"/>
      </w:r>
    </w:p>
    <w:p>
      <w:pPr>
        <w:pStyle w:val="Heading1"/>
      </w:pPr>
      <w:r>
        <w:t>1. Authentication &amp; Account Access</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secure, predictable entry into SignGuy AI for internal users, portal users, public store customers, and platform administrators without mixing their identity rules, sessions, or access zones.</w:t>
            </w:r>
          </w:p>
        </w:tc>
      </w:tr>
    </w:tbl>
    <w:p/>
    <w:p>
      <w:pPr>
        <w:pStyle w:val="Heading2"/>
      </w:pPr>
      <w:r>
        <w:t>Scope and boundaries</w:t>
      </w:r>
    </w:p>
    <w:p>
      <w:pPr>
        <w:pStyle w:val="ListBullet"/>
      </w:pPr>
      <w:r>
        <w:t>Own login, logout, registration/invitation acceptance, password reset, account activation, session refresh, account suspension, and access-denied behavior.</w:t>
      </w:r>
    </w:p>
    <w:p>
      <w:pPr>
        <w:pStyle w:val="ListBullet"/>
      </w:pPr>
      <w:r>
        <w:t>Separate internal application accounts, customer portal accounts, employee portal accounts, webstore owner accounts, and platform admin accounts at the policy level even if they share an identity provider.</w:t>
      </w:r>
    </w:p>
    <w:p>
      <w:pPr>
        <w:pStyle w:val="ListBullet"/>
      </w:pPr>
      <w:r>
        <w:t>Do not own roles or permissions themselves. Authentication identifies the actor; the permission system decides what that actor may do.</w:t>
      </w:r>
    </w:p>
    <w:p>
      <w:pPr>
        <w:pStyle w:val="ListBullet"/>
      </w:pPr>
      <w:r>
        <w:t>Do not treat a public storefront visitor as an authenticated customer merely because the visitor has an email address in checkout.</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AuthIdentity</w:t>
            </w:r>
          </w:p>
        </w:tc>
        <w:tc>
          <w:tcPr>
            <w:tcW w:type="dxa" w:w="3672"/>
            <w:vAlign w:val="center"/>
          </w:tcPr>
          <w:p>
            <w:pPr>
              <w:spacing w:after="0"/>
            </w:pPr>
            <w:r/>
            <w:r>
              <w:rPr>
                <w:b w:val="0"/>
                <w:sz w:val="16"/>
              </w:rPr>
              <w:t>Login identity and credential metadata</w:t>
            </w:r>
          </w:p>
        </w:tc>
        <w:tc>
          <w:tcPr>
            <w:tcW w:type="dxa" w:w="4320"/>
            <w:vAlign w:val="center"/>
          </w:tcPr>
          <w:p>
            <w:pPr>
              <w:spacing w:after="0"/>
            </w:pPr>
            <w:r/>
            <w:r>
              <w:rPr>
                <w:b w:val="0"/>
                <w:sz w:val="16"/>
              </w:rPr>
              <w:t>id, email/username, auth_provider, status, created_at</w:t>
            </w:r>
          </w:p>
        </w:tc>
      </w:tr>
      <w:tr>
        <w:tc>
          <w:tcPr>
            <w:tcW w:type="dxa" w:w="2088"/>
            <w:vAlign w:val="center"/>
          </w:tcPr>
          <w:p>
            <w:pPr>
              <w:spacing w:after="0"/>
            </w:pPr>
            <w:r/>
            <w:r>
              <w:rPr>
                <w:b w:val="0"/>
                <w:sz w:val="16"/>
              </w:rPr>
              <w:t>Session</w:t>
            </w:r>
          </w:p>
        </w:tc>
        <w:tc>
          <w:tcPr>
            <w:tcW w:type="dxa" w:w="3672"/>
            <w:vAlign w:val="center"/>
          </w:tcPr>
          <w:p>
            <w:pPr>
              <w:spacing w:after="0"/>
            </w:pPr>
            <w:r/>
            <w:r>
              <w:rPr>
                <w:b w:val="0"/>
                <w:sz w:val="16"/>
              </w:rPr>
              <w:t>Active session / refresh-token record</w:t>
            </w:r>
          </w:p>
        </w:tc>
        <w:tc>
          <w:tcPr>
            <w:tcW w:type="dxa" w:w="4320"/>
            <w:vAlign w:val="center"/>
          </w:tcPr>
          <w:p>
            <w:pPr>
              <w:spacing w:after="0"/>
            </w:pPr>
            <w:r/>
            <w:r>
              <w:rPr>
                <w:b w:val="0"/>
                <w:sz w:val="16"/>
              </w:rPr>
              <w:t>id, identity_id, tenant_id or null, zone, expires_at, revoked_at</w:t>
            </w:r>
          </w:p>
        </w:tc>
      </w:tr>
      <w:tr>
        <w:tc>
          <w:tcPr>
            <w:tcW w:type="dxa" w:w="2088"/>
            <w:vAlign w:val="center"/>
          </w:tcPr>
          <w:p>
            <w:pPr>
              <w:spacing w:after="0"/>
            </w:pPr>
            <w:r/>
            <w:r>
              <w:rPr>
                <w:b w:val="0"/>
                <w:sz w:val="16"/>
              </w:rPr>
              <w:t>InviteToken</w:t>
            </w:r>
          </w:p>
        </w:tc>
        <w:tc>
          <w:tcPr>
            <w:tcW w:type="dxa" w:w="3672"/>
            <w:vAlign w:val="center"/>
          </w:tcPr>
          <w:p>
            <w:pPr>
              <w:spacing w:after="0"/>
            </w:pPr>
            <w:r/>
            <w:r>
              <w:rPr>
                <w:b w:val="0"/>
                <w:sz w:val="16"/>
              </w:rPr>
              <w:t>One-time join or portal invitation</w:t>
            </w:r>
          </w:p>
        </w:tc>
        <w:tc>
          <w:tcPr>
            <w:tcW w:type="dxa" w:w="4320"/>
            <w:vAlign w:val="center"/>
          </w:tcPr>
          <w:p>
            <w:pPr>
              <w:spacing w:after="0"/>
            </w:pPr>
            <w:r/>
            <w:r>
              <w:rPr>
                <w:b w:val="0"/>
                <w:sz w:val="16"/>
              </w:rPr>
              <w:t>id, tenant_id, target_role, email, expires_at, consumed_at</w:t>
            </w:r>
          </w:p>
        </w:tc>
      </w:tr>
      <w:tr>
        <w:tc>
          <w:tcPr>
            <w:tcW w:type="dxa" w:w="2088"/>
            <w:vAlign w:val="center"/>
          </w:tcPr>
          <w:p>
            <w:pPr>
              <w:spacing w:after="0"/>
            </w:pPr>
            <w:r/>
            <w:r>
              <w:rPr>
                <w:b w:val="0"/>
                <w:sz w:val="16"/>
              </w:rPr>
              <w:t>PasswordResetToken</w:t>
            </w:r>
          </w:p>
        </w:tc>
        <w:tc>
          <w:tcPr>
            <w:tcW w:type="dxa" w:w="3672"/>
            <w:vAlign w:val="center"/>
          </w:tcPr>
          <w:p>
            <w:pPr>
              <w:spacing w:after="0"/>
            </w:pPr>
            <w:r/>
            <w:r>
              <w:rPr>
                <w:b w:val="0"/>
                <w:sz w:val="16"/>
              </w:rPr>
              <w:t>One-time recovery token</w:t>
            </w:r>
          </w:p>
        </w:tc>
        <w:tc>
          <w:tcPr>
            <w:tcW w:type="dxa" w:w="4320"/>
            <w:vAlign w:val="center"/>
          </w:tcPr>
          <w:p>
            <w:pPr>
              <w:spacing w:after="0"/>
            </w:pPr>
            <w:r/>
            <w:r>
              <w:rPr>
                <w:b w:val="0"/>
                <w:sz w:val="16"/>
              </w:rPr>
              <w:t>id, identity_id, expires_at, consumed_at</w:t>
            </w:r>
          </w:p>
        </w:tc>
      </w:tr>
      <w:tr>
        <w:tc>
          <w:tcPr>
            <w:tcW w:type="dxa" w:w="2088"/>
            <w:vAlign w:val="center"/>
          </w:tcPr>
          <w:p>
            <w:pPr>
              <w:spacing w:after="0"/>
            </w:pPr>
            <w:r/>
            <w:r>
              <w:rPr>
                <w:b w:val="0"/>
                <w:sz w:val="16"/>
              </w:rPr>
              <w:t>AccessEvent</w:t>
            </w:r>
          </w:p>
        </w:tc>
        <w:tc>
          <w:tcPr>
            <w:tcW w:type="dxa" w:w="3672"/>
            <w:vAlign w:val="center"/>
          </w:tcPr>
          <w:p>
            <w:pPr>
              <w:spacing w:after="0"/>
            </w:pPr>
            <w:r/>
            <w:r>
              <w:rPr>
                <w:b w:val="0"/>
                <w:sz w:val="16"/>
              </w:rPr>
              <w:t>Security-level activity</w:t>
            </w:r>
          </w:p>
        </w:tc>
        <w:tc>
          <w:tcPr>
            <w:tcW w:type="dxa" w:w="4320"/>
            <w:vAlign w:val="center"/>
          </w:tcPr>
          <w:p>
            <w:pPr>
              <w:spacing w:after="0"/>
            </w:pPr>
            <w:r/>
            <w:r>
              <w:rPr>
                <w:b w:val="0"/>
                <w:sz w:val="16"/>
              </w:rPr>
              <w:t>id, actor_id, event_type, ip metadata, timestamp</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Auth public</w:t>
            </w:r>
          </w:p>
        </w:tc>
        <w:tc>
          <w:tcPr>
            <w:tcW w:type="dxa" w:w="3456"/>
            <w:vAlign w:val="center"/>
          </w:tcPr>
          <w:p>
            <w:pPr>
              <w:spacing w:after="0"/>
            </w:pPr>
            <w:r/>
            <w:r>
              <w:rPr>
                <w:b w:val="0"/>
                <w:sz w:val="16"/>
              </w:rPr>
              <w:t>/login, /register, /forgot-password, /reset-password</w:t>
            </w:r>
          </w:p>
        </w:tc>
        <w:tc>
          <w:tcPr>
            <w:tcW w:type="dxa" w:w="5040"/>
            <w:vAlign w:val="center"/>
          </w:tcPr>
          <w:p>
            <w:pPr>
              <w:spacing w:after="0"/>
            </w:pPr>
            <w:r/>
            <w:r>
              <w:rPr>
                <w:b w:val="0"/>
                <w:sz w:val="16"/>
              </w:rPr>
              <w:t>No authenticated session required.</w:t>
            </w:r>
          </w:p>
        </w:tc>
      </w:tr>
      <w:tr>
        <w:tc>
          <w:tcPr>
            <w:tcW w:type="dxa" w:w="1584"/>
            <w:vAlign w:val="center"/>
          </w:tcPr>
          <w:p>
            <w:pPr>
              <w:spacing w:after="0"/>
            </w:pPr>
            <w:r/>
            <w:r>
              <w:rPr>
                <w:b w:val="0"/>
                <w:sz w:val="16"/>
              </w:rPr>
              <w:t>Internal app</w:t>
            </w:r>
          </w:p>
        </w:tc>
        <w:tc>
          <w:tcPr>
            <w:tcW w:type="dxa" w:w="3456"/>
            <w:vAlign w:val="center"/>
          </w:tcPr>
          <w:p>
            <w:pPr>
              <w:spacing w:after="0"/>
            </w:pPr>
            <w:r/>
            <w:r>
              <w:rPr>
                <w:b w:val="0"/>
                <w:sz w:val="16"/>
              </w:rPr>
              <w:t>/dashboard and protected internal routes</w:t>
            </w:r>
          </w:p>
        </w:tc>
        <w:tc>
          <w:tcPr>
            <w:tcW w:type="dxa" w:w="5040"/>
            <w:vAlign w:val="center"/>
          </w:tcPr>
          <w:p>
            <w:pPr>
              <w:spacing w:after="0"/>
            </w:pPr>
            <w:r/>
            <w:r>
              <w:rPr>
                <w:b w:val="0"/>
                <w:sz w:val="16"/>
              </w:rPr>
              <w:t>Internal actor plus tenant context required.</w:t>
            </w:r>
          </w:p>
        </w:tc>
      </w:tr>
      <w:tr>
        <w:tc>
          <w:tcPr>
            <w:tcW w:type="dxa" w:w="1584"/>
            <w:vAlign w:val="center"/>
          </w:tcPr>
          <w:p>
            <w:pPr>
              <w:spacing w:after="0"/>
            </w:pPr>
            <w:r/>
            <w:r>
              <w:rPr>
                <w:b w:val="0"/>
                <w:sz w:val="16"/>
              </w:rPr>
              <w:t>Customer portal</w:t>
            </w:r>
          </w:p>
        </w:tc>
        <w:tc>
          <w:tcPr>
            <w:tcW w:type="dxa" w:w="3456"/>
            <w:vAlign w:val="center"/>
          </w:tcPr>
          <w:p>
            <w:pPr>
              <w:spacing w:after="0"/>
            </w:pPr>
            <w:r/>
            <w:r>
              <w:rPr>
                <w:b w:val="0"/>
                <w:sz w:val="16"/>
              </w:rPr>
              <w:t>/customer-portal/login and tenant-scoped portal routes</w:t>
            </w:r>
          </w:p>
        </w:tc>
        <w:tc>
          <w:tcPr>
            <w:tcW w:type="dxa" w:w="5040"/>
            <w:vAlign w:val="center"/>
          </w:tcPr>
          <w:p>
            <w:pPr>
              <w:spacing w:after="0"/>
            </w:pPr>
            <w:r/>
            <w:r>
              <w:rPr>
                <w:b w:val="0"/>
                <w:sz w:val="16"/>
              </w:rPr>
              <w:t>Customer portal identity required.</w:t>
            </w:r>
          </w:p>
        </w:tc>
      </w:tr>
      <w:tr>
        <w:tc>
          <w:tcPr>
            <w:tcW w:type="dxa" w:w="1584"/>
            <w:vAlign w:val="center"/>
          </w:tcPr>
          <w:p>
            <w:pPr>
              <w:spacing w:after="0"/>
            </w:pPr>
            <w:r/>
            <w:r>
              <w:rPr>
                <w:b w:val="0"/>
                <w:sz w:val="16"/>
              </w:rPr>
              <w:t>Employee portal</w:t>
            </w:r>
          </w:p>
        </w:tc>
        <w:tc>
          <w:tcPr>
            <w:tcW w:type="dxa" w:w="3456"/>
            <w:vAlign w:val="center"/>
          </w:tcPr>
          <w:p>
            <w:pPr>
              <w:spacing w:after="0"/>
            </w:pPr>
            <w:r/>
            <w:r>
              <w:rPr>
                <w:b w:val="0"/>
                <w:sz w:val="16"/>
              </w:rPr>
              <w:t>/employee-portal/login and portal routes</w:t>
            </w:r>
          </w:p>
        </w:tc>
        <w:tc>
          <w:tcPr>
            <w:tcW w:type="dxa" w:w="5040"/>
            <w:vAlign w:val="center"/>
          </w:tcPr>
          <w:p>
            <w:pPr>
              <w:spacing w:after="0"/>
            </w:pPr>
            <w:r/>
            <w:r>
              <w:rPr>
                <w:b w:val="0"/>
                <w:sz w:val="16"/>
              </w:rPr>
              <w:t>Employee identity required.</w:t>
            </w:r>
          </w:p>
        </w:tc>
      </w:tr>
      <w:tr>
        <w:tc>
          <w:tcPr>
            <w:tcW w:type="dxa" w:w="1584"/>
            <w:vAlign w:val="center"/>
          </w:tcPr>
          <w:p>
            <w:pPr>
              <w:spacing w:after="0"/>
            </w:pPr>
            <w:r/>
            <w:r>
              <w:rPr>
                <w:b w:val="0"/>
                <w:sz w:val="16"/>
              </w:rPr>
              <w:t>Owner portal</w:t>
            </w:r>
          </w:p>
        </w:tc>
        <w:tc>
          <w:tcPr>
            <w:tcW w:type="dxa" w:w="3456"/>
            <w:vAlign w:val="center"/>
          </w:tcPr>
          <w:p>
            <w:pPr>
              <w:spacing w:after="0"/>
            </w:pPr>
            <w:r/>
            <w:r>
              <w:rPr>
                <w:b w:val="0"/>
                <w:sz w:val="16"/>
              </w:rPr>
              <w:t>/owner-portal-signup/:token, /owner-portal</w:t>
            </w:r>
          </w:p>
        </w:tc>
        <w:tc>
          <w:tcPr>
            <w:tcW w:type="dxa" w:w="5040"/>
            <w:vAlign w:val="center"/>
          </w:tcPr>
          <w:p>
            <w:pPr>
              <w:spacing w:after="0"/>
            </w:pPr>
            <w:r/>
            <w:r>
              <w:rPr>
                <w:b w:val="0"/>
                <w:sz w:val="16"/>
              </w:rPr>
              <w:t>Owner/manager invitation and owner role required.</w:t>
            </w:r>
          </w:p>
        </w:tc>
      </w:tr>
      <w:tr>
        <w:tc>
          <w:tcPr>
            <w:tcW w:type="dxa" w:w="1584"/>
            <w:vAlign w:val="center"/>
          </w:tcPr>
          <w:p>
            <w:pPr>
              <w:spacing w:after="0"/>
            </w:pPr>
            <w:r/>
            <w:r>
              <w:rPr>
                <w:b w:val="0"/>
                <w:sz w:val="16"/>
              </w:rPr>
              <w:t>Platform admin</w:t>
            </w:r>
          </w:p>
        </w:tc>
        <w:tc>
          <w:tcPr>
            <w:tcW w:type="dxa" w:w="3456"/>
            <w:vAlign w:val="center"/>
          </w:tcPr>
          <w:p>
            <w:pPr>
              <w:spacing w:after="0"/>
            </w:pPr>
            <w:r/>
            <w:r>
              <w:rPr>
                <w:b w:val="0"/>
                <w:sz w:val="16"/>
              </w:rPr>
              <w:t>/platform-admin/*</w:t>
            </w:r>
          </w:p>
        </w:tc>
        <w:tc>
          <w:tcPr>
            <w:tcW w:type="dxa" w:w="5040"/>
            <w:vAlign w:val="center"/>
          </w:tcPr>
          <w:p>
            <w:pPr>
              <w:spacing w:after="0"/>
            </w:pPr>
            <w:r/>
            <w:r>
              <w:rPr>
                <w:b w:val="0"/>
                <w:sz w:val="16"/>
              </w:rPr>
              <w:t>Platform-admin actor and explicit platform zone required.</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Auth service</w:t>
            </w:r>
          </w:p>
        </w:tc>
        <w:tc>
          <w:tcPr>
            <w:tcW w:type="dxa" w:w="3816"/>
            <w:vAlign w:val="center"/>
          </w:tcPr>
          <w:p>
            <w:pPr>
              <w:spacing w:after="0"/>
            </w:pPr>
            <w:r/>
            <w:r>
              <w:rPr>
                <w:b w:val="0"/>
                <w:sz w:val="16"/>
              </w:rPr>
              <w:t>Identity lookup, password policy, session lifecycle, invites, reset links</w:t>
            </w:r>
          </w:p>
        </w:tc>
        <w:tc>
          <w:tcPr>
            <w:tcW w:type="dxa" w:w="4320"/>
            <w:vAlign w:val="center"/>
          </w:tcPr>
          <w:p>
            <w:pPr>
              <w:spacing w:after="0"/>
            </w:pPr>
            <w:r/>
            <w:r>
              <w:rPr>
                <w:b w:val="0"/>
                <w:sz w:val="16"/>
              </w:rPr>
              <w:t>POST /api/auth/login; POST /api/auth/logout; POST /api/auth/refresh</w:t>
            </w:r>
          </w:p>
        </w:tc>
      </w:tr>
      <w:tr>
        <w:tc>
          <w:tcPr>
            <w:tcW w:type="dxa" w:w="1944"/>
            <w:vAlign w:val="center"/>
          </w:tcPr>
          <w:p>
            <w:pPr>
              <w:spacing w:after="0"/>
            </w:pPr>
            <w:r/>
            <w:r>
              <w:rPr>
                <w:b w:val="0"/>
                <w:sz w:val="16"/>
              </w:rPr>
              <w:t>Session middleware</w:t>
            </w:r>
          </w:p>
        </w:tc>
        <w:tc>
          <w:tcPr>
            <w:tcW w:type="dxa" w:w="3816"/>
            <w:vAlign w:val="center"/>
          </w:tcPr>
          <w:p>
            <w:pPr>
              <w:spacing w:after="0"/>
            </w:pPr>
            <w:r/>
            <w:r>
              <w:rPr>
                <w:b w:val="0"/>
                <w:sz w:val="16"/>
              </w:rPr>
              <w:t>Resolve actor, access zone, tenant context, session validity</w:t>
            </w:r>
          </w:p>
        </w:tc>
        <w:tc>
          <w:tcPr>
            <w:tcW w:type="dxa" w:w="4320"/>
            <w:vAlign w:val="center"/>
          </w:tcPr>
          <w:p>
            <w:pPr>
              <w:spacing w:after="0"/>
            </w:pPr>
            <w:r/>
            <w:r>
              <w:rPr>
                <w:b w:val="0"/>
                <w:sz w:val="16"/>
              </w:rPr>
              <w:t>requireAuth(); resolveActor(); requireZone()</w:t>
            </w:r>
          </w:p>
        </w:tc>
      </w:tr>
      <w:tr>
        <w:tc>
          <w:tcPr>
            <w:tcW w:type="dxa" w:w="1944"/>
            <w:vAlign w:val="center"/>
          </w:tcPr>
          <w:p>
            <w:pPr>
              <w:spacing w:after="0"/>
            </w:pPr>
            <w:r/>
            <w:r>
              <w:rPr>
                <w:b w:val="0"/>
                <w:sz w:val="16"/>
              </w:rPr>
              <w:t>Security events</w:t>
            </w:r>
          </w:p>
        </w:tc>
        <w:tc>
          <w:tcPr>
            <w:tcW w:type="dxa" w:w="3816"/>
            <w:vAlign w:val="center"/>
          </w:tcPr>
          <w:p>
            <w:pPr>
              <w:spacing w:after="0"/>
            </w:pPr>
            <w:r/>
            <w:r>
              <w:rPr>
                <w:b w:val="0"/>
                <w:sz w:val="16"/>
              </w:rPr>
              <w:t>Emit login, logout, failed login, reset, invite consumed, suspension events</w:t>
            </w:r>
          </w:p>
        </w:tc>
        <w:tc>
          <w:tcPr>
            <w:tcW w:type="dxa" w:w="4320"/>
            <w:vAlign w:val="center"/>
          </w:tcPr>
          <w:p>
            <w:pPr>
              <w:spacing w:after="0"/>
            </w:pPr>
            <w:r/>
            <w:r>
              <w:rPr>
                <w:b w:val="0"/>
                <w:sz w:val="16"/>
              </w:rPr>
              <w:t>auth.login.succeeded; auth.login.failed</w:t>
            </w:r>
          </w:p>
        </w:tc>
      </w:tr>
      <w:tr>
        <w:tc>
          <w:tcPr>
            <w:tcW w:type="dxa" w:w="1944"/>
            <w:vAlign w:val="center"/>
          </w:tcPr>
          <w:p>
            <w:pPr>
              <w:spacing w:after="0"/>
            </w:pPr>
            <w:r/>
            <w:r>
              <w:rPr>
                <w:b w:val="0"/>
                <w:sz w:val="16"/>
              </w:rPr>
              <w:t>Portal auth adapter</w:t>
            </w:r>
          </w:p>
        </w:tc>
        <w:tc>
          <w:tcPr>
            <w:tcW w:type="dxa" w:w="3816"/>
            <w:vAlign w:val="center"/>
          </w:tcPr>
          <w:p>
            <w:pPr>
              <w:spacing w:after="0"/>
            </w:pPr>
            <w:r/>
            <w:r>
              <w:rPr>
                <w:b w:val="0"/>
                <w:sz w:val="16"/>
              </w:rPr>
              <w:t>Map customer/employee/owner portal identities to the correct entity without granting internal access</w:t>
            </w:r>
          </w:p>
        </w:tc>
        <w:tc>
          <w:tcPr>
            <w:tcW w:type="dxa" w:w="4320"/>
            <w:vAlign w:val="center"/>
          </w:tcPr>
          <w:p>
            <w:pPr>
              <w:spacing w:after="0"/>
            </w:pPr>
            <w:r/>
            <w:r>
              <w:rPr>
                <w:b w:val="0"/>
                <w:sz w:val="16"/>
              </w:rPr>
              <w:t>requirePortalIdentity("customer")</w:t>
            </w:r>
          </w:p>
        </w:tc>
      </w:tr>
    </w:tbl>
    <w:p/>
    <w:p>
      <w:pPr>
        <w:pStyle w:val="Heading2"/>
      </w:pPr>
      <w:r>
        <w:t>Business rules and guardrails</w:t>
      </w:r>
    </w:p>
    <w:p>
      <w:pPr>
        <w:pStyle w:val="ListBullet"/>
      </w:pPr>
      <w:r>
        <w:t>All login attempts must be rate-limited and logged without storing raw passwords or sensitive token values.</w:t>
      </w:r>
    </w:p>
    <w:p>
      <w:pPr>
        <w:pStyle w:val="ListBullet"/>
      </w:pPr>
      <w:r>
        <w:t>An inactive, invited-only, locked, or suspended account must receive an intentional response and must not create a usable session.</w:t>
      </w:r>
    </w:p>
    <w:p>
      <w:pPr>
        <w:pStyle w:val="ListBullet"/>
      </w:pPr>
      <w:r>
        <w:t>Password reset links and invitation links must be one-time, time-limited, hashed at rest, and invalidated after use.</w:t>
      </w:r>
    </w:p>
    <w:p>
      <w:pPr>
        <w:pStyle w:val="ListBullet"/>
      </w:pPr>
      <w:r>
        <w:t>Authentication errors must not leak whether a particular email is registered when that would create account-enumeration risk.</w:t>
      </w:r>
    </w:p>
    <w:p>
      <w:pPr>
        <w:pStyle w:val="ListBullet"/>
      </w:pPr>
      <w:r>
        <w:t>Every session must be associated with an explicit zone: internal, customer_portal, employee_portal, owner_portal, platform_admin, or public.</w:t>
      </w:r>
    </w:p>
    <w:p>
      <w:pPr>
        <w:pStyle w:val="ListBullet"/>
      </w:pPr>
      <w:r>
        <w:t>Logging out must revoke the server-side session/refresh token, not merely remove a browser token.</w:t>
      </w:r>
    </w:p>
    <w:p>
      <w:pPr>
        <w:pStyle w:val="ListBullet"/>
      </w:pPr>
      <w:r>
        <w:t>A successful login should record an auth activity event but must never log password, token, full IP address, or raw user-agent details in user-visible timelines.</w:t>
      </w:r>
    </w:p>
    <w:p>
      <w:pPr>
        <w:pStyle w:val="Heading2"/>
      </w:pPr>
      <w:r>
        <w:t>Required build sequence</w:t>
      </w:r>
    </w:p>
    <w:p>
      <w:pPr>
        <w:pStyle w:val="ListNumber"/>
      </w:pPr>
      <w:r>
        <w:t>Inventory current authentication, login pages, route guards, JWT/session middleware, invitation paths, reset logic, and legacy portal login code.</w:t>
      </w:r>
    </w:p>
    <w:p>
      <w:pPr>
        <w:pStyle w:val="ListNumber"/>
      </w:pPr>
      <w:r>
        <w:t>Create canonical identity and session records plus secure password/token utilities.</w:t>
      </w:r>
    </w:p>
    <w:p>
      <w:pPr>
        <w:pStyle w:val="ListNumber"/>
      </w:pPr>
      <w:r>
        <w:t>Create zone-aware middleware and require it on every protected API namespace.</w:t>
      </w:r>
    </w:p>
    <w:p>
      <w:pPr>
        <w:pStyle w:val="ListNumber"/>
      </w:pPr>
      <w:r>
        <w:t>Implement invitation acceptance for internal staff, customers, employees, owners/managers, and platform admins using explicit invitation types.</w:t>
      </w:r>
    </w:p>
    <w:p>
      <w:pPr>
        <w:pStyle w:val="ListNumber"/>
      </w:pPr>
      <w:r>
        <w:t>Implement password reset and account suspension flows before any later module depends on them.</w:t>
      </w:r>
    </w:p>
    <w:p>
      <w:pPr>
        <w:pStyle w:val="ListNumber"/>
      </w:pPr>
      <w:r>
        <w:t>Build minimal internal admin controls for account status, session revocation, resend invite, and reset assistance.</w:t>
      </w:r>
    </w:p>
    <w:p>
      <w:pPr>
        <w:pStyle w:val="ListNumber"/>
      </w:pPr>
      <w:r>
        <w:t>Add security event emission and test all access zones.</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Internal admin logs in and sees only their tenant workspace</w:t>
            </w:r>
          </w:p>
        </w:tc>
        <w:tc>
          <w:tcPr>
            <w:tcW w:type="dxa" w:w="5472"/>
            <w:vAlign w:val="center"/>
          </w:tcPr>
          <w:p>
            <w:pPr>
              <w:spacing w:after="0"/>
            </w:pPr>
            <w:r/>
            <w:r>
              <w:rPr>
                <w:b w:val="0"/>
                <w:sz w:val="16"/>
              </w:rPr>
              <w:t>Session is created with internal zone and resolved tenant context.</w:t>
            </w:r>
          </w:p>
        </w:tc>
      </w:tr>
      <w:tr>
        <w:tc>
          <w:tcPr>
            <w:tcW w:type="dxa" w:w="4608"/>
            <w:vAlign w:val="center"/>
          </w:tcPr>
          <w:p>
            <w:pPr>
              <w:spacing w:after="0"/>
            </w:pPr>
            <w:r/>
            <w:r>
              <w:rPr>
                <w:b w:val="0"/>
                <w:sz w:val="16"/>
              </w:rPr>
              <w:t>Customer portal user logs in</w:t>
            </w:r>
          </w:p>
        </w:tc>
        <w:tc>
          <w:tcPr>
            <w:tcW w:type="dxa" w:w="5472"/>
            <w:vAlign w:val="center"/>
          </w:tcPr>
          <w:p>
            <w:pPr>
              <w:spacing w:after="0"/>
            </w:pPr>
            <w:r/>
            <w:r>
              <w:rPr>
                <w:b w:val="0"/>
                <w:sz w:val="16"/>
              </w:rPr>
              <w:t>Can access their own portal only; direct internal route returns 403/redirect.</w:t>
            </w:r>
          </w:p>
        </w:tc>
      </w:tr>
      <w:tr>
        <w:tc>
          <w:tcPr>
            <w:tcW w:type="dxa" w:w="4608"/>
            <w:vAlign w:val="center"/>
          </w:tcPr>
          <w:p>
            <w:pPr>
              <w:spacing w:after="0"/>
            </w:pPr>
            <w:r/>
            <w:r>
              <w:rPr>
                <w:b w:val="0"/>
                <w:sz w:val="16"/>
              </w:rPr>
              <w:t>Expired reset/invite link is opened</w:t>
            </w:r>
          </w:p>
        </w:tc>
        <w:tc>
          <w:tcPr>
            <w:tcW w:type="dxa" w:w="5472"/>
            <w:vAlign w:val="center"/>
          </w:tcPr>
          <w:p>
            <w:pPr>
              <w:spacing w:after="0"/>
            </w:pPr>
            <w:r/>
            <w:r>
              <w:rPr>
                <w:b w:val="0"/>
                <w:sz w:val="16"/>
              </w:rPr>
              <w:t>Link is rejected safely and cannot be replayed.</w:t>
            </w:r>
          </w:p>
        </w:tc>
      </w:tr>
      <w:tr>
        <w:tc>
          <w:tcPr>
            <w:tcW w:type="dxa" w:w="4608"/>
            <w:vAlign w:val="center"/>
          </w:tcPr>
          <w:p>
            <w:pPr>
              <w:spacing w:after="0"/>
            </w:pPr>
            <w:r/>
            <w:r>
              <w:rPr>
                <w:b w:val="0"/>
                <w:sz w:val="16"/>
              </w:rPr>
              <w:t>Suspended user attempts login</w:t>
            </w:r>
          </w:p>
        </w:tc>
        <w:tc>
          <w:tcPr>
            <w:tcW w:type="dxa" w:w="5472"/>
            <w:vAlign w:val="center"/>
          </w:tcPr>
          <w:p>
            <w:pPr>
              <w:spacing w:after="0"/>
            </w:pPr>
            <w:r/>
            <w:r>
              <w:rPr>
                <w:b w:val="0"/>
                <w:sz w:val="16"/>
              </w:rPr>
              <w:t>No active session is created; security event is recorded.</w:t>
            </w:r>
          </w:p>
        </w:tc>
      </w:tr>
      <w:tr>
        <w:tc>
          <w:tcPr>
            <w:tcW w:type="dxa" w:w="4608"/>
            <w:vAlign w:val="center"/>
          </w:tcPr>
          <w:p>
            <w:pPr>
              <w:spacing w:after="0"/>
            </w:pPr>
            <w:r/>
            <w:r>
              <w:rPr>
                <w:b w:val="0"/>
                <w:sz w:val="16"/>
              </w:rPr>
              <w:t>Logout from one device</w:t>
            </w:r>
          </w:p>
        </w:tc>
        <w:tc>
          <w:tcPr>
            <w:tcW w:type="dxa" w:w="5472"/>
            <w:vAlign w:val="center"/>
          </w:tcPr>
          <w:p>
            <w:pPr>
              <w:spacing w:after="0"/>
            </w:pPr>
            <w:r/>
            <w:r>
              <w:rPr>
                <w:b w:val="0"/>
                <w:sz w:val="16"/>
              </w:rPr>
              <w:t>That session is revoked; other sessions behave according to policy.</w:t>
            </w:r>
          </w:p>
        </w:tc>
      </w:tr>
      <w:tr>
        <w:tc>
          <w:tcPr>
            <w:tcW w:type="dxa" w:w="4608"/>
            <w:vAlign w:val="center"/>
          </w:tcPr>
          <w:p>
            <w:pPr>
              <w:spacing w:after="0"/>
            </w:pPr>
            <w:r/>
            <w:r>
              <w:rPr>
                <w:b w:val="0"/>
                <w:sz w:val="16"/>
              </w:rPr>
              <w:t>Direct API request without session</w:t>
            </w:r>
          </w:p>
        </w:tc>
        <w:tc>
          <w:tcPr>
            <w:tcW w:type="dxa" w:w="5472"/>
            <w:vAlign w:val="center"/>
          </w:tcPr>
          <w:p>
            <w:pPr>
              <w:spacing w:after="0"/>
            </w:pPr>
            <w:r/>
            <w:r>
              <w:rPr>
                <w:b w:val="0"/>
                <w:sz w:val="16"/>
              </w:rPr>
              <w:t>Protected endpoint returns standard unauthorized response.</w:t>
            </w:r>
          </w:p>
        </w:tc>
      </w:tr>
    </w:tbl>
    <w:p/>
    <w:p>
      <w:pPr>
        <w:pStyle w:val="Heading2"/>
      </w:pPr>
      <w:r>
        <w:t>Migration / legacy cleanup</w:t>
      </w:r>
    </w:p>
    <w:p>
      <w:pPr>
        <w:pStyle w:val="ListBullet"/>
      </w:pPr>
      <w:r>
        <w:t>Keep a compatibility map for existing /login, /register, /reset-password, /setup, and portal login routes until all active links are updated.</w:t>
      </w:r>
    </w:p>
    <w:p>
      <w:pPr>
        <w:pStyle w:val="ListBullet"/>
      </w:pPr>
      <w:r>
        <w:t>Identify whether legacy tokens are JWT-only or backed by server records; migrate toward revocable session/refresh records.</w:t>
      </w:r>
    </w:p>
    <w:p>
      <w:pPr>
        <w:pStyle w:val="ListBullet"/>
      </w:pPr>
      <w:r>
        <w:t>Remove any role inference based solely on URL, query parameter, or client-supplied tenant id.</w:t>
      </w:r>
    </w:p>
    <w:p>
      <w:pPr>
        <w:pStyle w:val="Heading2"/>
      </w:pPr>
      <w:r>
        <w:t>Important implementation notes</w:t>
      </w:r>
    </w:p>
    <w:p>
      <w:pPr>
        <w:pStyle w:val="ListBullet"/>
      </w:pPr>
      <w:r>
        <w:t>Use the Phase 0 standard error envelope for all auth failures.</w:t>
      </w:r>
    </w:p>
    <w:p>
      <w:pPr>
        <w:pStyle w:val="ListBullet"/>
      </w:pPr>
      <w:r>
        <w:t>Keep platform-admin authentication separate from tenant staff identity even if one human may hold both identities.</w:t>
      </w:r>
    </w:p>
    <w:p>
      <w:r>
        <w:br w:type="page"/>
      </w:r>
    </w:p>
    <w:p>
      <w:pPr>
        <w:pStyle w:val="Heading1"/>
      </w:pPr>
      <w:r>
        <w:t>2. Tenant / Organization Management</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Create the authoritative business boundary for every sign shop, organization, billing relationship, data record, setting, role assignment, and tenant-safe request.</w:t>
            </w:r>
          </w:p>
        </w:tc>
      </w:tr>
    </w:tbl>
    <w:p/>
    <w:p>
      <w:pPr>
        <w:pStyle w:val="Heading2"/>
      </w:pPr>
      <w:r>
        <w:t>Scope and boundaries</w:t>
      </w:r>
    </w:p>
    <w:p>
      <w:pPr>
        <w:pStyle w:val="ListBullet"/>
      </w:pPr>
      <w:r>
        <w:t>Own tenant creation, tenant status, organization identity, billing/customer relationship references, tenant lifecycle, default configuration initialization, and tenant-level data boundaries.</w:t>
      </w:r>
    </w:p>
    <w:p>
      <w:pPr>
        <w:pStyle w:val="ListBullet"/>
      </w:pPr>
      <w:r>
        <w:t>Do not own individual user credentials, but own the relationship between a user/identity and a tenant membership.</w:t>
      </w:r>
    </w:p>
    <w:p>
      <w:pPr>
        <w:pStyle w:val="ListBullet"/>
      </w:pPr>
      <w:r>
        <w:t>Do not allow client-provided tenant_id values to select tenant scope for ordinary internal requests.</w:t>
      </w:r>
    </w:p>
    <w:p>
      <w:pPr>
        <w:pStyle w:val="ListBullet"/>
      </w:pPr>
      <w:r>
        <w:t>Platform admin may act across tenants only through explicit privileged, audited flows.</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Tenant</w:t>
            </w:r>
          </w:p>
        </w:tc>
        <w:tc>
          <w:tcPr>
            <w:tcW w:type="dxa" w:w="3672"/>
            <w:vAlign w:val="center"/>
          </w:tcPr>
          <w:p>
            <w:pPr>
              <w:spacing w:after="0"/>
            </w:pPr>
            <w:r/>
            <w:r>
              <w:rPr>
                <w:b w:val="0"/>
                <w:sz w:val="16"/>
              </w:rPr>
              <w:t>Primary organization / sign shop boundary</w:t>
            </w:r>
          </w:p>
        </w:tc>
        <w:tc>
          <w:tcPr>
            <w:tcW w:type="dxa" w:w="4320"/>
            <w:vAlign w:val="center"/>
          </w:tcPr>
          <w:p>
            <w:pPr>
              <w:spacing w:after="0"/>
            </w:pPr>
            <w:r/>
            <w:r>
              <w:rPr>
                <w:b w:val="0"/>
                <w:sz w:val="16"/>
              </w:rPr>
              <w:t>id, name, status, timezone, currency, created_at</w:t>
            </w:r>
          </w:p>
        </w:tc>
      </w:tr>
      <w:tr>
        <w:tc>
          <w:tcPr>
            <w:tcW w:type="dxa" w:w="2088"/>
            <w:vAlign w:val="center"/>
          </w:tcPr>
          <w:p>
            <w:pPr>
              <w:spacing w:after="0"/>
            </w:pPr>
            <w:r/>
            <w:r>
              <w:rPr>
                <w:b w:val="0"/>
                <w:sz w:val="16"/>
              </w:rPr>
              <w:t>TenantMembership</w:t>
            </w:r>
          </w:p>
        </w:tc>
        <w:tc>
          <w:tcPr>
            <w:tcW w:type="dxa" w:w="3672"/>
            <w:vAlign w:val="center"/>
          </w:tcPr>
          <w:p>
            <w:pPr>
              <w:spacing w:after="0"/>
            </w:pPr>
            <w:r/>
            <w:r>
              <w:rPr>
                <w:b w:val="0"/>
                <w:sz w:val="16"/>
              </w:rPr>
              <w:t>User identity relationship to tenant</w:t>
            </w:r>
          </w:p>
        </w:tc>
        <w:tc>
          <w:tcPr>
            <w:tcW w:type="dxa" w:w="4320"/>
            <w:vAlign w:val="center"/>
          </w:tcPr>
          <w:p>
            <w:pPr>
              <w:spacing w:after="0"/>
            </w:pPr>
            <w:r/>
            <w:r>
              <w:rPr>
                <w:b w:val="0"/>
                <w:sz w:val="16"/>
              </w:rPr>
              <w:t>id, tenant_id, user_id, role_ids, status, joined_at</w:t>
            </w:r>
          </w:p>
        </w:tc>
      </w:tr>
      <w:tr>
        <w:tc>
          <w:tcPr>
            <w:tcW w:type="dxa" w:w="2088"/>
            <w:vAlign w:val="center"/>
          </w:tcPr>
          <w:p>
            <w:pPr>
              <w:spacing w:after="0"/>
            </w:pPr>
            <w:r/>
            <w:r>
              <w:rPr>
                <w:b w:val="0"/>
                <w:sz w:val="16"/>
              </w:rPr>
              <w:t>TenantBranding</w:t>
            </w:r>
          </w:p>
        </w:tc>
        <w:tc>
          <w:tcPr>
            <w:tcW w:type="dxa" w:w="3672"/>
            <w:vAlign w:val="center"/>
          </w:tcPr>
          <w:p>
            <w:pPr>
              <w:spacing w:after="0"/>
            </w:pPr>
            <w:r/>
            <w:r>
              <w:rPr>
                <w:b w:val="0"/>
                <w:sz w:val="16"/>
              </w:rPr>
              <w:t>Tenant-owned brand defaults</w:t>
            </w:r>
          </w:p>
        </w:tc>
        <w:tc>
          <w:tcPr>
            <w:tcW w:type="dxa" w:w="4320"/>
            <w:vAlign w:val="center"/>
          </w:tcPr>
          <w:p>
            <w:pPr>
              <w:spacing w:after="0"/>
            </w:pPr>
            <w:r/>
            <w:r>
              <w:rPr>
                <w:b w:val="0"/>
                <w:sz w:val="16"/>
              </w:rPr>
              <w:t>tenant_id, logo ref, colors, legal_name, contact info</w:t>
            </w:r>
          </w:p>
        </w:tc>
      </w:tr>
      <w:tr>
        <w:tc>
          <w:tcPr>
            <w:tcW w:type="dxa" w:w="2088"/>
            <w:vAlign w:val="center"/>
          </w:tcPr>
          <w:p>
            <w:pPr>
              <w:spacing w:after="0"/>
            </w:pPr>
            <w:r/>
            <w:r>
              <w:rPr>
                <w:b w:val="0"/>
                <w:sz w:val="16"/>
              </w:rPr>
              <w:t>TenantLifecycleEvent</w:t>
            </w:r>
          </w:p>
        </w:tc>
        <w:tc>
          <w:tcPr>
            <w:tcW w:type="dxa" w:w="3672"/>
            <w:vAlign w:val="center"/>
          </w:tcPr>
          <w:p>
            <w:pPr>
              <w:spacing w:after="0"/>
            </w:pPr>
            <w:r/>
            <w:r>
              <w:rPr>
                <w:b w:val="0"/>
                <w:sz w:val="16"/>
              </w:rPr>
              <w:t>Creation, suspension, activation, deletion/archive history</w:t>
            </w:r>
          </w:p>
        </w:tc>
        <w:tc>
          <w:tcPr>
            <w:tcW w:type="dxa" w:w="4320"/>
            <w:vAlign w:val="center"/>
          </w:tcPr>
          <w:p>
            <w:pPr>
              <w:spacing w:after="0"/>
            </w:pPr>
            <w:r/>
            <w:r>
              <w:rPr>
                <w:b w:val="0"/>
                <w:sz w:val="16"/>
              </w:rPr>
              <w:t>id, tenant_id, type, actor, timestamp</w:t>
            </w:r>
          </w:p>
        </w:tc>
      </w:tr>
      <w:tr>
        <w:tc>
          <w:tcPr>
            <w:tcW w:type="dxa" w:w="2088"/>
            <w:vAlign w:val="center"/>
          </w:tcPr>
          <w:p>
            <w:pPr>
              <w:spacing w:after="0"/>
            </w:pPr>
            <w:r/>
            <w:r>
              <w:rPr>
                <w:b w:val="0"/>
                <w:sz w:val="16"/>
              </w:rPr>
              <w:t>TenantBootstrap</w:t>
            </w:r>
          </w:p>
        </w:tc>
        <w:tc>
          <w:tcPr>
            <w:tcW w:type="dxa" w:w="3672"/>
            <w:vAlign w:val="center"/>
          </w:tcPr>
          <w:p>
            <w:pPr>
              <w:spacing w:after="0"/>
            </w:pPr>
            <w:r/>
            <w:r>
              <w:rPr>
                <w:b w:val="0"/>
                <w:sz w:val="16"/>
              </w:rPr>
              <w:t>Initial setup state</w:t>
            </w:r>
          </w:p>
        </w:tc>
        <w:tc>
          <w:tcPr>
            <w:tcW w:type="dxa" w:w="4320"/>
            <w:vAlign w:val="center"/>
          </w:tcPr>
          <w:p>
            <w:pPr>
              <w:spacing w:after="0"/>
            </w:pPr>
            <w:r/>
            <w:r>
              <w:rPr>
                <w:b w:val="0"/>
                <w:sz w:val="16"/>
              </w:rPr>
              <w:t>tenant_id, onboarding status, seeded defaults, version</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Platform admin</w:t>
            </w:r>
          </w:p>
        </w:tc>
        <w:tc>
          <w:tcPr>
            <w:tcW w:type="dxa" w:w="3456"/>
            <w:vAlign w:val="center"/>
          </w:tcPr>
          <w:p>
            <w:pPr>
              <w:spacing w:after="0"/>
            </w:pPr>
            <w:r/>
            <w:r>
              <w:rPr>
                <w:b w:val="0"/>
                <w:sz w:val="16"/>
              </w:rPr>
              <w:t>/platform-admin, /platform-admin/tenants/:tenantId</w:t>
            </w:r>
          </w:p>
        </w:tc>
        <w:tc>
          <w:tcPr>
            <w:tcW w:type="dxa" w:w="5040"/>
            <w:vAlign w:val="center"/>
          </w:tcPr>
          <w:p>
            <w:pPr>
              <w:spacing w:after="0"/>
            </w:pPr>
            <w:r/>
            <w:r>
              <w:rPr>
                <w:b w:val="0"/>
                <w:sz w:val="16"/>
              </w:rPr>
              <w:t>Platform-only management routes.</w:t>
            </w:r>
          </w:p>
        </w:tc>
      </w:tr>
      <w:tr>
        <w:tc>
          <w:tcPr>
            <w:tcW w:type="dxa" w:w="1584"/>
            <w:vAlign w:val="center"/>
          </w:tcPr>
          <w:p>
            <w:pPr>
              <w:spacing w:after="0"/>
            </w:pPr>
            <w:r/>
            <w:r>
              <w:rPr>
                <w:b w:val="0"/>
                <w:sz w:val="16"/>
              </w:rPr>
              <w:t>Internal app</w:t>
            </w:r>
          </w:p>
        </w:tc>
        <w:tc>
          <w:tcPr>
            <w:tcW w:type="dxa" w:w="3456"/>
            <w:vAlign w:val="center"/>
          </w:tcPr>
          <w:p>
            <w:pPr>
              <w:spacing w:after="0"/>
            </w:pPr>
            <w:r/>
            <w:r>
              <w:rPr>
                <w:b w:val="0"/>
                <w:sz w:val="16"/>
              </w:rPr>
              <w:t>No tenant chooser unless explicitly approved</w:t>
            </w:r>
          </w:p>
        </w:tc>
        <w:tc>
          <w:tcPr>
            <w:tcW w:type="dxa" w:w="5040"/>
            <w:vAlign w:val="center"/>
          </w:tcPr>
          <w:p>
            <w:pPr>
              <w:spacing w:after="0"/>
            </w:pPr>
            <w:r/>
            <w:r>
              <w:rPr>
                <w:b w:val="0"/>
                <w:sz w:val="16"/>
              </w:rPr>
              <w:t>Tenant inferred from membership/session.</w:t>
            </w:r>
          </w:p>
        </w:tc>
      </w:tr>
      <w:tr>
        <w:tc>
          <w:tcPr>
            <w:tcW w:type="dxa" w:w="1584"/>
            <w:vAlign w:val="center"/>
          </w:tcPr>
          <w:p>
            <w:pPr>
              <w:spacing w:after="0"/>
            </w:pPr>
            <w:r/>
            <w:r>
              <w:rPr>
                <w:b w:val="0"/>
                <w:sz w:val="16"/>
              </w:rPr>
              <w:t>Setup</w:t>
            </w:r>
          </w:p>
        </w:tc>
        <w:tc>
          <w:tcPr>
            <w:tcW w:type="dxa" w:w="3456"/>
            <w:vAlign w:val="center"/>
          </w:tcPr>
          <w:p>
            <w:pPr>
              <w:spacing w:after="0"/>
            </w:pPr>
            <w:r/>
            <w:r>
              <w:rPr>
                <w:b w:val="0"/>
                <w:sz w:val="16"/>
              </w:rPr>
              <w:t>/setup</w:t>
            </w:r>
          </w:p>
        </w:tc>
        <w:tc>
          <w:tcPr>
            <w:tcW w:type="dxa" w:w="5040"/>
            <w:vAlign w:val="center"/>
          </w:tcPr>
          <w:p>
            <w:pPr>
              <w:spacing w:after="0"/>
            </w:pPr>
            <w:r/>
            <w:r>
              <w:rPr>
                <w:b w:val="0"/>
                <w:sz w:val="16"/>
              </w:rPr>
              <w:t>May create/configure a new tenant only in an approved onboarding flow.</w:t>
            </w:r>
          </w:p>
        </w:tc>
      </w:tr>
      <w:tr>
        <w:tc>
          <w:tcPr>
            <w:tcW w:type="dxa" w:w="1584"/>
            <w:vAlign w:val="center"/>
          </w:tcPr>
          <w:p>
            <w:pPr>
              <w:spacing w:after="0"/>
            </w:pPr>
            <w:r/>
            <w:r>
              <w:rPr>
                <w:b w:val="0"/>
                <w:sz w:val="16"/>
              </w:rPr>
              <w:t>Impersonation</w:t>
            </w:r>
          </w:p>
        </w:tc>
        <w:tc>
          <w:tcPr>
            <w:tcW w:type="dxa" w:w="3456"/>
            <w:vAlign w:val="center"/>
          </w:tcPr>
          <w:p>
            <w:pPr>
              <w:spacing w:after="0"/>
            </w:pPr>
            <w:r/>
            <w:r>
              <w:rPr>
                <w:b w:val="0"/>
                <w:sz w:val="16"/>
              </w:rPr>
              <w:t>No regular route; explicit privileged workflow only</w:t>
            </w:r>
          </w:p>
        </w:tc>
        <w:tc>
          <w:tcPr>
            <w:tcW w:type="dxa" w:w="5040"/>
            <w:vAlign w:val="center"/>
          </w:tcPr>
          <w:p>
            <w:pPr>
              <w:spacing w:after="0"/>
            </w:pPr>
            <w:r/>
            <w:r>
              <w:rPr>
                <w:b w:val="0"/>
                <w:sz w:val="16"/>
              </w:rPr>
              <w:t>Must show visible banner and produce audit event.</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Tenant resolver</w:t>
            </w:r>
          </w:p>
        </w:tc>
        <w:tc>
          <w:tcPr>
            <w:tcW w:type="dxa" w:w="3816"/>
            <w:vAlign w:val="center"/>
          </w:tcPr>
          <w:p>
            <w:pPr>
              <w:spacing w:after="0"/>
            </w:pPr>
            <w:r/>
            <w:r>
              <w:rPr>
                <w:b w:val="0"/>
                <w:sz w:val="16"/>
              </w:rPr>
              <w:t>Resolve tenant from session membership / approved portal relationship</w:t>
            </w:r>
          </w:p>
        </w:tc>
        <w:tc>
          <w:tcPr>
            <w:tcW w:type="dxa" w:w="4320"/>
            <w:vAlign w:val="center"/>
          </w:tcPr>
          <w:p>
            <w:pPr>
              <w:spacing w:after="0"/>
            </w:pPr>
            <w:r/>
            <w:r>
              <w:rPr>
                <w:b w:val="0"/>
                <w:sz w:val="16"/>
              </w:rPr>
              <w:t>resolveTenantContext()</w:t>
            </w:r>
          </w:p>
        </w:tc>
      </w:tr>
      <w:tr>
        <w:tc>
          <w:tcPr>
            <w:tcW w:type="dxa" w:w="1944"/>
            <w:vAlign w:val="center"/>
          </w:tcPr>
          <w:p>
            <w:pPr>
              <w:spacing w:after="0"/>
            </w:pPr>
            <w:r/>
            <w:r>
              <w:rPr>
                <w:b w:val="0"/>
                <w:sz w:val="16"/>
              </w:rPr>
              <w:t>Tenant service</w:t>
            </w:r>
          </w:p>
        </w:tc>
        <w:tc>
          <w:tcPr>
            <w:tcW w:type="dxa" w:w="3816"/>
            <w:vAlign w:val="center"/>
          </w:tcPr>
          <w:p>
            <w:pPr>
              <w:spacing w:after="0"/>
            </w:pPr>
            <w:r/>
            <w:r>
              <w:rPr>
                <w:b w:val="0"/>
                <w:sz w:val="16"/>
              </w:rPr>
              <w:t>Create, update, archive/suspend, bootstrap, provision defaults</w:t>
            </w:r>
          </w:p>
        </w:tc>
        <w:tc>
          <w:tcPr>
            <w:tcW w:type="dxa" w:w="4320"/>
            <w:vAlign w:val="center"/>
          </w:tcPr>
          <w:p>
            <w:pPr>
              <w:spacing w:after="0"/>
            </w:pPr>
            <w:r/>
            <w:r>
              <w:rPr>
                <w:b w:val="0"/>
                <w:sz w:val="16"/>
              </w:rPr>
              <w:t>POST /api/platform/tenants; GET /api/tenant/current</w:t>
            </w:r>
          </w:p>
        </w:tc>
      </w:tr>
      <w:tr>
        <w:tc>
          <w:tcPr>
            <w:tcW w:type="dxa" w:w="1944"/>
            <w:vAlign w:val="center"/>
          </w:tcPr>
          <w:p>
            <w:pPr>
              <w:spacing w:after="0"/>
            </w:pPr>
            <w:r/>
            <w:r>
              <w:rPr>
                <w:b w:val="0"/>
                <w:sz w:val="16"/>
              </w:rPr>
              <w:t>Membership service</w:t>
            </w:r>
          </w:p>
        </w:tc>
        <w:tc>
          <w:tcPr>
            <w:tcW w:type="dxa" w:w="3816"/>
            <w:vAlign w:val="center"/>
          </w:tcPr>
          <w:p>
            <w:pPr>
              <w:spacing w:after="0"/>
            </w:pPr>
            <w:r/>
            <w:r>
              <w:rPr>
                <w:b w:val="0"/>
                <w:sz w:val="16"/>
              </w:rPr>
              <w:t>Invite, activate, remove, assign role relationships</w:t>
            </w:r>
          </w:p>
        </w:tc>
        <w:tc>
          <w:tcPr>
            <w:tcW w:type="dxa" w:w="4320"/>
            <w:vAlign w:val="center"/>
          </w:tcPr>
          <w:p>
            <w:pPr>
              <w:spacing w:after="0"/>
            </w:pPr>
            <w:r/>
            <w:r>
              <w:rPr>
                <w:b w:val="0"/>
                <w:sz w:val="16"/>
              </w:rPr>
              <w:t>POST /api/tenant/memberships</w:t>
            </w:r>
          </w:p>
        </w:tc>
      </w:tr>
      <w:tr>
        <w:tc>
          <w:tcPr>
            <w:tcW w:type="dxa" w:w="1944"/>
            <w:vAlign w:val="center"/>
          </w:tcPr>
          <w:p>
            <w:pPr>
              <w:spacing w:after="0"/>
            </w:pPr>
            <w:r/>
            <w:r>
              <w:rPr>
                <w:b w:val="0"/>
                <w:sz w:val="16"/>
              </w:rPr>
              <w:t>Scope guard</w:t>
            </w:r>
          </w:p>
        </w:tc>
        <w:tc>
          <w:tcPr>
            <w:tcW w:type="dxa" w:w="3816"/>
            <w:vAlign w:val="center"/>
          </w:tcPr>
          <w:p>
            <w:pPr>
              <w:spacing w:after="0"/>
            </w:pPr>
            <w:r/>
            <w:r>
              <w:rPr>
                <w:b w:val="0"/>
                <w:sz w:val="16"/>
              </w:rPr>
              <w:t>Adds tenant filter and blocks cross-tenant identifiers</w:t>
            </w:r>
          </w:p>
        </w:tc>
        <w:tc>
          <w:tcPr>
            <w:tcW w:type="dxa" w:w="4320"/>
            <w:vAlign w:val="center"/>
          </w:tcPr>
          <w:p>
            <w:pPr>
              <w:spacing w:after="0"/>
            </w:pPr>
            <w:r/>
            <w:r>
              <w:rPr>
                <w:b w:val="0"/>
                <w:sz w:val="16"/>
              </w:rPr>
              <w:t>requireTenantScope()</w:t>
            </w:r>
          </w:p>
        </w:tc>
      </w:tr>
    </w:tbl>
    <w:p/>
    <w:p>
      <w:pPr>
        <w:pStyle w:val="Heading2"/>
      </w:pPr>
      <w:r>
        <w:t>Business rules and guardrails</w:t>
      </w:r>
    </w:p>
    <w:p>
      <w:pPr>
        <w:pStyle w:val="ListBullet"/>
      </w:pPr>
      <w:r>
        <w:t>Every tenant-scoped record must have tenant_id at creation and every backend query must filter by the resolved tenant_id.</w:t>
      </w:r>
    </w:p>
    <w:p>
      <w:pPr>
        <w:pStyle w:val="ListBullet"/>
      </w:pPr>
      <w:r>
        <w:t>Tenant identity is never trusted from frontend payload, hidden field, URL query string, or arbitrary request header.</w:t>
      </w:r>
    </w:p>
    <w:p>
      <w:pPr>
        <w:pStyle w:val="ListBullet"/>
      </w:pPr>
      <w:r>
        <w:t>Each tenant has a lifecycle state: onboarding, active, suspended, archived. State controls access and feature availability consistently.</w:t>
      </w:r>
    </w:p>
    <w:p>
      <w:pPr>
        <w:pStyle w:val="ListBullet"/>
      </w:pPr>
      <w:r>
        <w:t>Deleting a tenant is not a normal user action. Use archive/suspension and a documented retention/delete process.</w:t>
      </w:r>
    </w:p>
    <w:p>
      <w:pPr>
        <w:pStyle w:val="ListBullet"/>
      </w:pPr>
      <w:r>
        <w:t>Creation of a tenant must seed only approved defaults: settings envelopes, base roles, optional example/demo data policy, and onboarding state.</w:t>
      </w:r>
    </w:p>
    <w:p>
      <w:pPr>
        <w:pStyle w:val="ListBullet"/>
      </w:pPr>
      <w:r>
        <w:t>Platform impersonation must require explicit action, show an always-visible indicator, restrict sensitive actions where possible, and create start/stop audit events.</w:t>
      </w:r>
    </w:p>
    <w:p>
      <w:pPr>
        <w:pStyle w:val="Heading2"/>
      </w:pPr>
      <w:r>
        <w:t>Required build sequence</w:t>
      </w:r>
    </w:p>
    <w:p>
      <w:pPr>
        <w:pStyle w:val="ListNumber"/>
      </w:pPr>
      <w:r>
        <w:t>Inventory current tenant, organization, auth, and platform-admin models plus all tenant_id usage.</w:t>
      </w:r>
    </w:p>
    <w:p>
      <w:pPr>
        <w:pStyle w:val="ListNumber"/>
      </w:pPr>
      <w:r>
        <w:t>Define one canonical Tenant record and one canonical TenantMembership record.</w:t>
      </w:r>
    </w:p>
    <w:p>
      <w:pPr>
        <w:pStyle w:val="ListNumber"/>
      </w:pPr>
      <w:r>
        <w:t>Create a tenant context resolver used by every protected backend route and service.</w:t>
      </w:r>
    </w:p>
    <w:p>
      <w:pPr>
        <w:pStyle w:val="ListNumber"/>
      </w:pPr>
      <w:r>
        <w:t>Create lifecycle status enforcement and a provisioning/bootstrapping service.</w:t>
      </w:r>
    </w:p>
    <w:p>
      <w:pPr>
        <w:pStyle w:val="ListNumber"/>
      </w:pPr>
      <w:r>
        <w:t>Create safe platform-admin tenant management endpoints and audited impersonation design, even if impersonation UI is delayed.</w:t>
      </w:r>
    </w:p>
    <w:p>
      <w:pPr>
        <w:pStyle w:val="ListNumber"/>
      </w:pPr>
      <w:r>
        <w:t>Run cross-tenant access tests against every Phase 1 shared system.</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Create tenant through approved setup path</w:t>
            </w:r>
          </w:p>
        </w:tc>
        <w:tc>
          <w:tcPr>
            <w:tcW w:type="dxa" w:w="5472"/>
            <w:vAlign w:val="center"/>
          </w:tcPr>
          <w:p>
            <w:pPr>
              <w:spacing w:after="0"/>
            </w:pPr>
            <w:r/>
            <w:r>
              <w:rPr>
                <w:b w:val="0"/>
                <w:sz w:val="16"/>
              </w:rPr>
              <w:t>Tenant, owner membership, default settings envelopes, and onboarding record are created atomically.</w:t>
            </w:r>
          </w:p>
        </w:tc>
      </w:tr>
      <w:tr>
        <w:tc>
          <w:tcPr>
            <w:tcW w:type="dxa" w:w="4608"/>
            <w:vAlign w:val="center"/>
          </w:tcPr>
          <w:p>
            <w:pPr>
              <w:spacing w:after="0"/>
            </w:pPr>
            <w:r/>
            <w:r>
              <w:rPr>
                <w:b w:val="0"/>
                <w:sz w:val="16"/>
              </w:rPr>
              <w:t>Member of Tenant A requests Tenant B record by id</w:t>
            </w:r>
          </w:p>
        </w:tc>
        <w:tc>
          <w:tcPr>
            <w:tcW w:type="dxa" w:w="5472"/>
            <w:vAlign w:val="center"/>
          </w:tcPr>
          <w:p>
            <w:pPr>
              <w:spacing w:after="0"/>
            </w:pPr>
            <w:r/>
            <w:r>
              <w:rPr>
                <w:b w:val="0"/>
                <w:sz w:val="16"/>
              </w:rPr>
              <w:t>Backend returns not found/forbidden without exposing Tenant B metadata.</w:t>
            </w:r>
          </w:p>
        </w:tc>
      </w:tr>
      <w:tr>
        <w:tc>
          <w:tcPr>
            <w:tcW w:type="dxa" w:w="4608"/>
            <w:vAlign w:val="center"/>
          </w:tcPr>
          <w:p>
            <w:pPr>
              <w:spacing w:after="0"/>
            </w:pPr>
            <w:r/>
            <w:r>
              <w:rPr>
                <w:b w:val="0"/>
                <w:sz w:val="16"/>
              </w:rPr>
              <w:t>Tenant becomes suspended</w:t>
            </w:r>
          </w:p>
        </w:tc>
        <w:tc>
          <w:tcPr>
            <w:tcW w:type="dxa" w:w="5472"/>
            <w:vAlign w:val="center"/>
          </w:tcPr>
          <w:p>
            <w:pPr>
              <w:spacing w:after="0"/>
            </w:pPr>
            <w:r/>
            <w:r>
              <w:rPr>
                <w:b w:val="0"/>
                <w:sz w:val="16"/>
              </w:rPr>
              <w:t>Internal and portal access follows documented suspension policy; records are preserved.</w:t>
            </w:r>
          </w:p>
        </w:tc>
      </w:tr>
      <w:tr>
        <w:tc>
          <w:tcPr>
            <w:tcW w:type="dxa" w:w="4608"/>
            <w:vAlign w:val="center"/>
          </w:tcPr>
          <w:p>
            <w:pPr>
              <w:spacing w:after="0"/>
            </w:pPr>
            <w:r/>
            <w:r>
              <w:rPr>
                <w:b w:val="0"/>
                <w:sz w:val="16"/>
              </w:rPr>
              <w:t>Platform admin opens tenant management</w:t>
            </w:r>
          </w:p>
        </w:tc>
        <w:tc>
          <w:tcPr>
            <w:tcW w:type="dxa" w:w="5472"/>
            <w:vAlign w:val="center"/>
          </w:tcPr>
          <w:p>
            <w:pPr>
              <w:spacing w:after="0"/>
            </w:pPr>
            <w:r/>
            <w:r>
              <w:rPr>
                <w:b w:val="0"/>
                <w:sz w:val="16"/>
              </w:rPr>
              <w:t>Can view lifecycle data but does not automatically become a tenant member.</w:t>
            </w:r>
          </w:p>
        </w:tc>
      </w:tr>
      <w:tr>
        <w:tc>
          <w:tcPr>
            <w:tcW w:type="dxa" w:w="4608"/>
            <w:vAlign w:val="center"/>
          </w:tcPr>
          <w:p>
            <w:pPr>
              <w:spacing w:after="0"/>
            </w:pPr>
            <w:r/>
            <w:r>
              <w:rPr>
                <w:b w:val="0"/>
                <w:sz w:val="16"/>
              </w:rPr>
              <w:t>Tenant context missing on scoped endpoint</w:t>
            </w:r>
          </w:p>
        </w:tc>
        <w:tc>
          <w:tcPr>
            <w:tcW w:type="dxa" w:w="5472"/>
            <w:vAlign w:val="center"/>
          </w:tcPr>
          <w:p>
            <w:pPr>
              <w:spacing w:after="0"/>
            </w:pPr>
            <w:r/>
            <w:r>
              <w:rPr>
                <w:b w:val="0"/>
                <w:sz w:val="16"/>
              </w:rPr>
              <w:t>Request fails safely; no unscoped query is executed.</w:t>
            </w:r>
          </w:p>
        </w:tc>
      </w:tr>
    </w:tbl>
    <w:p/>
    <w:p>
      <w:pPr>
        <w:pStyle w:val="Heading2"/>
      </w:pPr>
      <w:r>
        <w:t>Migration / legacy cleanup</w:t>
      </w:r>
    </w:p>
    <w:p>
      <w:pPr>
        <w:pStyle w:val="ListBullet"/>
      </w:pPr>
      <w:r>
        <w:t>Normalize tenant/org naming now. Do not keep Tenant, Organization, Shop, and Company as competing root entities.</w:t>
      </w:r>
    </w:p>
    <w:p>
      <w:pPr>
        <w:pStyle w:val="ListBullet"/>
      </w:pPr>
      <w:r>
        <w:t>Find models that infer tenant from user alone; replace with resolved membership + tenant context.</w:t>
      </w:r>
    </w:p>
    <w:p>
      <w:pPr>
        <w:pStyle w:val="ListBullet"/>
      </w:pPr>
      <w:r>
        <w:t>Identify records with missing tenant_id and define a one-time data backfill plan before enabling strict filters.</w:t>
      </w:r>
    </w:p>
    <w:p>
      <w:pPr>
        <w:pStyle w:val="Heading2"/>
      </w:pPr>
      <w:r>
        <w:t>Important implementation notes</w:t>
      </w:r>
    </w:p>
    <w:p>
      <w:pPr>
        <w:pStyle w:val="ListBullet"/>
      </w:pPr>
      <w:r>
        <w:t>Tenant-level Stripe and billing configuration belongs in tenant-owned integrations/settings, not in unrelated module tables.</w:t>
      </w:r>
    </w:p>
    <w:p>
      <w:pPr>
        <w:pStyle w:val="ListBullet"/>
      </w:pPr>
      <w:r>
        <w:t>Portal accounts should resolve tenant through their attached customer/employee/owner relationship, then verify that relationship is active.</w:t>
      </w:r>
    </w:p>
    <w:p>
      <w:r>
        <w:br w:type="page"/>
      </w:r>
    </w:p>
    <w:p>
      <w:pPr>
        <w:pStyle w:val="Heading1"/>
      </w:pPr>
      <w:r>
        <w:t>3. Users, Roles &amp; Permissions</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Define every human and system actor, their tenant membership, role assignments, granular capabilities, portal restrictions, and server-enforced access rules.</w:t>
            </w:r>
          </w:p>
        </w:tc>
      </w:tr>
    </w:tbl>
    <w:p/>
    <w:p>
      <w:pPr>
        <w:pStyle w:val="Heading2"/>
      </w:pPr>
      <w:r>
        <w:t>Scope and boundaries</w:t>
      </w:r>
    </w:p>
    <w:p>
      <w:pPr>
        <w:pStyle w:val="ListBullet"/>
      </w:pPr>
      <w:r>
        <w:t>Own user profile, membership, role catalog, permission catalog, role-permission assignments, user-specific overrides, and policy evaluation.</w:t>
      </w:r>
    </w:p>
    <w:p>
      <w:pPr>
        <w:pStyle w:val="ListBullet"/>
      </w:pPr>
      <w:r>
        <w:t>Consume identity/session from Authentication and tenant scope from Tenant Management.</w:t>
      </w:r>
    </w:p>
    <w:p>
      <w:pPr>
        <w:pStyle w:val="ListBullet"/>
      </w:pPr>
      <w:r>
        <w:t>Do not let individual screens invent ad hoc booleans such as canEditOrders or isAdmin when a permission already exists.</w:t>
      </w:r>
    </w:p>
    <w:p>
      <w:pPr>
        <w:pStyle w:val="ListBullet"/>
      </w:pPr>
      <w:r>
        <w:t>Support internal roles, portal roles, platform roles, and service/system actors as different actor classes.</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User</w:t>
            </w:r>
          </w:p>
        </w:tc>
        <w:tc>
          <w:tcPr>
            <w:tcW w:type="dxa" w:w="3672"/>
            <w:vAlign w:val="center"/>
          </w:tcPr>
          <w:p>
            <w:pPr>
              <w:spacing w:after="0"/>
            </w:pPr>
            <w:r/>
            <w:r>
              <w:rPr>
                <w:b w:val="0"/>
                <w:sz w:val="16"/>
              </w:rPr>
              <w:t>Human profile separate from login credential</w:t>
            </w:r>
          </w:p>
        </w:tc>
        <w:tc>
          <w:tcPr>
            <w:tcW w:type="dxa" w:w="4320"/>
            <w:vAlign w:val="center"/>
          </w:tcPr>
          <w:p>
            <w:pPr>
              <w:spacing w:after="0"/>
            </w:pPr>
            <w:r/>
            <w:r>
              <w:rPr>
                <w:b w:val="0"/>
                <w:sz w:val="16"/>
              </w:rPr>
              <w:t>id, display_name, contact info, identity_id optional</w:t>
            </w:r>
          </w:p>
        </w:tc>
      </w:tr>
      <w:tr>
        <w:tc>
          <w:tcPr>
            <w:tcW w:type="dxa" w:w="2088"/>
            <w:vAlign w:val="center"/>
          </w:tcPr>
          <w:p>
            <w:pPr>
              <w:spacing w:after="0"/>
            </w:pPr>
            <w:r/>
            <w:r>
              <w:rPr>
                <w:b w:val="0"/>
                <w:sz w:val="16"/>
              </w:rPr>
              <w:t>Role</w:t>
            </w:r>
          </w:p>
        </w:tc>
        <w:tc>
          <w:tcPr>
            <w:tcW w:type="dxa" w:w="3672"/>
            <w:vAlign w:val="center"/>
          </w:tcPr>
          <w:p>
            <w:pPr>
              <w:spacing w:after="0"/>
            </w:pPr>
            <w:r/>
            <w:r>
              <w:rPr>
                <w:b w:val="0"/>
                <w:sz w:val="16"/>
              </w:rPr>
              <w:t>Named permission bundle</w:t>
            </w:r>
          </w:p>
        </w:tc>
        <w:tc>
          <w:tcPr>
            <w:tcW w:type="dxa" w:w="4320"/>
            <w:vAlign w:val="center"/>
          </w:tcPr>
          <w:p>
            <w:pPr>
              <w:spacing w:after="0"/>
            </w:pPr>
            <w:r/>
            <w:r>
              <w:rPr>
                <w:b w:val="0"/>
                <w:sz w:val="16"/>
              </w:rPr>
              <w:t>id, scope, key, label, system_locked</w:t>
            </w:r>
          </w:p>
        </w:tc>
      </w:tr>
      <w:tr>
        <w:tc>
          <w:tcPr>
            <w:tcW w:type="dxa" w:w="2088"/>
            <w:vAlign w:val="center"/>
          </w:tcPr>
          <w:p>
            <w:pPr>
              <w:spacing w:after="0"/>
            </w:pPr>
            <w:r/>
            <w:r>
              <w:rPr>
                <w:b w:val="0"/>
                <w:sz w:val="16"/>
              </w:rPr>
              <w:t>Permission</w:t>
            </w:r>
          </w:p>
        </w:tc>
        <w:tc>
          <w:tcPr>
            <w:tcW w:type="dxa" w:w="3672"/>
            <w:vAlign w:val="center"/>
          </w:tcPr>
          <w:p>
            <w:pPr>
              <w:spacing w:after="0"/>
            </w:pPr>
            <w:r/>
            <w:r>
              <w:rPr>
                <w:b w:val="0"/>
                <w:sz w:val="16"/>
              </w:rPr>
              <w:t>Atomic capability definition</w:t>
            </w:r>
          </w:p>
        </w:tc>
        <w:tc>
          <w:tcPr>
            <w:tcW w:type="dxa" w:w="4320"/>
            <w:vAlign w:val="center"/>
          </w:tcPr>
          <w:p>
            <w:pPr>
              <w:spacing w:after="0"/>
            </w:pPr>
            <w:r/>
            <w:r>
              <w:rPr>
                <w:b w:val="0"/>
                <w:sz w:val="16"/>
              </w:rPr>
              <w:t>key, module, action, description</w:t>
            </w:r>
          </w:p>
        </w:tc>
      </w:tr>
      <w:tr>
        <w:tc>
          <w:tcPr>
            <w:tcW w:type="dxa" w:w="2088"/>
            <w:vAlign w:val="center"/>
          </w:tcPr>
          <w:p>
            <w:pPr>
              <w:spacing w:after="0"/>
            </w:pPr>
            <w:r/>
            <w:r>
              <w:rPr>
                <w:b w:val="0"/>
                <w:sz w:val="16"/>
              </w:rPr>
              <w:t>RolePermission</w:t>
            </w:r>
          </w:p>
        </w:tc>
        <w:tc>
          <w:tcPr>
            <w:tcW w:type="dxa" w:w="3672"/>
            <w:vAlign w:val="center"/>
          </w:tcPr>
          <w:p>
            <w:pPr>
              <w:spacing w:after="0"/>
            </w:pPr>
            <w:r/>
            <w:r>
              <w:rPr>
                <w:b w:val="0"/>
                <w:sz w:val="16"/>
              </w:rPr>
              <w:t>Role-to-permission grant</w:t>
            </w:r>
          </w:p>
        </w:tc>
        <w:tc>
          <w:tcPr>
            <w:tcW w:type="dxa" w:w="4320"/>
            <w:vAlign w:val="center"/>
          </w:tcPr>
          <w:p>
            <w:pPr>
              <w:spacing w:after="0"/>
            </w:pPr>
            <w:r/>
            <w:r>
              <w:rPr>
                <w:b w:val="0"/>
                <w:sz w:val="16"/>
              </w:rPr>
              <w:t>role_id, permission_key</w:t>
            </w:r>
          </w:p>
        </w:tc>
      </w:tr>
      <w:tr>
        <w:tc>
          <w:tcPr>
            <w:tcW w:type="dxa" w:w="2088"/>
            <w:vAlign w:val="center"/>
          </w:tcPr>
          <w:p>
            <w:pPr>
              <w:spacing w:after="0"/>
            </w:pPr>
            <w:r/>
            <w:r>
              <w:rPr>
                <w:b w:val="0"/>
                <w:sz w:val="16"/>
              </w:rPr>
              <w:t>UserRoleAssignment</w:t>
            </w:r>
          </w:p>
        </w:tc>
        <w:tc>
          <w:tcPr>
            <w:tcW w:type="dxa" w:w="3672"/>
            <w:vAlign w:val="center"/>
          </w:tcPr>
          <w:p>
            <w:pPr>
              <w:spacing w:after="0"/>
            </w:pPr>
            <w:r/>
            <w:r>
              <w:rPr>
                <w:b w:val="0"/>
                <w:sz w:val="16"/>
              </w:rPr>
              <w:t>Tenant-scoped membership role assignment</w:t>
            </w:r>
          </w:p>
        </w:tc>
        <w:tc>
          <w:tcPr>
            <w:tcW w:type="dxa" w:w="4320"/>
            <w:vAlign w:val="center"/>
          </w:tcPr>
          <w:p>
            <w:pPr>
              <w:spacing w:after="0"/>
            </w:pPr>
            <w:r/>
            <w:r>
              <w:rPr>
                <w:b w:val="0"/>
                <w:sz w:val="16"/>
              </w:rPr>
              <w:t>tenant_id, user_id, role_id, status</w:t>
            </w:r>
          </w:p>
        </w:tc>
      </w:tr>
      <w:tr>
        <w:tc>
          <w:tcPr>
            <w:tcW w:type="dxa" w:w="2088"/>
            <w:vAlign w:val="center"/>
          </w:tcPr>
          <w:p>
            <w:pPr>
              <w:spacing w:after="0"/>
            </w:pPr>
            <w:r/>
            <w:r>
              <w:rPr>
                <w:b w:val="0"/>
                <w:sz w:val="16"/>
              </w:rPr>
              <w:t>PermissionOverride</w:t>
            </w:r>
          </w:p>
        </w:tc>
        <w:tc>
          <w:tcPr>
            <w:tcW w:type="dxa" w:w="3672"/>
            <w:vAlign w:val="center"/>
          </w:tcPr>
          <w:p>
            <w:pPr>
              <w:spacing w:after="0"/>
            </w:pPr>
            <w:r/>
            <w:r>
              <w:rPr>
                <w:b w:val="0"/>
                <w:sz w:val="16"/>
              </w:rPr>
              <w:t>Rare explicit grant/deny</w:t>
            </w:r>
          </w:p>
        </w:tc>
        <w:tc>
          <w:tcPr>
            <w:tcW w:type="dxa" w:w="4320"/>
            <w:vAlign w:val="center"/>
          </w:tcPr>
          <w:p>
            <w:pPr>
              <w:spacing w:after="0"/>
            </w:pPr>
            <w:r/>
            <w:r>
              <w:rPr>
                <w:b w:val="0"/>
                <w:sz w:val="16"/>
              </w:rPr>
              <w:t>tenant_id, user_id, permission_key, effect</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Internal admin</w:t>
            </w:r>
          </w:p>
        </w:tc>
        <w:tc>
          <w:tcPr>
            <w:tcW w:type="dxa" w:w="3456"/>
            <w:vAlign w:val="center"/>
          </w:tcPr>
          <w:p>
            <w:pPr>
              <w:spacing w:after="0"/>
            </w:pPr>
            <w:r/>
            <w:r>
              <w:rPr>
                <w:b w:val="0"/>
                <w:sz w:val="16"/>
              </w:rPr>
              <w:t>/settings/users, /settings/roles</w:t>
            </w:r>
          </w:p>
        </w:tc>
        <w:tc>
          <w:tcPr>
            <w:tcW w:type="dxa" w:w="5040"/>
            <w:vAlign w:val="center"/>
          </w:tcPr>
          <w:p>
            <w:pPr>
              <w:spacing w:after="0"/>
            </w:pPr>
            <w:r/>
            <w:r>
              <w:rPr>
                <w:b w:val="0"/>
                <w:sz w:val="16"/>
              </w:rPr>
              <w:t>Tenant owner/admin only, subject to permissions.</w:t>
            </w:r>
          </w:p>
        </w:tc>
      </w:tr>
      <w:tr>
        <w:tc>
          <w:tcPr>
            <w:tcW w:type="dxa" w:w="1584"/>
            <w:vAlign w:val="center"/>
          </w:tcPr>
          <w:p>
            <w:pPr>
              <w:spacing w:after="0"/>
            </w:pPr>
            <w:r/>
            <w:r>
              <w:rPr>
                <w:b w:val="0"/>
                <w:sz w:val="16"/>
              </w:rPr>
              <w:t>Employee portal</w:t>
            </w:r>
          </w:p>
        </w:tc>
        <w:tc>
          <w:tcPr>
            <w:tcW w:type="dxa" w:w="3456"/>
            <w:vAlign w:val="center"/>
          </w:tcPr>
          <w:p>
            <w:pPr>
              <w:spacing w:after="0"/>
            </w:pPr>
            <w:r/>
            <w:r>
              <w:rPr>
                <w:b w:val="0"/>
                <w:sz w:val="16"/>
              </w:rPr>
              <w:t>/employee-portal/*</w:t>
            </w:r>
          </w:p>
        </w:tc>
        <w:tc>
          <w:tcPr>
            <w:tcW w:type="dxa" w:w="5040"/>
            <w:vAlign w:val="center"/>
          </w:tcPr>
          <w:p>
            <w:pPr>
              <w:spacing w:after="0"/>
            </w:pPr>
            <w:r/>
            <w:r>
              <w:rPr>
                <w:b w:val="0"/>
                <w:sz w:val="16"/>
              </w:rPr>
              <w:t>Employee-specific capabilities only.</w:t>
            </w:r>
          </w:p>
        </w:tc>
      </w:tr>
      <w:tr>
        <w:tc>
          <w:tcPr>
            <w:tcW w:type="dxa" w:w="1584"/>
            <w:vAlign w:val="center"/>
          </w:tcPr>
          <w:p>
            <w:pPr>
              <w:spacing w:after="0"/>
            </w:pPr>
            <w:r/>
            <w:r>
              <w:rPr>
                <w:b w:val="0"/>
                <w:sz w:val="16"/>
              </w:rPr>
              <w:t>Customer portal</w:t>
            </w:r>
          </w:p>
        </w:tc>
        <w:tc>
          <w:tcPr>
            <w:tcW w:type="dxa" w:w="3456"/>
            <w:vAlign w:val="center"/>
          </w:tcPr>
          <w:p>
            <w:pPr>
              <w:spacing w:after="0"/>
            </w:pPr>
            <w:r/>
            <w:r>
              <w:rPr>
                <w:b w:val="0"/>
                <w:sz w:val="16"/>
              </w:rPr>
              <w:t>/customer-portal/*</w:t>
            </w:r>
          </w:p>
        </w:tc>
        <w:tc>
          <w:tcPr>
            <w:tcW w:type="dxa" w:w="5040"/>
            <w:vAlign w:val="center"/>
          </w:tcPr>
          <w:p>
            <w:pPr>
              <w:spacing w:after="0"/>
            </w:pPr>
            <w:r/>
            <w:r>
              <w:rPr>
                <w:b w:val="0"/>
                <w:sz w:val="16"/>
              </w:rPr>
              <w:t>Customer-specific capabilities and own-record filters only.</w:t>
            </w:r>
          </w:p>
        </w:tc>
      </w:tr>
      <w:tr>
        <w:tc>
          <w:tcPr>
            <w:tcW w:type="dxa" w:w="1584"/>
            <w:vAlign w:val="center"/>
          </w:tcPr>
          <w:p>
            <w:pPr>
              <w:spacing w:after="0"/>
            </w:pPr>
            <w:r/>
            <w:r>
              <w:rPr>
                <w:b w:val="0"/>
                <w:sz w:val="16"/>
              </w:rPr>
              <w:t>Owner portal</w:t>
            </w:r>
          </w:p>
        </w:tc>
        <w:tc>
          <w:tcPr>
            <w:tcW w:type="dxa" w:w="3456"/>
            <w:vAlign w:val="center"/>
          </w:tcPr>
          <w:p>
            <w:pPr>
              <w:spacing w:after="0"/>
            </w:pPr>
            <w:r/>
            <w:r>
              <w:rPr>
                <w:b w:val="0"/>
                <w:sz w:val="16"/>
              </w:rPr>
              <w:t>/owner-portal/*</w:t>
            </w:r>
          </w:p>
        </w:tc>
        <w:tc>
          <w:tcPr>
            <w:tcW w:type="dxa" w:w="5040"/>
            <w:vAlign w:val="center"/>
          </w:tcPr>
          <w:p>
            <w:pPr>
              <w:spacing w:after="0"/>
            </w:pPr>
            <w:r/>
            <w:r>
              <w:rPr>
                <w:b w:val="0"/>
                <w:sz w:val="16"/>
              </w:rPr>
              <w:t>Store-owner/manager scope only.</w:t>
            </w:r>
          </w:p>
        </w:tc>
      </w:tr>
      <w:tr>
        <w:tc>
          <w:tcPr>
            <w:tcW w:type="dxa" w:w="1584"/>
            <w:vAlign w:val="center"/>
          </w:tcPr>
          <w:p>
            <w:pPr>
              <w:spacing w:after="0"/>
            </w:pPr>
            <w:r/>
            <w:r>
              <w:rPr>
                <w:b w:val="0"/>
                <w:sz w:val="16"/>
              </w:rPr>
              <w:t>Platform admin</w:t>
            </w:r>
          </w:p>
        </w:tc>
        <w:tc>
          <w:tcPr>
            <w:tcW w:type="dxa" w:w="3456"/>
            <w:vAlign w:val="center"/>
          </w:tcPr>
          <w:p>
            <w:pPr>
              <w:spacing w:after="0"/>
            </w:pPr>
            <w:r/>
            <w:r>
              <w:rPr>
                <w:b w:val="0"/>
                <w:sz w:val="16"/>
              </w:rPr>
              <w:t>/platform-admin/*</w:t>
            </w:r>
          </w:p>
        </w:tc>
        <w:tc>
          <w:tcPr>
            <w:tcW w:type="dxa" w:w="5040"/>
            <w:vAlign w:val="center"/>
          </w:tcPr>
          <w:p>
            <w:pPr>
              <w:spacing w:after="0"/>
            </w:pPr>
            <w:r/>
            <w:r>
              <w:rPr>
                <w:b w:val="0"/>
                <w:sz w:val="16"/>
              </w:rPr>
              <w:t>Platform role only; never granted by tenant setting.</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Policy evaluator</w:t>
            </w:r>
          </w:p>
        </w:tc>
        <w:tc>
          <w:tcPr>
            <w:tcW w:type="dxa" w:w="3816"/>
            <w:vAlign w:val="center"/>
          </w:tcPr>
          <w:p>
            <w:pPr>
              <w:spacing w:after="0"/>
            </w:pPr>
            <w:r/>
            <w:r>
              <w:rPr>
                <w:b w:val="0"/>
                <w:sz w:val="16"/>
              </w:rPr>
              <w:t>Return allow/deny after actor, tenant, resource, action evaluation</w:t>
            </w:r>
          </w:p>
        </w:tc>
        <w:tc>
          <w:tcPr>
            <w:tcW w:type="dxa" w:w="4320"/>
            <w:vAlign w:val="center"/>
          </w:tcPr>
          <w:p>
            <w:pPr>
              <w:spacing w:after="0"/>
            </w:pPr>
            <w:r/>
            <w:r>
              <w:rPr>
                <w:b w:val="0"/>
                <w:sz w:val="16"/>
              </w:rPr>
              <w:t>can(actor, "orders.update", order)</w:t>
            </w:r>
          </w:p>
        </w:tc>
      </w:tr>
      <w:tr>
        <w:tc>
          <w:tcPr>
            <w:tcW w:type="dxa" w:w="1944"/>
            <w:vAlign w:val="center"/>
          </w:tcPr>
          <w:p>
            <w:pPr>
              <w:spacing w:after="0"/>
            </w:pPr>
            <w:r/>
            <w:r>
              <w:rPr>
                <w:b w:val="0"/>
                <w:sz w:val="16"/>
              </w:rPr>
              <w:t>Permission middleware</w:t>
            </w:r>
          </w:p>
        </w:tc>
        <w:tc>
          <w:tcPr>
            <w:tcW w:type="dxa" w:w="3816"/>
            <w:vAlign w:val="center"/>
          </w:tcPr>
          <w:p>
            <w:pPr>
              <w:spacing w:after="0"/>
            </w:pPr>
            <w:r/>
            <w:r>
              <w:rPr>
                <w:b w:val="0"/>
                <w:sz w:val="16"/>
              </w:rPr>
              <w:t>Guard API routes before service work</w:t>
            </w:r>
          </w:p>
        </w:tc>
        <w:tc>
          <w:tcPr>
            <w:tcW w:type="dxa" w:w="4320"/>
            <w:vAlign w:val="center"/>
          </w:tcPr>
          <w:p>
            <w:pPr>
              <w:spacing w:after="0"/>
            </w:pPr>
            <w:r/>
            <w:r>
              <w:rPr>
                <w:b w:val="0"/>
                <w:sz w:val="16"/>
              </w:rPr>
              <w:t>requirePermission("orders.read")</w:t>
            </w:r>
          </w:p>
        </w:tc>
      </w:tr>
      <w:tr>
        <w:tc>
          <w:tcPr>
            <w:tcW w:type="dxa" w:w="1944"/>
            <w:vAlign w:val="center"/>
          </w:tcPr>
          <w:p>
            <w:pPr>
              <w:spacing w:after="0"/>
            </w:pPr>
            <w:r/>
            <w:r>
              <w:rPr>
                <w:b w:val="0"/>
                <w:sz w:val="16"/>
              </w:rPr>
              <w:t>Resource policy</w:t>
            </w:r>
          </w:p>
        </w:tc>
        <w:tc>
          <w:tcPr>
            <w:tcW w:type="dxa" w:w="3816"/>
            <w:vAlign w:val="center"/>
          </w:tcPr>
          <w:p>
            <w:pPr>
              <w:spacing w:after="0"/>
            </w:pPr>
            <w:r/>
            <w:r>
              <w:rPr>
                <w:b w:val="0"/>
                <w:sz w:val="16"/>
              </w:rPr>
              <w:t>Check own-record/assigned-record/store-scoped rules</w:t>
            </w:r>
          </w:p>
        </w:tc>
        <w:tc>
          <w:tcPr>
            <w:tcW w:type="dxa" w:w="4320"/>
            <w:vAlign w:val="center"/>
          </w:tcPr>
          <w:p>
            <w:pPr>
              <w:spacing w:after="0"/>
            </w:pPr>
            <w:r/>
            <w:r>
              <w:rPr>
                <w:b w:val="0"/>
                <w:sz w:val="16"/>
              </w:rPr>
              <w:t>canAccessCustomerPortalOrder(actor, order)</w:t>
            </w:r>
          </w:p>
        </w:tc>
      </w:tr>
      <w:tr>
        <w:tc>
          <w:tcPr>
            <w:tcW w:type="dxa" w:w="1944"/>
            <w:vAlign w:val="center"/>
          </w:tcPr>
          <w:p>
            <w:pPr>
              <w:spacing w:after="0"/>
            </w:pPr>
            <w:r/>
            <w:r>
              <w:rPr>
                <w:b w:val="0"/>
                <w:sz w:val="16"/>
              </w:rPr>
              <w:t>Role administration</w:t>
            </w:r>
          </w:p>
        </w:tc>
        <w:tc>
          <w:tcPr>
            <w:tcW w:type="dxa" w:w="3816"/>
            <w:vAlign w:val="center"/>
          </w:tcPr>
          <w:p>
            <w:pPr>
              <w:spacing w:after="0"/>
            </w:pPr>
            <w:r/>
            <w:r>
              <w:rPr>
                <w:b w:val="0"/>
                <w:sz w:val="16"/>
              </w:rPr>
              <w:t>Manage roles but protect system roles and escalation paths</w:t>
            </w:r>
          </w:p>
        </w:tc>
        <w:tc>
          <w:tcPr>
            <w:tcW w:type="dxa" w:w="4320"/>
            <w:vAlign w:val="center"/>
          </w:tcPr>
          <w:p>
            <w:pPr>
              <w:spacing w:after="0"/>
            </w:pPr>
            <w:r/>
            <w:r>
              <w:rPr>
                <w:b w:val="0"/>
                <w:sz w:val="16"/>
              </w:rPr>
              <w:t>POST /api/settings/roles</w:t>
            </w:r>
          </w:p>
        </w:tc>
      </w:tr>
    </w:tbl>
    <w:p/>
    <w:p>
      <w:pPr>
        <w:pStyle w:val="Heading2"/>
      </w:pPr>
      <w:r>
        <w:t>Business rules and guardrails</w:t>
      </w:r>
    </w:p>
    <w:p>
      <w:pPr>
        <w:pStyle w:val="ListBullet"/>
      </w:pPr>
      <w:r>
        <w:t>Permissions are server-enforced on every protected API action. UI hiding is convenience only.</w:t>
      </w:r>
    </w:p>
    <w:p>
      <w:pPr>
        <w:pStyle w:val="ListBullet"/>
      </w:pPr>
      <w:r>
        <w:t>Role assignment is tenant-scoped. A user may be an admin in one tenant and an employee or customer in another.</w:t>
      </w:r>
    </w:p>
    <w:p>
      <w:pPr>
        <w:pStyle w:val="ListBullet"/>
      </w:pPr>
      <w:r>
        <w:t>Platform roles are isolated from tenant roles and cannot be assigned through tenant settings.</w:t>
      </w:r>
    </w:p>
    <w:p>
      <w:pPr>
        <w:pStyle w:val="ListBullet"/>
      </w:pPr>
      <w:r>
        <w:t>Portal users receive least-privilege access. They must not query all tenant records then filter client-side.</w:t>
      </w:r>
    </w:p>
    <w:p>
      <w:pPr>
        <w:pStyle w:val="ListBullet"/>
      </w:pPr>
      <w:r>
        <w:t>Use explicit permission keys in module.action form, for example customers.read, orders.create, documents.send, reports.export.</w:t>
      </w:r>
    </w:p>
    <w:p>
      <w:pPr>
        <w:pStyle w:val="ListBullet"/>
      </w:pPr>
      <w:r>
        <w:t>Owner/admin role changes, permission overrides, and role deletions must create audit events.</w:t>
      </w:r>
    </w:p>
    <w:p>
      <w:pPr>
        <w:pStyle w:val="ListBullet"/>
      </w:pPr>
      <w:r>
        <w:t>Deny overrides must be exceptional, visible, and documented. Do not create a swamp of silent special cases.</w:t>
      </w:r>
    </w:p>
    <w:p>
      <w:pPr>
        <w:pStyle w:val="Heading2"/>
      </w:pPr>
      <w:r>
        <w:t>Required build sequence</w:t>
      </w:r>
    </w:p>
    <w:p>
      <w:pPr>
        <w:pStyle w:val="ListNumber"/>
      </w:pPr>
      <w:r>
        <w:t>Inventory all current role checks, route guards, user models, employee/customer portal checks, and hard-coded admin booleans.</w:t>
      </w:r>
    </w:p>
    <w:p>
      <w:pPr>
        <w:pStyle w:val="ListNumber"/>
      </w:pPr>
      <w:r>
        <w:t>Create permission catalog with module.action keys and role bundles for tenant_owner, admin, sales, production, installer, employee, customer, webstore_owner, webstore_manager, and platform_admin.</w:t>
      </w:r>
    </w:p>
    <w:p>
      <w:pPr>
        <w:pStyle w:val="ListNumber"/>
      </w:pPr>
      <w:r>
        <w:t>Implement policy evaluator and backend middleware before building role-management UI.</w:t>
      </w:r>
    </w:p>
    <w:p>
      <w:pPr>
        <w:pStyle w:val="ListNumber"/>
      </w:pPr>
      <w:r>
        <w:t>Implement resource-scoped policies for customer-owned, employee-assigned, webstore-owned, and tenant-wide records.</w:t>
      </w:r>
    </w:p>
    <w:p>
      <w:pPr>
        <w:pStyle w:val="ListNumber"/>
      </w:pPr>
      <w:r>
        <w:t>Build role/user administration screens with change confirmation and audit history.</w:t>
      </w:r>
    </w:p>
    <w:p>
      <w:pPr>
        <w:pStyle w:val="ListNumber"/>
      </w:pPr>
      <w:r>
        <w:t>Add permission fixtures and matrix tests for every Phase 1 endpoint.</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Sales role tries to export payroll</w:t>
            </w:r>
          </w:p>
        </w:tc>
        <w:tc>
          <w:tcPr>
            <w:tcW w:type="dxa" w:w="5472"/>
            <w:vAlign w:val="center"/>
          </w:tcPr>
          <w:p>
            <w:pPr>
              <w:spacing w:after="0"/>
            </w:pPr>
            <w:r/>
            <w:r>
              <w:rPr>
                <w:b w:val="0"/>
                <w:sz w:val="16"/>
              </w:rPr>
              <w:t>Denied even if they manually call the endpoint.</w:t>
            </w:r>
          </w:p>
        </w:tc>
      </w:tr>
      <w:tr>
        <w:tc>
          <w:tcPr>
            <w:tcW w:type="dxa" w:w="4608"/>
            <w:vAlign w:val="center"/>
          </w:tcPr>
          <w:p>
            <w:pPr>
              <w:spacing w:after="0"/>
            </w:pPr>
            <w:r/>
            <w:r>
              <w:rPr>
                <w:b w:val="0"/>
                <w:sz w:val="16"/>
              </w:rPr>
              <w:t>Customer portal user opens another customer order id</w:t>
            </w:r>
          </w:p>
        </w:tc>
        <w:tc>
          <w:tcPr>
            <w:tcW w:type="dxa" w:w="5472"/>
            <w:vAlign w:val="center"/>
          </w:tcPr>
          <w:p>
            <w:pPr>
              <w:spacing w:after="0"/>
            </w:pPr>
            <w:r/>
            <w:r>
              <w:rPr>
                <w:b w:val="0"/>
                <w:sz w:val="16"/>
              </w:rPr>
              <w:t>Denied or hidden; no record metadata leaks.</w:t>
            </w:r>
          </w:p>
        </w:tc>
      </w:tr>
      <w:tr>
        <w:tc>
          <w:tcPr>
            <w:tcW w:type="dxa" w:w="4608"/>
            <w:vAlign w:val="center"/>
          </w:tcPr>
          <w:p>
            <w:pPr>
              <w:spacing w:after="0"/>
            </w:pPr>
            <w:r/>
            <w:r>
              <w:rPr>
                <w:b w:val="0"/>
                <w:sz w:val="16"/>
              </w:rPr>
              <w:t>Tenant owner assigns admin role</w:t>
            </w:r>
          </w:p>
        </w:tc>
        <w:tc>
          <w:tcPr>
            <w:tcW w:type="dxa" w:w="5472"/>
            <w:vAlign w:val="center"/>
          </w:tcPr>
          <w:p>
            <w:pPr>
              <w:spacing w:after="0"/>
            </w:pPr>
            <w:r/>
            <w:r>
              <w:rPr>
                <w:b w:val="0"/>
                <w:sz w:val="16"/>
              </w:rPr>
              <w:t>Assignment is saved tenant-scoped and creates audit event.</w:t>
            </w:r>
          </w:p>
        </w:tc>
      </w:tr>
      <w:tr>
        <w:tc>
          <w:tcPr>
            <w:tcW w:type="dxa" w:w="4608"/>
            <w:vAlign w:val="center"/>
          </w:tcPr>
          <w:p>
            <w:pPr>
              <w:spacing w:after="0"/>
            </w:pPr>
            <w:r/>
            <w:r>
              <w:rPr>
                <w:b w:val="0"/>
                <w:sz w:val="16"/>
              </w:rPr>
              <w:t>Platform admin permission used in tenant route</w:t>
            </w:r>
          </w:p>
        </w:tc>
        <w:tc>
          <w:tcPr>
            <w:tcW w:type="dxa" w:w="5472"/>
            <w:vAlign w:val="center"/>
          </w:tcPr>
          <w:p>
            <w:pPr>
              <w:spacing w:after="0"/>
            </w:pPr>
            <w:r/>
            <w:r>
              <w:rPr>
                <w:b w:val="0"/>
                <w:sz w:val="16"/>
              </w:rPr>
              <w:t>Policy rejects it unless explicit platform flow is active.</w:t>
            </w:r>
          </w:p>
        </w:tc>
      </w:tr>
      <w:tr>
        <w:tc>
          <w:tcPr>
            <w:tcW w:type="dxa" w:w="4608"/>
            <w:vAlign w:val="center"/>
          </w:tcPr>
          <w:p>
            <w:pPr>
              <w:spacing w:after="0"/>
            </w:pPr>
            <w:r/>
            <w:r>
              <w:rPr>
                <w:b w:val="0"/>
                <w:sz w:val="16"/>
              </w:rPr>
              <w:t>Role deleted while assigned</w:t>
            </w:r>
          </w:p>
        </w:tc>
        <w:tc>
          <w:tcPr>
            <w:tcW w:type="dxa" w:w="5472"/>
            <w:vAlign w:val="center"/>
          </w:tcPr>
          <w:p>
            <w:pPr>
              <w:spacing w:after="0"/>
            </w:pPr>
            <w:r/>
            <w:r>
              <w:rPr>
                <w:b w:val="0"/>
                <w:sz w:val="16"/>
              </w:rPr>
              <w:t>System blocks deletion or requires reassignment plan.</w:t>
            </w:r>
          </w:p>
        </w:tc>
      </w:tr>
      <w:tr>
        <w:tc>
          <w:tcPr>
            <w:tcW w:type="dxa" w:w="4608"/>
            <w:vAlign w:val="center"/>
          </w:tcPr>
          <w:p>
            <w:pPr>
              <w:spacing w:after="0"/>
            </w:pPr>
            <w:r/>
            <w:r>
              <w:rPr>
                <w:b w:val="0"/>
                <w:sz w:val="16"/>
              </w:rPr>
              <w:t>UI and backend disagree</w:t>
            </w:r>
          </w:p>
        </w:tc>
        <w:tc>
          <w:tcPr>
            <w:tcW w:type="dxa" w:w="5472"/>
            <w:vAlign w:val="center"/>
          </w:tcPr>
          <w:p>
            <w:pPr>
              <w:spacing w:after="0"/>
            </w:pPr>
            <w:r/>
            <w:r>
              <w:rPr>
                <w:b w:val="0"/>
                <w:sz w:val="16"/>
              </w:rPr>
              <w:t>Backend remains authoritative and test exposes the mismatch.</w:t>
            </w:r>
          </w:p>
        </w:tc>
      </w:tr>
    </w:tbl>
    <w:p/>
    <w:p>
      <w:pPr>
        <w:pStyle w:val="Heading2"/>
      </w:pPr>
      <w:r>
        <w:t>Migration / legacy cleanup</w:t>
      </w:r>
    </w:p>
    <w:p>
      <w:pPr>
        <w:pStyle w:val="ListBullet"/>
      </w:pPr>
      <w:r>
        <w:t>Replace legacy role string comparisons scattered through components with the central policy evaluator.</w:t>
      </w:r>
    </w:p>
    <w:p>
      <w:pPr>
        <w:pStyle w:val="ListBullet"/>
      </w:pPr>
      <w:r>
        <w:t>Consolidate duplicated status/role enums that have different casing or values in different files.</w:t>
      </w:r>
    </w:p>
    <w:p>
      <w:pPr>
        <w:pStyle w:val="ListBullet"/>
      </w:pPr>
      <w:r>
        <w:t>Create compatibility aliases only at input boundaries, then normalize to canonical role keys.</w:t>
      </w:r>
    </w:p>
    <w:p>
      <w:pPr>
        <w:pStyle w:val="Heading2"/>
      </w:pPr>
      <w:r>
        <w:t>Important implementation notes</w:t>
      </w:r>
    </w:p>
    <w:p>
      <w:pPr>
        <w:pStyle w:val="ListBullet"/>
      </w:pPr>
      <w:r>
        <w:t>Use the shared permission specification from Phase 0 Part 2 as the source of truth.</w:t>
      </w:r>
    </w:p>
    <w:p>
      <w:pPr>
        <w:pStyle w:val="ListBullet"/>
      </w:pPr>
      <w:r>
        <w:t>Permission checks belong as close as possible to protected server action/service, not only at route entry.</w:t>
      </w:r>
    </w:p>
    <w:p>
      <w:r>
        <w:br w:type="page"/>
      </w:r>
    </w:p>
    <w:p>
      <w:pPr>
        <w:pStyle w:val="Heading1"/>
      </w:pPr>
      <w:r>
        <w:t>4. Settings &amp; Configuration Framework</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one governed way to store, merge, validate, audit, and expose tenant, module, user, integration, and platform configuration without creating scattered JSON blobs and conflicting sources of truth.</w:t>
            </w:r>
          </w:p>
        </w:tc>
      </w:tr>
    </w:tbl>
    <w:p/>
    <w:p>
      <w:pPr>
        <w:pStyle w:val="Heading2"/>
      </w:pPr>
      <w:r>
        <w:t>Scope and boundaries</w:t>
      </w:r>
    </w:p>
    <w:p>
      <w:pPr>
        <w:pStyle w:val="ListBullet"/>
      </w:pPr>
      <w:r>
        <w:t>Own settings envelopes, scopes, schema validation, defaults, merge behavior, revision/audit history, secret references, and settings UI conventions.</w:t>
      </w:r>
    </w:p>
    <w:p>
      <w:pPr>
        <w:pStyle w:val="ListBullet"/>
      </w:pPr>
      <w:r>
        <w:t>Consume tenant context and permissions; publish resolved configuration to modules through a service.</w:t>
      </w:r>
    </w:p>
    <w:p>
      <w:pPr>
        <w:pStyle w:val="ListBullet"/>
      </w:pPr>
      <w:r>
        <w:t>Do not own module business data. Settings configure behavior; they do not become a dumping ground for records, transactions, or unbounded history.</w:t>
      </w:r>
    </w:p>
    <w:p>
      <w:pPr>
        <w:pStyle w:val="ListBullet"/>
      </w:pPr>
      <w:r>
        <w:t>Separate secrets/credentials from ordinary visible settings.</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SettingsEnvelope</w:t>
            </w:r>
          </w:p>
        </w:tc>
        <w:tc>
          <w:tcPr>
            <w:tcW w:type="dxa" w:w="3672"/>
            <w:vAlign w:val="center"/>
          </w:tcPr>
          <w:p>
            <w:pPr>
              <w:spacing w:after="0"/>
            </w:pPr>
            <w:r/>
            <w:r>
              <w:rPr>
                <w:b w:val="0"/>
                <w:sz w:val="16"/>
              </w:rPr>
              <w:t>One configuration object at a defined scope</w:t>
            </w:r>
          </w:p>
        </w:tc>
        <w:tc>
          <w:tcPr>
            <w:tcW w:type="dxa" w:w="4320"/>
            <w:vAlign w:val="center"/>
          </w:tcPr>
          <w:p>
            <w:pPr>
              <w:spacing w:after="0"/>
            </w:pPr>
            <w:r/>
            <w:r>
              <w:rPr>
                <w:b w:val="0"/>
                <w:sz w:val="16"/>
              </w:rPr>
              <w:t>id, scope, scope_id, namespace, version, data, updated_at</w:t>
            </w:r>
          </w:p>
        </w:tc>
      </w:tr>
      <w:tr>
        <w:tc>
          <w:tcPr>
            <w:tcW w:type="dxa" w:w="2088"/>
            <w:vAlign w:val="center"/>
          </w:tcPr>
          <w:p>
            <w:pPr>
              <w:spacing w:after="0"/>
            </w:pPr>
            <w:r/>
            <w:r>
              <w:rPr>
                <w:b w:val="0"/>
                <w:sz w:val="16"/>
              </w:rPr>
              <w:t>SettingsSchema</w:t>
            </w:r>
          </w:p>
        </w:tc>
        <w:tc>
          <w:tcPr>
            <w:tcW w:type="dxa" w:w="3672"/>
            <w:vAlign w:val="center"/>
          </w:tcPr>
          <w:p>
            <w:pPr>
              <w:spacing w:after="0"/>
            </w:pPr>
            <w:r/>
            <w:r>
              <w:rPr>
                <w:b w:val="0"/>
                <w:sz w:val="16"/>
              </w:rPr>
              <w:t>Validation definition by namespace</w:t>
            </w:r>
          </w:p>
        </w:tc>
        <w:tc>
          <w:tcPr>
            <w:tcW w:type="dxa" w:w="4320"/>
            <w:vAlign w:val="center"/>
          </w:tcPr>
          <w:p>
            <w:pPr>
              <w:spacing w:after="0"/>
            </w:pPr>
            <w:r/>
            <w:r>
              <w:rPr>
                <w:b w:val="0"/>
                <w:sz w:val="16"/>
              </w:rPr>
              <w:t>namespace, version, fields, defaults</w:t>
            </w:r>
          </w:p>
        </w:tc>
      </w:tr>
      <w:tr>
        <w:tc>
          <w:tcPr>
            <w:tcW w:type="dxa" w:w="2088"/>
            <w:vAlign w:val="center"/>
          </w:tcPr>
          <w:p>
            <w:pPr>
              <w:spacing w:after="0"/>
            </w:pPr>
            <w:r/>
            <w:r>
              <w:rPr>
                <w:b w:val="0"/>
                <w:sz w:val="16"/>
              </w:rPr>
              <w:t>SettingsRevision</w:t>
            </w:r>
          </w:p>
        </w:tc>
        <w:tc>
          <w:tcPr>
            <w:tcW w:type="dxa" w:w="3672"/>
            <w:vAlign w:val="center"/>
          </w:tcPr>
          <w:p>
            <w:pPr>
              <w:spacing w:after="0"/>
            </w:pPr>
            <w:r/>
            <w:r>
              <w:rPr>
                <w:b w:val="0"/>
                <w:sz w:val="16"/>
              </w:rPr>
              <w:t>Audited change record</w:t>
            </w:r>
          </w:p>
        </w:tc>
        <w:tc>
          <w:tcPr>
            <w:tcW w:type="dxa" w:w="4320"/>
            <w:vAlign w:val="center"/>
          </w:tcPr>
          <w:p>
            <w:pPr>
              <w:spacing w:after="0"/>
            </w:pPr>
            <w:r/>
            <w:r>
              <w:rPr>
                <w:b w:val="0"/>
                <w:sz w:val="16"/>
              </w:rPr>
              <w:t>id, envelope_id, actor_id, diff, timestamp</w:t>
            </w:r>
          </w:p>
        </w:tc>
      </w:tr>
      <w:tr>
        <w:tc>
          <w:tcPr>
            <w:tcW w:type="dxa" w:w="2088"/>
            <w:vAlign w:val="center"/>
          </w:tcPr>
          <w:p>
            <w:pPr>
              <w:spacing w:after="0"/>
            </w:pPr>
            <w:r/>
            <w:r>
              <w:rPr>
                <w:b w:val="0"/>
                <w:sz w:val="16"/>
              </w:rPr>
              <w:t>IntegrationSecretRef</w:t>
            </w:r>
          </w:p>
        </w:tc>
        <w:tc>
          <w:tcPr>
            <w:tcW w:type="dxa" w:w="3672"/>
            <w:vAlign w:val="center"/>
          </w:tcPr>
          <w:p>
            <w:pPr>
              <w:spacing w:after="0"/>
            </w:pPr>
            <w:r/>
            <w:r>
              <w:rPr>
                <w:b w:val="0"/>
                <w:sz w:val="16"/>
              </w:rPr>
              <w:t>Pointer to protected secret store</w:t>
            </w:r>
          </w:p>
        </w:tc>
        <w:tc>
          <w:tcPr>
            <w:tcW w:type="dxa" w:w="4320"/>
            <w:vAlign w:val="center"/>
          </w:tcPr>
          <w:p>
            <w:pPr>
              <w:spacing w:after="0"/>
            </w:pPr>
            <w:r/>
            <w:r>
              <w:rPr>
                <w:b w:val="0"/>
                <w:sz w:val="16"/>
              </w:rPr>
              <w:t>tenant_id, integration_key, secret_ref, status</w:t>
            </w:r>
          </w:p>
        </w:tc>
      </w:tr>
      <w:tr>
        <w:tc>
          <w:tcPr>
            <w:tcW w:type="dxa" w:w="2088"/>
            <w:vAlign w:val="center"/>
          </w:tcPr>
          <w:p>
            <w:pPr>
              <w:spacing w:after="0"/>
            </w:pPr>
            <w:r/>
            <w:r>
              <w:rPr>
                <w:b w:val="0"/>
                <w:sz w:val="16"/>
              </w:rPr>
              <w:t>ResolvedSettingsCache</w:t>
            </w:r>
          </w:p>
        </w:tc>
        <w:tc>
          <w:tcPr>
            <w:tcW w:type="dxa" w:w="3672"/>
            <w:vAlign w:val="center"/>
          </w:tcPr>
          <w:p>
            <w:pPr>
              <w:spacing w:after="0"/>
            </w:pPr>
            <w:r/>
            <w:r>
              <w:rPr>
                <w:b w:val="0"/>
                <w:sz w:val="16"/>
              </w:rPr>
              <w:t>Optional server cache for merged config</w:t>
            </w:r>
          </w:p>
        </w:tc>
        <w:tc>
          <w:tcPr>
            <w:tcW w:type="dxa" w:w="4320"/>
            <w:vAlign w:val="center"/>
          </w:tcPr>
          <w:p>
            <w:pPr>
              <w:spacing w:after="0"/>
            </w:pPr>
            <w:r/>
            <w:r>
              <w:rPr>
                <w:b w:val="0"/>
                <w:sz w:val="16"/>
              </w:rPr>
              <w:t>scope context, namespace, version, expires_at</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Settings hub</w:t>
            </w:r>
          </w:p>
        </w:tc>
        <w:tc>
          <w:tcPr>
            <w:tcW w:type="dxa" w:w="3456"/>
            <w:vAlign w:val="center"/>
          </w:tcPr>
          <w:p>
            <w:pPr>
              <w:spacing w:after="0"/>
            </w:pPr>
            <w:r/>
            <w:r>
              <w:rPr>
                <w:b w:val="0"/>
                <w:sz w:val="16"/>
              </w:rPr>
              <w:t>/settings</w:t>
            </w:r>
          </w:p>
        </w:tc>
        <w:tc>
          <w:tcPr>
            <w:tcW w:type="dxa" w:w="5040"/>
            <w:vAlign w:val="center"/>
          </w:tcPr>
          <w:p>
            <w:pPr>
              <w:spacing w:after="0"/>
            </w:pPr>
            <w:r/>
            <w:r>
              <w:rPr>
                <w:b w:val="0"/>
                <w:sz w:val="16"/>
              </w:rPr>
              <w:t>One navigation home for all tenant configuration.</w:t>
            </w:r>
          </w:p>
        </w:tc>
      </w:tr>
      <w:tr>
        <w:tc>
          <w:tcPr>
            <w:tcW w:type="dxa" w:w="1584"/>
            <w:vAlign w:val="center"/>
          </w:tcPr>
          <w:p>
            <w:pPr>
              <w:spacing w:after="0"/>
            </w:pPr>
            <w:r/>
            <w:r>
              <w:rPr>
                <w:b w:val="0"/>
                <w:sz w:val="16"/>
              </w:rPr>
              <w:t>Company</w:t>
            </w:r>
          </w:p>
        </w:tc>
        <w:tc>
          <w:tcPr>
            <w:tcW w:type="dxa" w:w="3456"/>
            <w:vAlign w:val="center"/>
          </w:tcPr>
          <w:p>
            <w:pPr>
              <w:spacing w:after="0"/>
            </w:pPr>
            <w:r/>
            <w:r>
              <w:rPr>
                <w:b w:val="0"/>
                <w:sz w:val="16"/>
              </w:rPr>
              <w:t>/settings/company</w:t>
            </w:r>
          </w:p>
        </w:tc>
        <w:tc>
          <w:tcPr>
            <w:tcW w:type="dxa" w:w="5040"/>
            <w:vAlign w:val="center"/>
          </w:tcPr>
          <w:p>
            <w:pPr>
              <w:spacing w:after="0"/>
            </w:pPr>
            <w:r/>
            <w:r>
              <w:rPr>
                <w:b w:val="0"/>
                <w:sz w:val="16"/>
              </w:rPr>
              <w:t>Business identity, contact, legal details.</w:t>
            </w:r>
          </w:p>
        </w:tc>
      </w:tr>
      <w:tr>
        <w:tc>
          <w:tcPr>
            <w:tcW w:type="dxa" w:w="1584"/>
            <w:vAlign w:val="center"/>
          </w:tcPr>
          <w:p>
            <w:pPr>
              <w:spacing w:after="0"/>
            </w:pPr>
            <w:r/>
            <w:r>
              <w:rPr>
                <w:b w:val="0"/>
                <w:sz w:val="16"/>
              </w:rPr>
              <w:t>Pricing</w:t>
            </w:r>
          </w:p>
        </w:tc>
        <w:tc>
          <w:tcPr>
            <w:tcW w:type="dxa" w:w="3456"/>
            <w:vAlign w:val="center"/>
          </w:tcPr>
          <w:p>
            <w:pPr>
              <w:spacing w:after="0"/>
            </w:pPr>
            <w:r/>
            <w:r>
              <w:rPr>
                <w:b w:val="0"/>
                <w:sz w:val="16"/>
              </w:rPr>
              <w:t>/settings/pricing-setup</w:t>
            </w:r>
          </w:p>
        </w:tc>
        <w:tc>
          <w:tcPr>
            <w:tcW w:type="dxa" w:w="5040"/>
            <w:vAlign w:val="center"/>
          </w:tcPr>
          <w:p>
            <w:pPr>
              <w:spacing w:after="0"/>
            </w:pPr>
            <w:r/>
            <w:r>
              <w:rPr>
                <w:b w:val="0"/>
                <w:sz w:val="16"/>
              </w:rPr>
              <w:t>Pricing-specific settings, owned by Pricing module but surfaced here.</w:t>
            </w:r>
          </w:p>
        </w:tc>
      </w:tr>
      <w:tr>
        <w:tc>
          <w:tcPr>
            <w:tcW w:type="dxa" w:w="1584"/>
            <w:vAlign w:val="center"/>
          </w:tcPr>
          <w:p>
            <w:pPr>
              <w:spacing w:after="0"/>
            </w:pPr>
            <w:r/>
            <w:r>
              <w:rPr>
                <w:b w:val="0"/>
                <w:sz w:val="16"/>
              </w:rPr>
              <w:t>Integrations</w:t>
            </w:r>
          </w:p>
        </w:tc>
        <w:tc>
          <w:tcPr>
            <w:tcW w:type="dxa" w:w="3456"/>
            <w:vAlign w:val="center"/>
          </w:tcPr>
          <w:p>
            <w:pPr>
              <w:spacing w:after="0"/>
            </w:pPr>
            <w:r/>
            <w:r>
              <w:rPr>
                <w:b w:val="0"/>
                <w:sz w:val="16"/>
              </w:rPr>
              <w:t>/settings/integrations</w:t>
            </w:r>
          </w:p>
        </w:tc>
        <w:tc>
          <w:tcPr>
            <w:tcW w:type="dxa" w:w="5040"/>
            <w:vAlign w:val="center"/>
          </w:tcPr>
          <w:p>
            <w:pPr>
              <w:spacing w:after="0"/>
            </w:pPr>
            <w:r/>
            <w:r>
              <w:rPr>
                <w:b w:val="0"/>
                <w:sz w:val="16"/>
              </w:rPr>
              <w:t>Email, Stripe, Meta, storage, other connected services.</w:t>
            </w:r>
          </w:p>
        </w:tc>
      </w:tr>
      <w:tr>
        <w:tc>
          <w:tcPr>
            <w:tcW w:type="dxa" w:w="1584"/>
            <w:vAlign w:val="center"/>
          </w:tcPr>
          <w:p>
            <w:pPr>
              <w:spacing w:after="0"/>
            </w:pPr>
            <w:r/>
            <w:r>
              <w:rPr>
                <w:b w:val="0"/>
                <w:sz w:val="16"/>
              </w:rPr>
              <w:t>Team / roles</w:t>
            </w:r>
          </w:p>
        </w:tc>
        <w:tc>
          <w:tcPr>
            <w:tcW w:type="dxa" w:w="3456"/>
            <w:vAlign w:val="center"/>
          </w:tcPr>
          <w:p>
            <w:pPr>
              <w:spacing w:after="0"/>
            </w:pPr>
            <w:r/>
            <w:r>
              <w:rPr>
                <w:b w:val="0"/>
                <w:sz w:val="16"/>
              </w:rPr>
              <w:t>/settings/users, /settings/roles</w:t>
            </w:r>
          </w:p>
        </w:tc>
        <w:tc>
          <w:tcPr>
            <w:tcW w:type="dxa" w:w="5040"/>
            <w:vAlign w:val="center"/>
          </w:tcPr>
          <w:p>
            <w:pPr>
              <w:spacing w:after="0"/>
            </w:pPr>
            <w:r/>
            <w:r>
              <w:rPr>
                <w:b w:val="0"/>
                <w:sz w:val="16"/>
              </w:rPr>
              <w:t>User and role administration.</w:t>
            </w:r>
          </w:p>
        </w:tc>
      </w:tr>
      <w:tr>
        <w:tc>
          <w:tcPr>
            <w:tcW w:type="dxa" w:w="1584"/>
            <w:vAlign w:val="center"/>
          </w:tcPr>
          <w:p>
            <w:pPr>
              <w:spacing w:after="0"/>
            </w:pPr>
            <w:r/>
            <w:r>
              <w:rPr>
                <w:b w:val="0"/>
                <w:sz w:val="16"/>
              </w:rPr>
              <w:t>Platform</w:t>
            </w:r>
          </w:p>
        </w:tc>
        <w:tc>
          <w:tcPr>
            <w:tcW w:type="dxa" w:w="3456"/>
            <w:vAlign w:val="center"/>
          </w:tcPr>
          <w:p>
            <w:pPr>
              <w:spacing w:after="0"/>
            </w:pPr>
            <w:r/>
            <w:r>
              <w:rPr>
                <w:b w:val="0"/>
                <w:sz w:val="16"/>
              </w:rPr>
              <w:t>/platform-admin/site-settings</w:t>
            </w:r>
          </w:p>
        </w:tc>
        <w:tc>
          <w:tcPr>
            <w:tcW w:type="dxa" w:w="5040"/>
            <w:vAlign w:val="center"/>
          </w:tcPr>
          <w:p>
            <w:pPr>
              <w:spacing w:after="0"/>
            </w:pPr>
            <w:r/>
            <w:r>
              <w:rPr>
                <w:b w:val="0"/>
                <w:sz w:val="16"/>
              </w:rPr>
              <w:t>Platform-wide settings only.</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Settings resolver</w:t>
            </w:r>
          </w:p>
        </w:tc>
        <w:tc>
          <w:tcPr>
            <w:tcW w:type="dxa" w:w="3816"/>
            <w:vAlign w:val="center"/>
          </w:tcPr>
          <w:p>
            <w:pPr>
              <w:spacing w:after="0"/>
            </w:pPr>
            <w:r/>
            <w:r>
              <w:rPr>
                <w:b w:val="0"/>
                <w:sz w:val="16"/>
              </w:rPr>
              <w:t>Merge platform, tenant, module, user and request context according to P0 rules</w:t>
            </w:r>
          </w:p>
        </w:tc>
        <w:tc>
          <w:tcPr>
            <w:tcW w:type="dxa" w:w="4320"/>
            <w:vAlign w:val="center"/>
          </w:tcPr>
          <w:p>
            <w:pPr>
              <w:spacing w:after="0"/>
            </w:pPr>
            <w:r/>
            <w:r>
              <w:rPr>
                <w:b w:val="0"/>
                <w:sz w:val="16"/>
              </w:rPr>
              <w:t>getResolvedSettings(context, namespace)</w:t>
            </w:r>
          </w:p>
        </w:tc>
      </w:tr>
      <w:tr>
        <w:tc>
          <w:tcPr>
            <w:tcW w:type="dxa" w:w="1944"/>
            <w:vAlign w:val="center"/>
          </w:tcPr>
          <w:p>
            <w:pPr>
              <w:spacing w:after="0"/>
            </w:pPr>
            <w:r/>
            <w:r>
              <w:rPr>
                <w:b w:val="0"/>
                <w:sz w:val="16"/>
              </w:rPr>
              <w:t>Schema validator</w:t>
            </w:r>
          </w:p>
        </w:tc>
        <w:tc>
          <w:tcPr>
            <w:tcW w:type="dxa" w:w="3816"/>
            <w:vAlign w:val="center"/>
          </w:tcPr>
          <w:p>
            <w:pPr>
              <w:spacing w:after="0"/>
            </w:pPr>
            <w:r/>
            <w:r>
              <w:rPr>
                <w:b w:val="0"/>
                <w:sz w:val="16"/>
              </w:rPr>
              <w:t>Validate patch and normalize values before persistence</w:t>
            </w:r>
          </w:p>
        </w:tc>
        <w:tc>
          <w:tcPr>
            <w:tcW w:type="dxa" w:w="4320"/>
            <w:vAlign w:val="center"/>
          </w:tcPr>
          <w:p>
            <w:pPr>
              <w:spacing w:after="0"/>
            </w:pPr>
            <w:r/>
            <w:r>
              <w:rPr>
                <w:b w:val="0"/>
                <w:sz w:val="16"/>
              </w:rPr>
              <w:t>validateSettingsPatch(namespace, patch)</w:t>
            </w:r>
          </w:p>
        </w:tc>
      </w:tr>
      <w:tr>
        <w:tc>
          <w:tcPr>
            <w:tcW w:type="dxa" w:w="1944"/>
            <w:vAlign w:val="center"/>
          </w:tcPr>
          <w:p>
            <w:pPr>
              <w:spacing w:after="0"/>
            </w:pPr>
            <w:r/>
            <w:r>
              <w:rPr>
                <w:b w:val="0"/>
                <w:sz w:val="16"/>
              </w:rPr>
              <w:t>Settings service</w:t>
            </w:r>
          </w:p>
        </w:tc>
        <w:tc>
          <w:tcPr>
            <w:tcW w:type="dxa" w:w="3816"/>
            <w:vAlign w:val="center"/>
          </w:tcPr>
          <w:p>
            <w:pPr>
              <w:spacing w:after="0"/>
            </w:pPr>
            <w:r/>
            <w:r>
              <w:rPr>
                <w:b w:val="0"/>
                <w:sz w:val="16"/>
              </w:rPr>
              <w:t>Read/update versioned envelopes and emit events</w:t>
            </w:r>
          </w:p>
        </w:tc>
        <w:tc>
          <w:tcPr>
            <w:tcW w:type="dxa" w:w="4320"/>
            <w:vAlign w:val="center"/>
          </w:tcPr>
          <w:p>
            <w:pPr>
              <w:spacing w:after="0"/>
            </w:pPr>
            <w:r/>
            <w:r>
              <w:rPr>
                <w:b w:val="0"/>
                <w:sz w:val="16"/>
              </w:rPr>
              <w:t>PATCH /api/settings/:namespace</w:t>
            </w:r>
          </w:p>
        </w:tc>
      </w:tr>
      <w:tr>
        <w:tc>
          <w:tcPr>
            <w:tcW w:type="dxa" w:w="1944"/>
            <w:vAlign w:val="center"/>
          </w:tcPr>
          <w:p>
            <w:pPr>
              <w:spacing w:after="0"/>
            </w:pPr>
            <w:r/>
            <w:r>
              <w:rPr>
                <w:b w:val="0"/>
                <w:sz w:val="16"/>
              </w:rPr>
              <w:t>Secret service</w:t>
            </w:r>
          </w:p>
        </w:tc>
        <w:tc>
          <w:tcPr>
            <w:tcW w:type="dxa" w:w="3816"/>
            <w:vAlign w:val="center"/>
          </w:tcPr>
          <w:p>
            <w:pPr>
              <w:spacing w:after="0"/>
            </w:pPr>
            <w:r/>
            <w:r>
              <w:rPr>
                <w:b w:val="0"/>
                <w:sz w:val="16"/>
              </w:rPr>
              <w:t>Store/retrieve credential references without returning secret values to browser</w:t>
            </w:r>
          </w:p>
        </w:tc>
        <w:tc>
          <w:tcPr>
            <w:tcW w:type="dxa" w:w="4320"/>
            <w:vAlign w:val="center"/>
          </w:tcPr>
          <w:p>
            <w:pPr>
              <w:spacing w:after="0"/>
            </w:pPr>
            <w:r/>
            <w:r>
              <w:rPr>
                <w:b w:val="0"/>
                <w:sz w:val="16"/>
              </w:rPr>
              <w:t>connectIntegration(); rotateSecret()</w:t>
            </w:r>
          </w:p>
        </w:tc>
      </w:tr>
    </w:tbl>
    <w:p/>
    <w:p>
      <w:pPr>
        <w:pStyle w:val="Heading2"/>
      </w:pPr>
      <w:r>
        <w:t>Business rules and guardrails</w:t>
      </w:r>
    </w:p>
    <w:p>
      <w:pPr>
        <w:pStyle w:val="ListBullet"/>
      </w:pPr>
      <w:r>
        <w:t>Use the explicit Phase 0 settings precedence and merge function. No module may hand-merge defaults in a component.</w:t>
      </w:r>
    </w:p>
    <w:p>
      <w:pPr>
        <w:pStyle w:val="ListBullet"/>
      </w:pPr>
      <w:r>
        <w:t>Every namespace must have a documented schema, defaults, allowed scopes, visibility rules, and owner module.</w:t>
      </w:r>
    </w:p>
    <w:p>
      <w:pPr>
        <w:pStyle w:val="ListBullet"/>
      </w:pPr>
      <w:r>
        <w:t>Only a deliberate allowlist of fields may be user-scoped; users cannot override tenant-wide tax, billing, or financial policy by accident.</w:t>
      </w:r>
    </w:p>
    <w:p>
      <w:pPr>
        <w:pStyle w:val="ListBullet"/>
      </w:pPr>
      <w:r>
        <w:t>Sensitive values are stored as secret references and never returned in ordinary settings reads.</w:t>
      </w:r>
    </w:p>
    <w:p>
      <w:pPr>
        <w:pStyle w:val="ListBullet"/>
      </w:pPr>
      <w:r>
        <w:t>Settings mutations require version checking or another conflict strategy to prevent silent last-write-wins loss.</w:t>
      </w:r>
    </w:p>
    <w:p>
      <w:pPr>
        <w:pStyle w:val="ListBullet"/>
      </w:pPr>
      <w:r>
        <w:t>Every meaningful change records actor, namespace, before/after diff summary, and settings.changed event.</w:t>
      </w:r>
    </w:p>
    <w:p>
      <w:pPr>
        <w:pStyle w:val="ListBullet"/>
      </w:pPr>
      <w:r>
        <w:t>Old settings blobs are migrated once, not copied indefinitely into every new namespace.</w:t>
      </w:r>
    </w:p>
    <w:p>
      <w:pPr>
        <w:pStyle w:val="Heading2"/>
      </w:pPr>
      <w:r>
        <w:t>Required build sequence</w:t>
      </w:r>
    </w:p>
    <w:p>
      <w:pPr>
        <w:pStyle w:val="ListNumber"/>
      </w:pPr>
      <w:r>
        <w:t>Inventory every settings route, context, JSON blob, environment variable dependency, and module-local config file.</w:t>
      </w:r>
    </w:p>
    <w:p>
      <w:pPr>
        <w:pStyle w:val="ListNumber"/>
      </w:pPr>
      <w:r>
        <w:t>Create settings namespace registry and schemas before moving old UI.</w:t>
      </w:r>
    </w:p>
    <w:p>
      <w:pPr>
        <w:pStyle w:val="ListNumber"/>
      </w:pPr>
      <w:r>
        <w:t>Implement platform/tenant/module/user resolution service and test precedence rules.</w:t>
      </w:r>
    </w:p>
    <w:p>
      <w:pPr>
        <w:pStyle w:val="ListNumber"/>
      </w:pPr>
      <w:r>
        <w:t>Implement secure integration-secret references and connection status checks.</w:t>
      </w:r>
    </w:p>
    <w:p>
      <w:pPr>
        <w:pStyle w:val="ListNumber"/>
      </w:pPr>
      <w:r>
        <w:t>Build compact settings hub and consistent page pattern: overview, form, validation, save state, change history, help.</w:t>
      </w:r>
    </w:p>
    <w:p>
      <w:pPr>
        <w:pStyle w:val="ListNumber"/>
      </w:pPr>
      <w:r>
        <w:t>Migrate legacy settings pages in batches; delete old contexts only after all consumers use the resolver.</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Tenant pricing setting updates</w:t>
            </w:r>
          </w:p>
        </w:tc>
        <w:tc>
          <w:tcPr>
            <w:tcW w:type="dxa" w:w="5472"/>
            <w:vAlign w:val="center"/>
          </w:tcPr>
          <w:p>
            <w:pPr>
              <w:spacing w:after="0"/>
            </w:pPr>
            <w:r/>
            <w:r>
              <w:rPr>
                <w:b w:val="0"/>
                <w:sz w:val="16"/>
              </w:rPr>
              <w:t>Only authorized actor can edit; schema validates; revision/event recorded.</w:t>
            </w:r>
          </w:p>
        </w:tc>
      </w:tr>
      <w:tr>
        <w:tc>
          <w:tcPr>
            <w:tcW w:type="dxa" w:w="4608"/>
            <w:vAlign w:val="center"/>
          </w:tcPr>
          <w:p>
            <w:pPr>
              <w:spacing w:after="0"/>
            </w:pPr>
            <w:r/>
            <w:r>
              <w:rPr>
                <w:b w:val="0"/>
                <w:sz w:val="16"/>
              </w:rPr>
              <w:t>User preference is set</w:t>
            </w:r>
          </w:p>
        </w:tc>
        <w:tc>
          <w:tcPr>
            <w:tcW w:type="dxa" w:w="5472"/>
            <w:vAlign w:val="center"/>
          </w:tcPr>
          <w:p>
            <w:pPr>
              <w:spacing w:after="0"/>
            </w:pPr>
            <w:r/>
            <w:r>
              <w:rPr>
                <w:b w:val="0"/>
                <w:sz w:val="16"/>
              </w:rPr>
              <w:t>Affects only allowed user-scoped UI preference fields.</w:t>
            </w:r>
          </w:p>
        </w:tc>
      </w:tr>
      <w:tr>
        <w:tc>
          <w:tcPr>
            <w:tcW w:type="dxa" w:w="4608"/>
            <w:vAlign w:val="center"/>
          </w:tcPr>
          <w:p>
            <w:pPr>
              <w:spacing w:after="0"/>
            </w:pPr>
            <w:r/>
            <w:r>
              <w:rPr>
                <w:b w:val="0"/>
                <w:sz w:val="16"/>
              </w:rPr>
              <w:t>Secret read attempted by browser</w:t>
            </w:r>
          </w:p>
        </w:tc>
        <w:tc>
          <w:tcPr>
            <w:tcW w:type="dxa" w:w="5472"/>
            <w:vAlign w:val="center"/>
          </w:tcPr>
          <w:p>
            <w:pPr>
              <w:spacing w:after="0"/>
            </w:pPr>
            <w:r/>
            <w:r>
              <w:rPr>
                <w:b w:val="0"/>
                <w:sz w:val="16"/>
              </w:rPr>
              <w:t>Browser receives masked status, not the secret value.</w:t>
            </w:r>
          </w:p>
        </w:tc>
      </w:tr>
      <w:tr>
        <w:tc>
          <w:tcPr>
            <w:tcW w:type="dxa" w:w="4608"/>
            <w:vAlign w:val="center"/>
          </w:tcPr>
          <w:p>
            <w:pPr>
              <w:spacing w:after="0"/>
            </w:pPr>
            <w:r/>
            <w:r>
              <w:rPr>
                <w:b w:val="0"/>
                <w:sz w:val="16"/>
              </w:rPr>
              <w:t>Two admins edit same settings envelope</w:t>
            </w:r>
          </w:p>
        </w:tc>
        <w:tc>
          <w:tcPr>
            <w:tcW w:type="dxa" w:w="5472"/>
            <w:vAlign w:val="center"/>
          </w:tcPr>
          <w:p>
            <w:pPr>
              <w:spacing w:after="0"/>
            </w:pPr>
            <w:r/>
            <w:r>
              <w:rPr>
                <w:b w:val="0"/>
                <w:sz w:val="16"/>
              </w:rPr>
              <w:t>Conflict is detected or version behavior is clear and logged.</w:t>
            </w:r>
          </w:p>
        </w:tc>
      </w:tr>
      <w:tr>
        <w:tc>
          <w:tcPr>
            <w:tcW w:type="dxa" w:w="4608"/>
            <w:vAlign w:val="center"/>
          </w:tcPr>
          <w:p>
            <w:pPr>
              <w:spacing w:after="0"/>
            </w:pPr>
            <w:r/>
            <w:r>
              <w:rPr>
                <w:b w:val="0"/>
                <w:sz w:val="16"/>
              </w:rPr>
              <w:t>Module requests resolved settings</w:t>
            </w:r>
          </w:p>
        </w:tc>
        <w:tc>
          <w:tcPr>
            <w:tcW w:type="dxa" w:w="5472"/>
            <w:vAlign w:val="center"/>
          </w:tcPr>
          <w:p>
            <w:pPr>
              <w:spacing w:after="0"/>
            </w:pPr>
            <w:r/>
            <w:r>
              <w:rPr>
                <w:b w:val="0"/>
                <w:sz w:val="16"/>
              </w:rPr>
              <w:t>Receives deterministic merged object from shared resolver.</w:t>
            </w:r>
          </w:p>
        </w:tc>
      </w:tr>
      <w:tr>
        <w:tc>
          <w:tcPr>
            <w:tcW w:type="dxa" w:w="4608"/>
            <w:vAlign w:val="center"/>
          </w:tcPr>
          <w:p>
            <w:pPr>
              <w:spacing w:after="0"/>
            </w:pPr>
            <w:r/>
            <w:r>
              <w:rPr>
                <w:b w:val="0"/>
                <w:sz w:val="16"/>
              </w:rPr>
              <w:t>Unknown field submitted</w:t>
            </w:r>
          </w:p>
        </w:tc>
        <w:tc>
          <w:tcPr>
            <w:tcW w:type="dxa" w:w="5472"/>
            <w:vAlign w:val="center"/>
          </w:tcPr>
          <w:p>
            <w:pPr>
              <w:spacing w:after="0"/>
            </w:pPr>
            <w:r/>
            <w:r>
              <w:rPr>
                <w:b w:val="0"/>
                <w:sz w:val="16"/>
              </w:rPr>
              <w:t>Rejected or stripped according to schema; never silently stored.</w:t>
            </w:r>
          </w:p>
        </w:tc>
      </w:tr>
    </w:tbl>
    <w:p/>
    <w:p>
      <w:pPr>
        <w:pStyle w:val="Heading2"/>
      </w:pPr>
      <w:r>
        <w:t>Migration / legacy cleanup</w:t>
      </w:r>
    </w:p>
    <w:p>
      <w:pPr>
        <w:pStyle w:val="ListBullet"/>
      </w:pPr>
      <w:r>
        <w:t>Consolidate the duplicate context/contexts setup documented in the architecture audit.</w:t>
      </w:r>
    </w:p>
    <w:p>
      <w:pPr>
        <w:pStyle w:val="ListBullet"/>
      </w:pPr>
      <w:r>
        <w:t>Replace imported-but-never-routed legacy pricing settings pages with the canonical Pricing settings path or remove them.</w:t>
      </w:r>
    </w:p>
    <w:p>
      <w:pPr>
        <w:pStyle w:val="ListBullet"/>
      </w:pPr>
      <w:r>
        <w:t>Move all settings-like pages under /settings except truly module-local configuration that belongs inside an owned module detail page.</w:t>
      </w:r>
    </w:p>
    <w:p>
      <w:pPr>
        <w:pStyle w:val="Heading2"/>
      </w:pPr>
      <w:r>
        <w:t>Important implementation notes</w:t>
      </w:r>
    </w:p>
    <w:p>
      <w:pPr>
        <w:pStyle w:val="ListBullet"/>
      </w:pPr>
      <w:r>
        <w:t>Settings pages must use the shared design system and avoid a different side navigation inside every settings subsection.</w:t>
      </w:r>
    </w:p>
    <w:p>
      <w:pPr>
        <w:pStyle w:val="ListBullet"/>
      </w:pPr>
      <w:r>
        <w:t>Use a documented namespace list: company, branding, pricing, notifications, integrations, documents, assistant, portal, webstore, platform.</w:t>
      </w:r>
    </w:p>
    <w:p>
      <w:r>
        <w:br w:type="page"/>
      </w:r>
    </w:p>
    <w:p>
      <w:pPr>
        <w:pStyle w:val="Heading1"/>
      </w:pPr>
      <w:r>
        <w:t>5. File Uploads &amp; Attachments</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a secure, reusable attachment system for artwork, proofs, images, PDFs, customer documents, generated packets, import files, and portal-visible files without duplicating file records inside every module.</w:t>
            </w:r>
          </w:p>
        </w:tc>
      </w:tr>
    </w:tbl>
    <w:p/>
    <w:p>
      <w:pPr>
        <w:pStyle w:val="Heading2"/>
      </w:pPr>
      <w:r>
        <w:t>Scope and boundaries</w:t>
      </w:r>
    </w:p>
    <w:p>
      <w:pPr>
        <w:pStyle w:val="ListBullet"/>
      </w:pPr>
      <w:r>
        <w:t>Own binary file metadata, storage references, upload lifecycle, virus/type/size checks, attachment links, access policy, preview/download behavior, versioning policy, retention, and generated-file registration.</w:t>
      </w:r>
    </w:p>
    <w:p>
      <w:pPr>
        <w:pStyle w:val="ListBullet"/>
      </w:pPr>
      <w:r>
        <w:t>Do not own the business meaning of an attachment. The linked module owns whether a file is an artwork proof, contract, invoice PDF, vehicle photo, or product image.</w:t>
      </w:r>
    </w:p>
    <w:p>
      <w:pPr>
        <w:pStyle w:val="ListBullet"/>
      </w:pPr>
      <w:r>
        <w:t>Support one file linked to many allowed records only through explicit AttachmentLink records, never by copying file blobs.</w:t>
      </w:r>
    </w:p>
    <w:p>
      <w:pPr>
        <w:pStyle w:val="ListBullet"/>
      </w:pPr>
      <w:r>
        <w:t>Use separate access policies for internal, customer portal, employee portal, owner portal, public storefront, and platform admin.</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StoredFile</w:t>
            </w:r>
          </w:p>
        </w:tc>
        <w:tc>
          <w:tcPr>
            <w:tcW w:type="dxa" w:w="3672"/>
            <w:vAlign w:val="center"/>
          </w:tcPr>
          <w:p>
            <w:pPr>
              <w:spacing w:after="0"/>
            </w:pPr>
            <w:r/>
            <w:r>
              <w:rPr>
                <w:b w:val="0"/>
                <w:sz w:val="16"/>
              </w:rPr>
              <w:t>Canonical file metadata / storage pointer</w:t>
            </w:r>
          </w:p>
        </w:tc>
        <w:tc>
          <w:tcPr>
            <w:tcW w:type="dxa" w:w="4320"/>
            <w:vAlign w:val="center"/>
          </w:tcPr>
          <w:p>
            <w:pPr>
              <w:spacing w:after="0"/>
            </w:pPr>
            <w:r/>
            <w:r>
              <w:rPr>
                <w:b w:val="0"/>
                <w:sz w:val="16"/>
              </w:rPr>
              <w:t>id, tenant_id, storage_key, name, mime_type, size, checksum, status</w:t>
            </w:r>
          </w:p>
        </w:tc>
      </w:tr>
      <w:tr>
        <w:tc>
          <w:tcPr>
            <w:tcW w:type="dxa" w:w="2088"/>
            <w:vAlign w:val="center"/>
          </w:tcPr>
          <w:p>
            <w:pPr>
              <w:spacing w:after="0"/>
            </w:pPr>
            <w:r/>
            <w:r>
              <w:rPr>
                <w:b w:val="0"/>
                <w:sz w:val="16"/>
              </w:rPr>
              <w:t>AttachmentLink</w:t>
            </w:r>
          </w:p>
        </w:tc>
        <w:tc>
          <w:tcPr>
            <w:tcW w:type="dxa" w:w="3672"/>
            <w:vAlign w:val="center"/>
          </w:tcPr>
          <w:p>
            <w:pPr>
              <w:spacing w:after="0"/>
            </w:pPr>
            <w:r/>
            <w:r>
              <w:rPr>
                <w:b w:val="0"/>
                <w:sz w:val="16"/>
              </w:rPr>
              <w:t>Link between file and business entity</w:t>
            </w:r>
          </w:p>
        </w:tc>
        <w:tc>
          <w:tcPr>
            <w:tcW w:type="dxa" w:w="4320"/>
            <w:vAlign w:val="center"/>
          </w:tcPr>
          <w:p>
            <w:pPr>
              <w:spacing w:after="0"/>
            </w:pPr>
            <w:r/>
            <w:r>
              <w:rPr>
                <w:b w:val="0"/>
                <w:sz w:val="16"/>
              </w:rPr>
              <w:t>id, file_id, tenant_id, entity_type, entity_id, role, visibility</w:t>
            </w:r>
          </w:p>
        </w:tc>
      </w:tr>
      <w:tr>
        <w:tc>
          <w:tcPr>
            <w:tcW w:type="dxa" w:w="2088"/>
            <w:vAlign w:val="center"/>
          </w:tcPr>
          <w:p>
            <w:pPr>
              <w:spacing w:after="0"/>
            </w:pPr>
            <w:r/>
            <w:r>
              <w:rPr>
                <w:b w:val="0"/>
                <w:sz w:val="16"/>
              </w:rPr>
              <w:t>UploadSession</w:t>
            </w:r>
          </w:p>
        </w:tc>
        <w:tc>
          <w:tcPr>
            <w:tcW w:type="dxa" w:w="3672"/>
            <w:vAlign w:val="center"/>
          </w:tcPr>
          <w:p>
            <w:pPr>
              <w:spacing w:after="0"/>
            </w:pPr>
            <w:r/>
            <w:r>
              <w:rPr>
                <w:b w:val="0"/>
                <w:sz w:val="16"/>
              </w:rPr>
              <w:t>Temporary direct-upload authorization</w:t>
            </w:r>
          </w:p>
        </w:tc>
        <w:tc>
          <w:tcPr>
            <w:tcW w:type="dxa" w:w="4320"/>
            <w:vAlign w:val="center"/>
          </w:tcPr>
          <w:p>
            <w:pPr>
              <w:spacing w:after="0"/>
            </w:pPr>
            <w:r/>
            <w:r>
              <w:rPr>
                <w:b w:val="0"/>
                <w:sz w:val="16"/>
              </w:rPr>
              <w:t>id, tenant_id, actor_id, constraints, expires_at, status</w:t>
            </w:r>
          </w:p>
        </w:tc>
      </w:tr>
      <w:tr>
        <w:tc>
          <w:tcPr>
            <w:tcW w:type="dxa" w:w="2088"/>
            <w:vAlign w:val="center"/>
          </w:tcPr>
          <w:p>
            <w:pPr>
              <w:spacing w:after="0"/>
            </w:pPr>
            <w:r/>
            <w:r>
              <w:rPr>
                <w:b w:val="0"/>
                <w:sz w:val="16"/>
              </w:rPr>
              <w:t>FileVersion</w:t>
            </w:r>
          </w:p>
        </w:tc>
        <w:tc>
          <w:tcPr>
            <w:tcW w:type="dxa" w:w="3672"/>
            <w:vAlign w:val="center"/>
          </w:tcPr>
          <w:p>
            <w:pPr>
              <w:spacing w:after="0"/>
            </w:pPr>
            <w:r/>
            <w:r>
              <w:rPr>
                <w:b w:val="0"/>
                <w:sz w:val="16"/>
              </w:rPr>
              <w:t>Version relationship if versioning applies</w:t>
            </w:r>
          </w:p>
        </w:tc>
        <w:tc>
          <w:tcPr>
            <w:tcW w:type="dxa" w:w="4320"/>
            <w:vAlign w:val="center"/>
          </w:tcPr>
          <w:p>
            <w:pPr>
              <w:spacing w:after="0"/>
            </w:pPr>
            <w:r/>
            <w:r>
              <w:rPr>
                <w:b w:val="0"/>
                <w:sz w:val="16"/>
              </w:rPr>
              <w:t>id, logical_file_id, version_number, file_id</w:t>
            </w:r>
          </w:p>
        </w:tc>
      </w:tr>
      <w:tr>
        <w:tc>
          <w:tcPr>
            <w:tcW w:type="dxa" w:w="2088"/>
            <w:vAlign w:val="center"/>
          </w:tcPr>
          <w:p>
            <w:pPr>
              <w:spacing w:after="0"/>
            </w:pPr>
            <w:r/>
            <w:r>
              <w:rPr>
                <w:b w:val="0"/>
                <w:sz w:val="16"/>
              </w:rPr>
              <w:t>GeneratedFileJob</w:t>
            </w:r>
          </w:p>
        </w:tc>
        <w:tc>
          <w:tcPr>
            <w:tcW w:type="dxa" w:w="3672"/>
            <w:vAlign w:val="center"/>
          </w:tcPr>
          <w:p>
            <w:pPr>
              <w:spacing w:after="0"/>
            </w:pPr>
            <w:r/>
            <w:r>
              <w:rPr>
                <w:b w:val="0"/>
                <w:sz w:val="16"/>
              </w:rPr>
              <w:t>Generated PDF/packet/export tracking</w:t>
            </w:r>
          </w:p>
        </w:tc>
        <w:tc>
          <w:tcPr>
            <w:tcW w:type="dxa" w:w="4320"/>
            <w:vAlign w:val="center"/>
          </w:tcPr>
          <w:p>
            <w:pPr>
              <w:spacing w:after="0"/>
            </w:pPr>
            <w:r/>
            <w:r>
              <w:rPr>
                <w:b w:val="0"/>
                <w:sz w:val="16"/>
              </w:rPr>
              <w:t>id, tenant_id, source_type, source_id, status, output_file_id</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Shared upload UI</w:t>
            </w:r>
          </w:p>
        </w:tc>
        <w:tc>
          <w:tcPr>
            <w:tcW w:type="dxa" w:w="3456"/>
            <w:vAlign w:val="center"/>
          </w:tcPr>
          <w:p>
            <w:pPr>
              <w:spacing w:after="0"/>
            </w:pPr>
            <w:r/>
            <w:r>
              <w:rPr>
                <w:b w:val="0"/>
                <w:sz w:val="16"/>
              </w:rPr>
              <w:t>No top-level route required</w:t>
            </w:r>
          </w:p>
        </w:tc>
        <w:tc>
          <w:tcPr>
            <w:tcW w:type="dxa" w:w="5040"/>
            <w:vAlign w:val="center"/>
          </w:tcPr>
          <w:p>
            <w:pPr>
              <w:spacing w:after="0"/>
            </w:pPr>
            <w:r/>
            <w:r>
              <w:rPr>
                <w:b w:val="0"/>
                <w:sz w:val="16"/>
              </w:rPr>
              <w:t>Reusable picker, dropzone, file list, preview drawer.</w:t>
            </w:r>
          </w:p>
        </w:tc>
      </w:tr>
      <w:tr>
        <w:tc>
          <w:tcPr>
            <w:tcW w:type="dxa" w:w="1584"/>
            <w:vAlign w:val="center"/>
          </w:tcPr>
          <w:p>
            <w:pPr>
              <w:spacing w:after="0"/>
            </w:pPr>
            <w:r/>
            <w:r>
              <w:rPr>
                <w:b w:val="0"/>
                <w:sz w:val="16"/>
              </w:rPr>
              <w:t>Document Library</w:t>
            </w:r>
          </w:p>
        </w:tc>
        <w:tc>
          <w:tcPr>
            <w:tcW w:type="dxa" w:w="3456"/>
            <w:vAlign w:val="center"/>
          </w:tcPr>
          <w:p>
            <w:pPr>
              <w:spacing w:after="0"/>
            </w:pPr>
            <w:r/>
            <w:r>
              <w:rPr>
                <w:b w:val="0"/>
                <w:sz w:val="16"/>
              </w:rPr>
              <w:t>/documents</w:t>
            </w:r>
          </w:p>
        </w:tc>
        <w:tc>
          <w:tcPr>
            <w:tcW w:type="dxa" w:w="5040"/>
            <w:vAlign w:val="center"/>
          </w:tcPr>
          <w:p>
            <w:pPr>
              <w:spacing w:after="0"/>
            </w:pPr>
            <w:r/>
            <w:r>
              <w:rPr>
                <w:b w:val="0"/>
                <w:sz w:val="16"/>
              </w:rPr>
              <w:t>Primary discovery/management UI for documents.</w:t>
            </w:r>
          </w:p>
        </w:tc>
      </w:tr>
      <w:tr>
        <w:tc>
          <w:tcPr>
            <w:tcW w:type="dxa" w:w="1584"/>
            <w:vAlign w:val="center"/>
          </w:tcPr>
          <w:p>
            <w:pPr>
              <w:spacing w:after="0"/>
            </w:pPr>
            <w:r/>
            <w:r>
              <w:rPr>
                <w:b w:val="0"/>
                <w:sz w:val="16"/>
              </w:rPr>
              <w:t>Customer portal</w:t>
            </w:r>
          </w:p>
        </w:tc>
        <w:tc>
          <w:tcPr>
            <w:tcW w:type="dxa" w:w="3456"/>
            <w:vAlign w:val="center"/>
          </w:tcPr>
          <w:p>
            <w:pPr>
              <w:spacing w:after="0"/>
            </w:pPr>
            <w:r/>
            <w:r>
              <w:rPr>
                <w:b w:val="0"/>
                <w:sz w:val="16"/>
              </w:rPr>
              <w:t>/customer-portal/documents</w:t>
            </w:r>
          </w:p>
        </w:tc>
        <w:tc>
          <w:tcPr>
            <w:tcW w:type="dxa" w:w="5040"/>
            <w:vAlign w:val="center"/>
          </w:tcPr>
          <w:p>
            <w:pPr>
              <w:spacing w:after="0"/>
            </w:pPr>
            <w:r/>
            <w:r>
              <w:rPr>
                <w:b w:val="0"/>
                <w:sz w:val="16"/>
              </w:rPr>
              <w:t>Only files linked and visible to that customer.</w:t>
            </w:r>
          </w:p>
        </w:tc>
      </w:tr>
      <w:tr>
        <w:tc>
          <w:tcPr>
            <w:tcW w:type="dxa" w:w="1584"/>
            <w:vAlign w:val="center"/>
          </w:tcPr>
          <w:p>
            <w:pPr>
              <w:spacing w:after="0"/>
            </w:pPr>
            <w:r/>
            <w:r>
              <w:rPr>
                <w:b w:val="0"/>
                <w:sz w:val="16"/>
              </w:rPr>
              <w:t>Public store</w:t>
            </w:r>
          </w:p>
        </w:tc>
        <w:tc>
          <w:tcPr>
            <w:tcW w:type="dxa" w:w="3456"/>
            <w:vAlign w:val="center"/>
          </w:tcPr>
          <w:p>
            <w:pPr>
              <w:spacing w:after="0"/>
            </w:pPr>
            <w:r/>
            <w:r>
              <w:rPr>
                <w:b w:val="0"/>
                <w:sz w:val="16"/>
              </w:rPr>
              <w:t>/store/:storeId</w:t>
            </w:r>
          </w:p>
        </w:tc>
        <w:tc>
          <w:tcPr>
            <w:tcW w:type="dxa" w:w="5040"/>
            <w:vAlign w:val="center"/>
          </w:tcPr>
          <w:p>
            <w:pPr>
              <w:spacing w:after="0"/>
            </w:pPr>
            <w:r/>
            <w:r>
              <w:rPr>
                <w:b w:val="0"/>
                <w:sz w:val="16"/>
              </w:rPr>
              <w:t>Public product images only; no arbitrary tenant file browsing.</w:t>
            </w:r>
          </w:p>
        </w:tc>
      </w:tr>
      <w:tr>
        <w:tc>
          <w:tcPr>
            <w:tcW w:type="dxa" w:w="1584"/>
            <w:vAlign w:val="center"/>
          </w:tcPr>
          <w:p>
            <w:pPr>
              <w:spacing w:after="0"/>
            </w:pPr>
            <w:r/>
            <w:r>
              <w:rPr>
                <w:b w:val="0"/>
                <w:sz w:val="16"/>
              </w:rPr>
              <w:t>Admin maintenance</w:t>
            </w:r>
          </w:p>
        </w:tc>
        <w:tc>
          <w:tcPr>
            <w:tcW w:type="dxa" w:w="3456"/>
            <w:vAlign w:val="center"/>
          </w:tcPr>
          <w:p>
            <w:pPr>
              <w:spacing w:after="0"/>
            </w:pPr>
            <w:r/>
            <w:r>
              <w:rPr>
                <w:b w:val="0"/>
                <w:sz w:val="16"/>
              </w:rPr>
              <w:t>/settings/storage or platform-admin only if needed</w:t>
            </w:r>
          </w:p>
        </w:tc>
        <w:tc>
          <w:tcPr>
            <w:tcW w:type="dxa" w:w="5040"/>
            <w:vAlign w:val="center"/>
          </w:tcPr>
          <w:p>
            <w:pPr>
              <w:spacing w:after="0"/>
            </w:pPr>
            <w:r/>
            <w:r>
              <w:rPr>
                <w:b w:val="0"/>
                <w:sz w:val="16"/>
              </w:rPr>
              <w:t>Storage health, cleanup, retention.</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Upload service</w:t>
            </w:r>
          </w:p>
        </w:tc>
        <w:tc>
          <w:tcPr>
            <w:tcW w:type="dxa" w:w="3816"/>
            <w:vAlign w:val="center"/>
          </w:tcPr>
          <w:p>
            <w:pPr>
              <w:spacing w:after="0"/>
            </w:pPr>
            <w:r/>
            <w:r>
              <w:rPr>
                <w:b w:val="0"/>
                <w:sz w:val="16"/>
              </w:rPr>
              <w:t>Create constrained upload session; finalize after validation</w:t>
            </w:r>
          </w:p>
        </w:tc>
        <w:tc>
          <w:tcPr>
            <w:tcW w:type="dxa" w:w="4320"/>
            <w:vAlign w:val="center"/>
          </w:tcPr>
          <w:p>
            <w:pPr>
              <w:spacing w:after="0"/>
            </w:pPr>
            <w:r/>
            <w:r>
              <w:rPr>
                <w:b w:val="0"/>
                <w:sz w:val="16"/>
              </w:rPr>
              <w:t>POST /api/files/upload-sessions; POST /api/files/finalize</w:t>
            </w:r>
          </w:p>
        </w:tc>
      </w:tr>
      <w:tr>
        <w:tc>
          <w:tcPr>
            <w:tcW w:type="dxa" w:w="1944"/>
            <w:vAlign w:val="center"/>
          </w:tcPr>
          <w:p>
            <w:pPr>
              <w:spacing w:after="0"/>
            </w:pPr>
            <w:r/>
            <w:r>
              <w:rPr>
                <w:b w:val="0"/>
                <w:sz w:val="16"/>
              </w:rPr>
              <w:t>Attachment service</w:t>
            </w:r>
          </w:p>
        </w:tc>
        <w:tc>
          <w:tcPr>
            <w:tcW w:type="dxa" w:w="3816"/>
            <w:vAlign w:val="center"/>
          </w:tcPr>
          <w:p>
            <w:pPr>
              <w:spacing w:after="0"/>
            </w:pPr>
            <w:r/>
            <w:r>
              <w:rPr>
                <w:b w:val="0"/>
                <w:sz w:val="16"/>
              </w:rPr>
              <w:t>Link/unlink file to permitted module entity</w:t>
            </w:r>
          </w:p>
        </w:tc>
        <w:tc>
          <w:tcPr>
            <w:tcW w:type="dxa" w:w="4320"/>
            <w:vAlign w:val="center"/>
          </w:tcPr>
          <w:p>
            <w:pPr>
              <w:spacing w:after="0"/>
            </w:pPr>
            <w:r/>
            <w:r>
              <w:rPr>
                <w:b w:val="0"/>
                <w:sz w:val="16"/>
              </w:rPr>
              <w:t>POST /api/attachments; DELETE /api/attachments/:id</w:t>
            </w:r>
          </w:p>
        </w:tc>
      </w:tr>
      <w:tr>
        <w:tc>
          <w:tcPr>
            <w:tcW w:type="dxa" w:w="1944"/>
            <w:vAlign w:val="center"/>
          </w:tcPr>
          <w:p>
            <w:pPr>
              <w:spacing w:after="0"/>
            </w:pPr>
            <w:r/>
            <w:r>
              <w:rPr>
                <w:b w:val="0"/>
                <w:sz w:val="16"/>
              </w:rPr>
              <w:t>Access service</w:t>
            </w:r>
          </w:p>
        </w:tc>
        <w:tc>
          <w:tcPr>
            <w:tcW w:type="dxa" w:w="3816"/>
            <w:vAlign w:val="center"/>
          </w:tcPr>
          <w:p>
            <w:pPr>
              <w:spacing w:after="0"/>
            </w:pPr>
            <w:r/>
            <w:r>
              <w:rPr>
                <w:b w:val="0"/>
                <w:sz w:val="16"/>
              </w:rPr>
              <w:t>Authorize preview/download based on actor + link visibility</w:t>
            </w:r>
          </w:p>
        </w:tc>
        <w:tc>
          <w:tcPr>
            <w:tcW w:type="dxa" w:w="4320"/>
            <w:vAlign w:val="center"/>
          </w:tcPr>
          <w:p>
            <w:pPr>
              <w:spacing w:after="0"/>
            </w:pPr>
            <w:r/>
            <w:r>
              <w:rPr>
                <w:b w:val="0"/>
                <w:sz w:val="16"/>
              </w:rPr>
              <w:t>GET /api/files/:id/download</w:t>
            </w:r>
          </w:p>
        </w:tc>
      </w:tr>
      <w:tr>
        <w:tc>
          <w:tcPr>
            <w:tcW w:type="dxa" w:w="1944"/>
            <w:vAlign w:val="center"/>
          </w:tcPr>
          <w:p>
            <w:pPr>
              <w:spacing w:after="0"/>
            </w:pPr>
            <w:r/>
            <w:r>
              <w:rPr>
                <w:b w:val="0"/>
                <w:sz w:val="16"/>
              </w:rPr>
              <w:t>Generation service</w:t>
            </w:r>
          </w:p>
        </w:tc>
        <w:tc>
          <w:tcPr>
            <w:tcW w:type="dxa" w:w="3816"/>
            <w:vAlign w:val="center"/>
          </w:tcPr>
          <w:p>
            <w:pPr>
              <w:spacing w:after="0"/>
            </w:pPr>
            <w:r/>
            <w:r>
              <w:rPr>
                <w:b w:val="0"/>
                <w:sz w:val="16"/>
              </w:rPr>
              <w:t>Register generated documents as files then attach</w:t>
            </w:r>
          </w:p>
        </w:tc>
        <w:tc>
          <w:tcPr>
            <w:tcW w:type="dxa" w:w="4320"/>
            <w:vAlign w:val="center"/>
          </w:tcPr>
          <w:p>
            <w:pPr>
              <w:spacing w:after="0"/>
            </w:pPr>
            <w:r/>
            <w:r>
              <w:rPr>
                <w:b w:val="0"/>
                <w:sz w:val="16"/>
              </w:rPr>
              <w:t>createGeneratedFile()</w:t>
            </w:r>
          </w:p>
        </w:tc>
      </w:tr>
    </w:tbl>
    <w:p/>
    <w:p>
      <w:pPr>
        <w:pStyle w:val="Heading2"/>
      </w:pPr>
      <w:r>
        <w:t>Business rules and guardrails</w:t>
      </w:r>
    </w:p>
    <w:p>
      <w:pPr>
        <w:pStyle w:val="ListBullet"/>
      </w:pPr>
      <w:r>
        <w:t>Never trust client-supplied MIME type, filename, tenant_id, or entity link. Validate server-side.</w:t>
      </w:r>
    </w:p>
    <w:p>
      <w:pPr>
        <w:pStyle w:val="ListBullet"/>
      </w:pPr>
      <w:r>
        <w:t>Uploads must be scoped to the resolved tenant and to a requested allowed purpose.</w:t>
      </w:r>
    </w:p>
    <w:p>
      <w:pPr>
        <w:pStyle w:val="ListBullet"/>
      </w:pPr>
      <w:r>
        <w:t>Attachments must have explicit visibility: internal, customer_portal, employee_portal, owner_portal, public, or restricted.</w:t>
      </w:r>
    </w:p>
    <w:p>
      <w:pPr>
        <w:pStyle w:val="ListBullet"/>
      </w:pPr>
      <w:r>
        <w:t>Files must not become public because a guessed storage URL happens to work. Downloads/previews require authorization or time-limited signed URLs.</w:t>
      </w:r>
    </w:p>
    <w:p>
      <w:pPr>
        <w:pStyle w:val="ListBullet"/>
      </w:pPr>
      <w:r>
        <w:t>Generated files are treated like other files: registered, linked, permissioned, logged, and retained.</w:t>
      </w:r>
    </w:p>
    <w:p>
      <w:pPr>
        <w:pStyle w:val="ListBullet"/>
      </w:pPr>
      <w:r>
        <w:t>Deletion should usually unlink/archive first. Physical deletion must respect retention, legal/financial record needs, and shared links.</w:t>
      </w:r>
    </w:p>
    <w:p>
      <w:pPr>
        <w:pStyle w:val="ListBullet"/>
      </w:pPr>
      <w:r>
        <w:t>Large uploads and image conversions should have clear pending/failed states instead of pretending upload completed.</w:t>
      </w:r>
    </w:p>
    <w:p>
      <w:pPr>
        <w:pStyle w:val="Heading2"/>
      </w:pPr>
      <w:r>
        <w:t>Required build sequence</w:t>
      </w:r>
    </w:p>
    <w:p>
      <w:pPr>
        <w:pStyle w:val="ListNumber"/>
      </w:pPr>
      <w:r>
        <w:t>Inventory existing upload routes, storage provider code, document links, image fields, hard-coded URLs, and file-preview components.</w:t>
      </w:r>
    </w:p>
    <w:p>
      <w:pPr>
        <w:pStyle w:val="ListNumber"/>
      </w:pPr>
      <w:r>
        <w:t>Create StoredFile, AttachmentLink, and upload-finalization flow with tenant enforcement.</w:t>
      </w:r>
    </w:p>
    <w:p>
      <w:pPr>
        <w:pStyle w:val="ListNumber"/>
      </w:pPr>
      <w:r>
        <w:t>Implement file type/size allowlists by purpose such as artwork, document, image, import, and generated PDF.</w:t>
      </w:r>
    </w:p>
    <w:p>
      <w:pPr>
        <w:pStyle w:val="ListNumber"/>
      </w:pPr>
      <w:r>
        <w:t>Build reusable attachment picker/list/preview components using shared design patterns.</w:t>
      </w:r>
    </w:p>
    <w:p>
      <w:pPr>
        <w:pStyle w:val="ListNumber"/>
      </w:pPr>
      <w:r>
        <w:t>Implement authorization for internal and each portal zone before exposing customer/employee/owner access.</w:t>
      </w:r>
    </w:p>
    <w:p>
      <w:pPr>
        <w:pStyle w:val="ListNumber"/>
      </w:pPr>
      <w:r>
        <w:t>Add generated-document registration for later DocuLink, proofs, invoices, and Wrap Lab packets.</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Internal user uploads artwork to Order Item</w:t>
            </w:r>
          </w:p>
        </w:tc>
        <w:tc>
          <w:tcPr>
            <w:tcW w:type="dxa" w:w="5472"/>
            <w:vAlign w:val="center"/>
          </w:tcPr>
          <w:p>
            <w:pPr>
              <w:spacing w:after="0"/>
            </w:pPr>
            <w:r/>
            <w:r>
              <w:rPr>
                <w:b w:val="0"/>
                <w:sz w:val="16"/>
              </w:rPr>
              <w:t>File is stored tenant-scoped, linked to correct entity, and appears in activity.</w:t>
            </w:r>
          </w:p>
        </w:tc>
      </w:tr>
      <w:tr>
        <w:tc>
          <w:tcPr>
            <w:tcW w:type="dxa" w:w="4608"/>
            <w:vAlign w:val="center"/>
          </w:tcPr>
          <w:p>
            <w:pPr>
              <w:spacing w:after="0"/>
            </w:pPr>
            <w:r/>
            <w:r>
              <w:rPr>
                <w:b w:val="0"/>
                <w:sz w:val="16"/>
              </w:rPr>
              <w:t>Customer portal requests a file from another customer</w:t>
            </w:r>
          </w:p>
        </w:tc>
        <w:tc>
          <w:tcPr>
            <w:tcW w:type="dxa" w:w="5472"/>
            <w:vAlign w:val="center"/>
          </w:tcPr>
          <w:p>
            <w:pPr>
              <w:spacing w:after="0"/>
            </w:pPr>
            <w:r/>
            <w:r>
              <w:rPr>
                <w:b w:val="0"/>
                <w:sz w:val="16"/>
              </w:rPr>
              <w:t>Denied even if file id is guessed.</w:t>
            </w:r>
          </w:p>
        </w:tc>
      </w:tr>
      <w:tr>
        <w:tc>
          <w:tcPr>
            <w:tcW w:type="dxa" w:w="4608"/>
            <w:vAlign w:val="center"/>
          </w:tcPr>
          <w:p>
            <w:pPr>
              <w:spacing w:after="0"/>
            </w:pPr>
            <w:r/>
            <w:r>
              <w:rPr>
                <w:b w:val="0"/>
                <w:sz w:val="16"/>
              </w:rPr>
              <w:t>Unsupported executable upload</w:t>
            </w:r>
          </w:p>
        </w:tc>
        <w:tc>
          <w:tcPr>
            <w:tcW w:type="dxa" w:w="5472"/>
            <w:vAlign w:val="center"/>
          </w:tcPr>
          <w:p>
            <w:pPr>
              <w:spacing w:after="0"/>
            </w:pPr>
            <w:r/>
            <w:r>
              <w:rPr>
                <w:b w:val="0"/>
                <w:sz w:val="16"/>
              </w:rPr>
              <w:t>Rejected before it becomes a linked attachment.</w:t>
            </w:r>
          </w:p>
        </w:tc>
      </w:tr>
      <w:tr>
        <w:tc>
          <w:tcPr>
            <w:tcW w:type="dxa" w:w="4608"/>
            <w:vAlign w:val="center"/>
          </w:tcPr>
          <w:p>
            <w:pPr>
              <w:spacing w:after="0"/>
            </w:pPr>
            <w:r/>
            <w:r>
              <w:rPr>
                <w:b w:val="0"/>
                <w:sz w:val="16"/>
              </w:rPr>
              <w:t>Generated invoice PDF created</w:t>
            </w:r>
          </w:p>
        </w:tc>
        <w:tc>
          <w:tcPr>
            <w:tcW w:type="dxa" w:w="5472"/>
            <w:vAlign w:val="center"/>
          </w:tcPr>
          <w:p>
            <w:pPr>
              <w:spacing w:after="0"/>
            </w:pPr>
            <w:r/>
            <w:r>
              <w:rPr>
                <w:b w:val="0"/>
                <w:sz w:val="16"/>
              </w:rPr>
              <w:t>Appears as canonical file and invoice attachment with proper visibility.</w:t>
            </w:r>
          </w:p>
        </w:tc>
      </w:tr>
      <w:tr>
        <w:tc>
          <w:tcPr>
            <w:tcW w:type="dxa" w:w="4608"/>
            <w:vAlign w:val="center"/>
          </w:tcPr>
          <w:p>
            <w:pPr>
              <w:spacing w:after="0"/>
            </w:pPr>
            <w:r/>
            <w:r>
              <w:rPr>
                <w:b w:val="0"/>
                <w:sz w:val="16"/>
              </w:rPr>
              <w:t>File linked to two records</w:t>
            </w:r>
          </w:p>
        </w:tc>
        <w:tc>
          <w:tcPr>
            <w:tcW w:type="dxa" w:w="5472"/>
            <w:vAlign w:val="center"/>
          </w:tcPr>
          <w:p>
            <w:pPr>
              <w:spacing w:after="0"/>
            </w:pPr>
            <w:r/>
            <w:r>
              <w:rPr>
                <w:b w:val="0"/>
                <w:sz w:val="16"/>
              </w:rPr>
              <w:t>One StoredFile can have explicit links without duplicate binary uploads.</w:t>
            </w:r>
          </w:p>
        </w:tc>
      </w:tr>
      <w:tr>
        <w:tc>
          <w:tcPr>
            <w:tcW w:type="dxa" w:w="4608"/>
            <w:vAlign w:val="center"/>
          </w:tcPr>
          <w:p>
            <w:pPr>
              <w:spacing w:after="0"/>
            </w:pPr>
            <w:r/>
            <w:r>
              <w:rPr>
                <w:b w:val="0"/>
                <w:sz w:val="16"/>
              </w:rPr>
              <w:t>Upload fails halfway</w:t>
            </w:r>
          </w:p>
        </w:tc>
        <w:tc>
          <w:tcPr>
            <w:tcW w:type="dxa" w:w="5472"/>
            <w:vAlign w:val="center"/>
          </w:tcPr>
          <w:p>
            <w:pPr>
              <w:spacing w:after="0"/>
            </w:pPr>
            <w:r/>
            <w:r>
              <w:rPr>
                <w:b w:val="0"/>
                <w:sz w:val="16"/>
              </w:rPr>
              <w:t>Upload session expires/marks failed; no fake completed attachment remains.</w:t>
            </w:r>
          </w:p>
        </w:tc>
      </w:tr>
    </w:tbl>
    <w:p/>
    <w:p>
      <w:pPr>
        <w:pStyle w:val="Heading2"/>
      </w:pPr>
      <w:r>
        <w:t>Migration / legacy cleanup</w:t>
      </w:r>
    </w:p>
    <w:p>
      <w:pPr>
        <w:pStyle w:val="ListBullet"/>
      </w:pPr>
      <w:r>
        <w:t>Migrate files currently embedded as URL fields or module-specific arrays into StoredFile plus AttachmentLink.</w:t>
      </w:r>
    </w:p>
    <w:p>
      <w:pPr>
        <w:pStyle w:val="ListBullet"/>
      </w:pPr>
      <w:r>
        <w:t>Identify public storage assumptions and replace them with signed access or controlled download endpoints.</w:t>
      </w:r>
    </w:p>
    <w:p>
      <w:pPr>
        <w:pStyle w:val="ListBullet"/>
      </w:pPr>
      <w:r>
        <w:t>Preserve legacy file IDs/URLs only as migration references, not as permanent competing file systems.</w:t>
      </w:r>
    </w:p>
    <w:p>
      <w:pPr>
        <w:pStyle w:val="Heading2"/>
      </w:pPr>
      <w:r>
        <w:t>Important implementation notes</w:t>
      </w:r>
    </w:p>
    <w:p>
      <w:pPr>
        <w:pStyle w:val="ListBullet"/>
      </w:pPr>
      <w:r>
        <w:t>AttachmentLink is foundational and should be reused by Customers, Orders, Order Items, Documents, Proofs, Webstores, Wrap Lab, Messages, and portals.</w:t>
      </w:r>
    </w:p>
    <w:p>
      <w:pPr>
        <w:pStyle w:val="ListBullet"/>
      </w:pPr>
      <w:r>
        <w:t>Use a standard entity_type/entity_id registry so attachment links remain readable and queryable.</w:t>
      </w:r>
    </w:p>
    <w:p>
      <w:r>
        <w:br w:type="page"/>
      </w:r>
    </w:p>
    <w:p>
      <w:pPr>
        <w:pStyle w:val="Heading1"/>
      </w:pPr>
      <w:r>
        <w:t>6. Activity Log &amp; Audit Trail</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Create one reliable, tenant-safe, append-only activity system for meaningful business actions, security events, status changes, approvals, communication delivery, automation, AI actions, and administrative changes.</w:t>
            </w:r>
          </w:p>
        </w:tc>
      </w:tr>
    </w:tbl>
    <w:p/>
    <w:p>
      <w:pPr>
        <w:pStyle w:val="Heading2"/>
      </w:pPr>
      <w:r>
        <w:t>Scope and boundaries</w:t>
      </w:r>
    </w:p>
    <w:p>
      <w:pPr>
        <w:pStyle w:val="ListBullet"/>
      </w:pPr>
      <w:r>
        <w:t>Own the canonical event envelope, event naming, visibility, target/correlation links, retention approach, timeline query APIs, and audit-level safeguards.</w:t>
      </w:r>
    </w:p>
    <w:p>
      <w:pPr>
        <w:pStyle w:val="ListBullet"/>
      </w:pPr>
      <w:r>
        <w:t>Consume domain events from modules; do not become the source of truth for their business data.</w:t>
      </w:r>
    </w:p>
    <w:p>
      <w:pPr>
        <w:pStyle w:val="ListBullet"/>
      </w:pPr>
      <w:r>
        <w:t>Support both user-facing record history and restricted administrative/security audit history.</w:t>
      </w:r>
    </w:p>
    <w:p>
      <w:pPr>
        <w:pStyle w:val="ListBullet"/>
      </w:pPr>
      <w:r>
        <w:t>Do not store full sensitive documents, passwords, secret values, or entire message bodies in event metadata.</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ActivityEvent</w:t>
            </w:r>
          </w:p>
        </w:tc>
        <w:tc>
          <w:tcPr>
            <w:tcW w:type="dxa" w:w="3672"/>
            <w:vAlign w:val="center"/>
          </w:tcPr>
          <w:p>
            <w:pPr>
              <w:spacing w:after="0"/>
            </w:pPr>
            <w:r/>
            <w:r>
              <w:rPr>
                <w:b w:val="0"/>
                <w:sz w:val="16"/>
              </w:rPr>
              <w:t>Canonical append-only event record</w:t>
            </w:r>
          </w:p>
        </w:tc>
        <w:tc>
          <w:tcPr>
            <w:tcW w:type="dxa" w:w="4320"/>
            <w:vAlign w:val="center"/>
          </w:tcPr>
          <w:p>
            <w:pPr>
              <w:spacing w:after="0"/>
            </w:pPr>
            <w:r/>
            <w:r>
              <w:rPr>
                <w:b w:val="0"/>
                <w:sz w:val="16"/>
              </w:rPr>
              <w:t>id, tenant_id, event_type, actor, target, visibility, occurred_at</w:t>
            </w:r>
          </w:p>
        </w:tc>
      </w:tr>
      <w:tr>
        <w:tc>
          <w:tcPr>
            <w:tcW w:type="dxa" w:w="2088"/>
            <w:vAlign w:val="center"/>
          </w:tcPr>
          <w:p>
            <w:pPr>
              <w:spacing w:after="0"/>
            </w:pPr>
            <w:r/>
            <w:r>
              <w:rPr>
                <w:b w:val="0"/>
                <w:sz w:val="16"/>
              </w:rPr>
              <w:t>EventTarget</w:t>
            </w:r>
          </w:p>
        </w:tc>
        <w:tc>
          <w:tcPr>
            <w:tcW w:type="dxa" w:w="3672"/>
            <w:vAlign w:val="center"/>
          </w:tcPr>
          <w:p>
            <w:pPr>
              <w:spacing w:after="0"/>
            </w:pPr>
            <w:r/>
            <w:r>
              <w:rPr>
                <w:b w:val="0"/>
                <w:sz w:val="16"/>
              </w:rPr>
              <w:t>Optional normalized target links</w:t>
            </w:r>
          </w:p>
        </w:tc>
        <w:tc>
          <w:tcPr>
            <w:tcW w:type="dxa" w:w="4320"/>
            <w:vAlign w:val="center"/>
          </w:tcPr>
          <w:p>
            <w:pPr>
              <w:spacing w:after="0"/>
            </w:pPr>
            <w:r/>
            <w:r>
              <w:rPr>
                <w:b w:val="0"/>
                <w:sz w:val="16"/>
              </w:rPr>
              <w:t>event_id, entity_type, entity_id, relation</w:t>
            </w:r>
          </w:p>
        </w:tc>
      </w:tr>
      <w:tr>
        <w:tc>
          <w:tcPr>
            <w:tcW w:type="dxa" w:w="2088"/>
            <w:vAlign w:val="center"/>
          </w:tcPr>
          <w:p>
            <w:pPr>
              <w:spacing w:after="0"/>
            </w:pPr>
            <w:r/>
            <w:r>
              <w:rPr>
                <w:b w:val="0"/>
                <w:sz w:val="16"/>
              </w:rPr>
              <w:t>AuditRetentionPolicy</w:t>
            </w:r>
          </w:p>
        </w:tc>
        <w:tc>
          <w:tcPr>
            <w:tcW w:type="dxa" w:w="3672"/>
            <w:vAlign w:val="center"/>
          </w:tcPr>
          <w:p>
            <w:pPr>
              <w:spacing w:after="0"/>
            </w:pPr>
            <w:r/>
            <w:r>
              <w:rPr>
                <w:b w:val="0"/>
                <w:sz w:val="16"/>
              </w:rPr>
              <w:t>Retention / redaction configuration</w:t>
            </w:r>
          </w:p>
        </w:tc>
        <w:tc>
          <w:tcPr>
            <w:tcW w:type="dxa" w:w="4320"/>
            <w:vAlign w:val="center"/>
          </w:tcPr>
          <w:p>
            <w:pPr>
              <w:spacing w:after="0"/>
            </w:pPr>
            <w:r/>
            <w:r>
              <w:rPr>
                <w:b w:val="0"/>
                <w:sz w:val="16"/>
              </w:rPr>
              <w:t>scope, retention_period, rules</w:t>
            </w:r>
          </w:p>
        </w:tc>
      </w:tr>
      <w:tr>
        <w:tc>
          <w:tcPr>
            <w:tcW w:type="dxa" w:w="2088"/>
            <w:vAlign w:val="center"/>
          </w:tcPr>
          <w:p>
            <w:pPr>
              <w:spacing w:after="0"/>
            </w:pPr>
            <w:r/>
            <w:r>
              <w:rPr>
                <w:b w:val="0"/>
                <w:sz w:val="16"/>
              </w:rPr>
              <w:t>EventSubscription</w:t>
            </w:r>
          </w:p>
        </w:tc>
        <w:tc>
          <w:tcPr>
            <w:tcW w:type="dxa" w:w="3672"/>
            <w:vAlign w:val="center"/>
          </w:tcPr>
          <w:p>
            <w:pPr>
              <w:spacing w:after="0"/>
            </w:pPr>
            <w:r/>
            <w:r>
              <w:rPr>
                <w:b w:val="0"/>
                <w:sz w:val="16"/>
              </w:rPr>
              <w:t>Optional automation/notification listener config</w:t>
            </w:r>
          </w:p>
        </w:tc>
        <w:tc>
          <w:tcPr>
            <w:tcW w:type="dxa" w:w="4320"/>
            <w:vAlign w:val="center"/>
          </w:tcPr>
          <w:p>
            <w:pPr>
              <w:spacing w:after="0"/>
            </w:pPr>
            <w:r/>
            <w:r>
              <w:rPr>
                <w:b w:val="0"/>
                <w:sz w:val="16"/>
              </w:rPr>
              <w:t>event_type, consumer, status</w:t>
            </w:r>
          </w:p>
        </w:tc>
      </w:tr>
      <w:tr>
        <w:tc>
          <w:tcPr>
            <w:tcW w:type="dxa" w:w="2088"/>
            <w:vAlign w:val="center"/>
          </w:tcPr>
          <w:p>
            <w:pPr>
              <w:spacing w:after="0"/>
            </w:pPr>
            <w:r/>
            <w:r>
              <w:rPr>
                <w:b w:val="0"/>
                <w:sz w:val="16"/>
              </w:rPr>
              <w:t>EventDeliveryAttempt</w:t>
            </w:r>
          </w:p>
        </w:tc>
        <w:tc>
          <w:tcPr>
            <w:tcW w:type="dxa" w:w="3672"/>
            <w:vAlign w:val="center"/>
          </w:tcPr>
          <w:p>
            <w:pPr>
              <w:spacing w:after="0"/>
            </w:pPr>
            <w:r/>
            <w:r>
              <w:rPr>
                <w:b w:val="0"/>
                <w:sz w:val="16"/>
              </w:rPr>
              <w:t>Outbox/retry tracking if asynchronous</w:t>
            </w:r>
          </w:p>
        </w:tc>
        <w:tc>
          <w:tcPr>
            <w:tcW w:type="dxa" w:w="4320"/>
            <w:vAlign w:val="center"/>
          </w:tcPr>
          <w:p>
            <w:pPr>
              <w:spacing w:after="0"/>
            </w:pPr>
            <w:r/>
            <w:r>
              <w:rPr>
                <w:b w:val="0"/>
                <w:sz w:val="16"/>
              </w:rPr>
              <w:t>event_id, destination, status, attempts</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Record timelines</w:t>
            </w:r>
          </w:p>
        </w:tc>
        <w:tc>
          <w:tcPr>
            <w:tcW w:type="dxa" w:w="3456"/>
            <w:vAlign w:val="center"/>
          </w:tcPr>
          <w:p>
            <w:pPr>
              <w:spacing w:after="0"/>
            </w:pPr>
            <w:r/>
            <w:r>
              <w:rPr>
                <w:b w:val="0"/>
                <w:sz w:val="16"/>
              </w:rPr>
              <w:t>Embedded in Customer, Quote, Order, Order Item, Invoice, Webstore, etc.</w:t>
            </w:r>
          </w:p>
        </w:tc>
        <w:tc>
          <w:tcPr>
            <w:tcW w:type="dxa" w:w="5040"/>
            <w:vAlign w:val="center"/>
          </w:tcPr>
          <w:p>
            <w:pPr>
              <w:spacing w:after="0"/>
            </w:pPr>
            <w:r/>
            <w:r>
              <w:rPr>
                <w:b w:val="0"/>
                <w:sz w:val="16"/>
              </w:rPr>
              <w:t>No separate top-level history page required for daily use.</w:t>
            </w:r>
          </w:p>
        </w:tc>
      </w:tr>
      <w:tr>
        <w:tc>
          <w:tcPr>
            <w:tcW w:type="dxa" w:w="1584"/>
            <w:vAlign w:val="center"/>
          </w:tcPr>
          <w:p>
            <w:pPr>
              <w:spacing w:after="0"/>
            </w:pPr>
            <w:r/>
            <w:r>
              <w:rPr>
                <w:b w:val="0"/>
                <w:sz w:val="16"/>
              </w:rPr>
              <w:t>Admin audit</w:t>
            </w:r>
          </w:p>
        </w:tc>
        <w:tc>
          <w:tcPr>
            <w:tcW w:type="dxa" w:w="3456"/>
            <w:vAlign w:val="center"/>
          </w:tcPr>
          <w:p>
            <w:pPr>
              <w:spacing w:after="0"/>
            </w:pPr>
            <w:r/>
            <w:r>
              <w:rPr>
                <w:b w:val="0"/>
                <w:sz w:val="16"/>
              </w:rPr>
              <w:t>/platform-admin/audit-log and restricted tenant audit view</w:t>
            </w:r>
          </w:p>
        </w:tc>
        <w:tc>
          <w:tcPr>
            <w:tcW w:type="dxa" w:w="5040"/>
            <w:vAlign w:val="center"/>
          </w:tcPr>
          <w:p>
            <w:pPr>
              <w:spacing w:after="0"/>
            </w:pPr>
            <w:r/>
            <w:r>
              <w:rPr>
                <w:b w:val="0"/>
                <w:sz w:val="16"/>
              </w:rPr>
              <w:t>Permission-limited.</w:t>
            </w:r>
          </w:p>
        </w:tc>
      </w:tr>
      <w:tr>
        <w:tc>
          <w:tcPr>
            <w:tcW w:type="dxa" w:w="1584"/>
            <w:vAlign w:val="center"/>
          </w:tcPr>
          <w:p>
            <w:pPr>
              <w:spacing w:after="0"/>
            </w:pPr>
            <w:r/>
            <w:r>
              <w:rPr>
                <w:b w:val="0"/>
                <w:sz w:val="16"/>
              </w:rPr>
              <w:t>System diagnostics</w:t>
            </w:r>
          </w:p>
        </w:tc>
        <w:tc>
          <w:tcPr>
            <w:tcW w:type="dxa" w:w="3456"/>
            <w:vAlign w:val="center"/>
          </w:tcPr>
          <w:p>
            <w:pPr>
              <w:spacing w:after="0"/>
            </w:pPr>
            <w:r/>
            <w:r>
              <w:rPr>
                <w:b w:val="0"/>
                <w:sz w:val="16"/>
              </w:rPr>
              <w:t>Internal tools only</w:t>
            </w:r>
          </w:p>
        </w:tc>
        <w:tc>
          <w:tcPr>
            <w:tcW w:type="dxa" w:w="5040"/>
            <w:vAlign w:val="center"/>
          </w:tcPr>
          <w:p>
            <w:pPr>
              <w:spacing w:after="0"/>
            </w:pPr>
            <w:r/>
            <w:r>
              <w:rPr>
                <w:b w:val="0"/>
                <w:sz w:val="16"/>
              </w:rPr>
              <w:t>Avoid exposing raw operational logs to ordinary users.</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Event emitter</w:t>
            </w:r>
          </w:p>
        </w:tc>
        <w:tc>
          <w:tcPr>
            <w:tcW w:type="dxa" w:w="3816"/>
            <w:vAlign w:val="center"/>
          </w:tcPr>
          <w:p>
            <w:pPr>
              <w:spacing w:after="0"/>
            </w:pPr>
            <w:r/>
            <w:r>
              <w:rPr>
                <w:b w:val="0"/>
                <w:sz w:val="16"/>
              </w:rPr>
              <w:t>Publish canonical events with actor, tenant, targets, correlation id</w:t>
            </w:r>
          </w:p>
        </w:tc>
        <w:tc>
          <w:tcPr>
            <w:tcW w:type="dxa" w:w="4320"/>
            <w:vAlign w:val="center"/>
          </w:tcPr>
          <w:p>
            <w:pPr>
              <w:spacing w:after="0"/>
            </w:pPr>
            <w:r/>
            <w:r>
              <w:rPr>
                <w:b w:val="0"/>
                <w:sz w:val="16"/>
              </w:rPr>
              <w:t>emitEvent({event_type,...})</w:t>
            </w:r>
          </w:p>
        </w:tc>
      </w:tr>
      <w:tr>
        <w:tc>
          <w:tcPr>
            <w:tcW w:type="dxa" w:w="1944"/>
            <w:vAlign w:val="center"/>
          </w:tcPr>
          <w:p>
            <w:pPr>
              <w:spacing w:after="0"/>
            </w:pPr>
            <w:r/>
            <w:r>
              <w:rPr>
                <w:b w:val="0"/>
                <w:sz w:val="16"/>
              </w:rPr>
              <w:t>Timeline service</w:t>
            </w:r>
          </w:p>
        </w:tc>
        <w:tc>
          <w:tcPr>
            <w:tcW w:type="dxa" w:w="3816"/>
            <w:vAlign w:val="center"/>
          </w:tcPr>
          <w:p>
            <w:pPr>
              <w:spacing w:after="0"/>
            </w:pPr>
            <w:r/>
            <w:r>
              <w:rPr>
                <w:b w:val="0"/>
                <w:sz w:val="16"/>
              </w:rPr>
              <w:t>Query events by entity, customer, actor, time, type, visibility</w:t>
            </w:r>
          </w:p>
        </w:tc>
        <w:tc>
          <w:tcPr>
            <w:tcW w:type="dxa" w:w="4320"/>
            <w:vAlign w:val="center"/>
          </w:tcPr>
          <w:p>
            <w:pPr>
              <w:spacing w:after="0"/>
            </w:pPr>
            <w:r/>
            <w:r>
              <w:rPr>
                <w:b w:val="0"/>
                <w:sz w:val="16"/>
              </w:rPr>
              <w:t>GET /api/activity?target=order:123</w:t>
            </w:r>
          </w:p>
        </w:tc>
      </w:tr>
      <w:tr>
        <w:tc>
          <w:tcPr>
            <w:tcW w:type="dxa" w:w="1944"/>
            <w:vAlign w:val="center"/>
          </w:tcPr>
          <w:p>
            <w:pPr>
              <w:spacing w:after="0"/>
            </w:pPr>
            <w:r/>
            <w:r>
              <w:rPr>
                <w:b w:val="0"/>
                <w:sz w:val="16"/>
              </w:rPr>
              <w:t>Audit service</w:t>
            </w:r>
          </w:p>
        </w:tc>
        <w:tc>
          <w:tcPr>
            <w:tcW w:type="dxa" w:w="3816"/>
            <w:vAlign w:val="center"/>
          </w:tcPr>
          <w:p>
            <w:pPr>
              <w:spacing w:after="0"/>
            </w:pPr>
            <w:r/>
            <w:r>
              <w:rPr>
                <w:b w:val="0"/>
                <w:sz w:val="16"/>
              </w:rPr>
              <w:t>Restricted search/export/retention capabilities</w:t>
            </w:r>
          </w:p>
        </w:tc>
        <w:tc>
          <w:tcPr>
            <w:tcW w:type="dxa" w:w="4320"/>
            <w:vAlign w:val="center"/>
          </w:tcPr>
          <w:p>
            <w:pPr>
              <w:spacing w:after="0"/>
            </w:pPr>
            <w:r/>
            <w:r>
              <w:rPr>
                <w:b w:val="0"/>
                <w:sz w:val="16"/>
              </w:rPr>
              <w:t>GET /api/admin/audit-log</w:t>
            </w:r>
          </w:p>
        </w:tc>
      </w:tr>
      <w:tr>
        <w:tc>
          <w:tcPr>
            <w:tcW w:type="dxa" w:w="1944"/>
            <w:vAlign w:val="center"/>
          </w:tcPr>
          <w:p>
            <w:pPr>
              <w:spacing w:after="0"/>
            </w:pPr>
            <w:r/>
            <w:r>
              <w:rPr>
                <w:b w:val="0"/>
                <w:sz w:val="16"/>
              </w:rPr>
              <w:t>Outbox worker</w:t>
            </w:r>
          </w:p>
        </w:tc>
        <w:tc>
          <w:tcPr>
            <w:tcW w:type="dxa" w:w="3816"/>
            <w:vAlign w:val="center"/>
          </w:tcPr>
          <w:p>
            <w:pPr>
              <w:spacing w:after="0"/>
            </w:pPr>
            <w:r/>
            <w:r>
              <w:rPr>
                <w:b w:val="0"/>
                <w:sz w:val="16"/>
              </w:rPr>
              <w:t>Reliable async consumers for notifications/automation</w:t>
            </w:r>
          </w:p>
        </w:tc>
        <w:tc>
          <w:tcPr>
            <w:tcW w:type="dxa" w:w="4320"/>
            <w:vAlign w:val="center"/>
          </w:tcPr>
          <w:p>
            <w:pPr>
              <w:spacing w:after="0"/>
            </w:pPr>
            <w:r/>
            <w:r>
              <w:rPr>
                <w:b w:val="0"/>
                <w:sz w:val="16"/>
              </w:rPr>
              <w:t>processOutboxEvents()</w:t>
            </w:r>
          </w:p>
        </w:tc>
      </w:tr>
    </w:tbl>
    <w:p/>
    <w:p>
      <w:pPr>
        <w:pStyle w:val="Heading2"/>
      </w:pPr>
      <w:r>
        <w:t>Business rules and guardrails</w:t>
      </w:r>
    </w:p>
    <w:p>
      <w:pPr>
        <w:pStyle w:val="ListBullet"/>
      </w:pPr>
      <w:r>
        <w:t>Use the Phase 0 Part 2 event envelope and naming convention. No module-specific event table should replace it.</w:t>
      </w:r>
    </w:p>
    <w:p>
      <w:pPr>
        <w:pStyle w:val="ListBullet"/>
      </w:pPr>
      <w:r>
        <w:t>Events are append-only. Corrections are new events, not silent edits of historical facts.</w:t>
      </w:r>
    </w:p>
    <w:p>
      <w:pPr>
        <w:pStyle w:val="ListBullet"/>
      </w:pPr>
      <w:r>
        <w:t>Every event has tenant scope when applicable, actor type, target(s), visibility, timestamp, and safe metadata.</w:t>
      </w:r>
    </w:p>
    <w:p>
      <w:pPr>
        <w:pStyle w:val="ListBullet"/>
      </w:pPr>
      <w:r>
        <w:t>Events used for compliance/security may have more restricted visibility than ordinary record activity.</w:t>
      </w:r>
    </w:p>
    <w:p>
      <w:pPr>
        <w:pStyle w:val="ListBullet"/>
      </w:pPr>
      <w:r>
        <w:t>All status changes, approval decisions, invoice payment changes, role changes, settings changes, document sends, and AI actions should emit defined events.</w:t>
      </w:r>
    </w:p>
    <w:p>
      <w:pPr>
        <w:pStyle w:val="ListBullet"/>
      </w:pPr>
      <w:r>
        <w:t>High-volume technical traces are not business activity. Keep debug logging separate so timelines remain useful.</w:t>
      </w:r>
    </w:p>
    <w:p>
      <w:pPr>
        <w:pStyle w:val="ListBullet"/>
      </w:pPr>
      <w:r>
        <w:t>Use correlation IDs for multi-step workflows so a user can understand related actions without seeing internal chaos.</w:t>
      </w:r>
    </w:p>
    <w:p>
      <w:pPr>
        <w:pStyle w:val="Heading2"/>
      </w:pPr>
      <w:r>
        <w:t>Required build sequence</w:t>
      </w:r>
    </w:p>
    <w:p>
      <w:pPr>
        <w:pStyle w:val="ListNumber"/>
      </w:pPr>
      <w:r>
        <w:t>Implement canonical ActivityEvent storage and basic event emitter before any Phase 2 domain module writes history.</w:t>
      </w:r>
    </w:p>
    <w:p>
      <w:pPr>
        <w:pStyle w:val="ListNumber"/>
      </w:pPr>
      <w:r>
        <w:t>Create event registry with approved names and metadata expectations.</w:t>
      </w:r>
    </w:p>
    <w:p>
      <w:pPr>
        <w:pStyle w:val="ListNumber"/>
      </w:pPr>
      <w:r>
        <w:t>Build timeline query service and reusable timeline component.</w:t>
      </w:r>
    </w:p>
    <w:p>
      <w:pPr>
        <w:pStyle w:val="ListNumber"/>
      </w:pPr>
      <w:r>
        <w:t>Add restricted admin audit view with filters and export safeguards.</w:t>
      </w:r>
    </w:p>
    <w:p>
      <w:pPr>
        <w:pStyle w:val="ListNumber"/>
      </w:pPr>
      <w:r>
        <w:t>Implement outbox/retry pattern for events that trigger communication or automation.</w:t>
      </w:r>
    </w:p>
    <w:p>
      <w:pPr>
        <w:pStyle w:val="ListNumber"/>
      </w:pPr>
      <w:r>
        <w:t>Instrument Phase 1 actions first: auth, membership, permissions, settings, files, messages, forms, signatures.</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Order later emits status change</w:t>
            </w:r>
          </w:p>
        </w:tc>
        <w:tc>
          <w:tcPr>
            <w:tcW w:type="dxa" w:w="5472"/>
            <w:vAlign w:val="center"/>
          </w:tcPr>
          <w:p>
            <w:pPr>
              <w:spacing w:after="0"/>
            </w:pPr>
            <w:r/>
            <w:r>
              <w:rPr>
                <w:b w:val="0"/>
                <w:sz w:val="16"/>
              </w:rPr>
              <w:t>One event with before/after status summary, actor, target, correlation id.</w:t>
            </w:r>
          </w:p>
        </w:tc>
      </w:tr>
      <w:tr>
        <w:tc>
          <w:tcPr>
            <w:tcW w:type="dxa" w:w="4608"/>
            <w:vAlign w:val="center"/>
          </w:tcPr>
          <w:p>
            <w:pPr>
              <w:spacing w:after="0"/>
            </w:pPr>
            <w:r/>
            <w:r>
              <w:rPr>
                <w:b w:val="0"/>
                <w:sz w:val="16"/>
              </w:rPr>
              <w:t>Customer portal sees own timeline</w:t>
            </w:r>
          </w:p>
        </w:tc>
        <w:tc>
          <w:tcPr>
            <w:tcW w:type="dxa" w:w="5472"/>
            <w:vAlign w:val="center"/>
          </w:tcPr>
          <w:p>
            <w:pPr>
              <w:spacing w:after="0"/>
            </w:pPr>
            <w:r/>
            <w:r>
              <w:rPr>
                <w:b w:val="0"/>
                <w:sz w:val="16"/>
              </w:rPr>
              <w:t>Only customer-visible events for their own permitted records.</w:t>
            </w:r>
          </w:p>
        </w:tc>
      </w:tr>
      <w:tr>
        <w:tc>
          <w:tcPr>
            <w:tcW w:type="dxa" w:w="4608"/>
            <w:vAlign w:val="center"/>
          </w:tcPr>
          <w:p>
            <w:pPr>
              <w:spacing w:after="0"/>
            </w:pPr>
            <w:r/>
            <w:r>
              <w:rPr>
                <w:b w:val="0"/>
                <w:sz w:val="16"/>
              </w:rPr>
              <w:t>Admin changes role</w:t>
            </w:r>
          </w:p>
        </w:tc>
        <w:tc>
          <w:tcPr>
            <w:tcW w:type="dxa" w:w="5472"/>
            <w:vAlign w:val="center"/>
          </w:tcPr>
          <w:p>
            <w:pPr>
              <w:spacing w:after="0"/>
            </w:pPr>
            <w:r/>
            <w:r>
              <w:rPr>
                <w:b w:val="0"/>
                <w:sz w:val="16"/>
              </w:rPr>
              <w:t>Audit event includes safe change summary and cannot be modified in place.</w:t>
            </w:r>
          </w:p>
        </w:tc>
      </w:tr>
      <w:tr>
        <w:tc>
          <w:tcPr>
            <w:tcW w:type="dxa" w:w="4608"/>
            <w:vAlign w:val="center"/>
          </w:tcPr>
          <w:p>
            <w:pPr>
              <w:spacing w:after="0"/>
            </w:pPr>
            <w:r/>
            <w:r>
              <w:rPr>
                <w:b w:val="0"/>
                <w:sz w:val="16"/>
              </w:rPr>
              <w:t>Retrying notification worker</w:t>
            </w:r>
          </w:p>
        </w:tc>
        <w:tc>
          <w:tcPr>
            <w:tcW w:type="dxa" w:w="5472"/>
            <w:vAlign w:val="center"/>
          </w:tcPr>
          <w:p>
            <w:pPr>
              <w:spacing w:after="0"/>
            </w:pPr>
            <w:r/>
            <w:r>
              <w:rPr>
                <w:b w:val="0"/>
                <w:sz w:val="16"/>
              </w:rPr>
              <w:t>Does not create duplicate business event records for one original action.</w:t>
            </w:r>
          </w:p>
        </w:tc>
      </w:tr>
      <w:tr>
        <w:tc>
          <w:tcPr>
            <w:tcW w:type="dxa" w:w="4608"/>
            <w:vAlign w:val="center"/>
          </w:tcPr>
          <w:p>
            <w:pPr>
              <w:spacing w:after="0"/>
            </w:pPr>
            <w:r/>
            <w:r>
              <w:rPr>
                <w:b w:val="0"/>
                <w:sz w:val="16"/>
              </w:rPr>
              <w:t>Cross-tenant timeline query</w:t>
            </w:r>
          </w:p>
        </w:tc>
        <w:tc>
          <w:tcPr>
            <w:tcW w:type="dxa" w:w="5472"/>
            <w:vAlign w:val="center"/>
          </w:tcPr>
          <w:p>
            <w:pPr>
              <w:spacing w:after="0"/>
            </w:pPr>
            <w:r/>
            <w:r>
              <w:rPr>
                <w:b w:val="0"/>
                <w:sz w:val="16"/>
              </w:rPr>
              <w:t>Returns only resolved tenant events.</w:t>
            </w:r>
          </w:p>
        </w:tc>
      </w:tr>
      <w:tr>
        <w:tc>
          <w:tcPr>
            <w:tcW w:type="dxa" w:w="4608"/>
            <w:vAlign w:val="center"/>
          </w:tcPr>
          <w:p>
            <w:pPr>
              <w:spacing w:after="0"/>
            </w:pPr>
            <w:r/>
            <w:r>
              <w:rPr>
                <w:b w:val="0"/>
                <w:sz w:val="16"/>
              </w:rPr>
              <w:t>Sensitive settings change</w:t>
            </w:r>
          </w:p>
        </w:tc>
        <w:tc>
          <w:tcPr>
            <w:tcW w:type="dxa" w:w="5472"/>
            <w:vAlign w:val="center"/>
          </w:tcPr>
          <w:p>
            <w:pPr>
              <w:spacing w:after="0"/>
            </w:pPr>
            <w:r/>
            <w:r>
              <w:rPr>
                <w:b w:val="0"/>
                <w:sz w:val="16"/>
              </w:rPr>
              <w:t>Event shows that a credential changed, not the credential value.</w:t>
            </w:r>
          </w:p>
        </w:tc>
      </w:tr>
    </w:tbl>
    <w:p/>
    <w:p>
      <w:pPr>
        <w:pStyle w:val="Heading2"/>
      </w:pPr>
      <w:r>
        <w:t>Migration / legacy cleanup</w:t>
      </w:r>
    </w:p>
    <w:p>
      <w:pPr>
        <w:pStyle w:val="ListBullet"/>
      </w:pPr>
      <w:r>
        <w:t>Consolidate CustomerActivity, OrderActivity, misc logs, and platform audit concepts into a canonical event model with visibility and target links.</w:t>
      </w:r>
    </w:p>
    <w:p>
      <w:pPr>
        <w:pStyle w:val="ListBullet"/>
      </w:pPr>
      <w:r>
        <w:t>Preserve legacy event data through migration/import only where it is meaningful; do not migrate unstructured debug noise.</w:t>
      </w:r>
    </w:p>
    <w:p>
      <w:pPr>
        <w:pStyle w:val="ListBullet"/>
      </w:pPr>
      <w:r>
        <w:t>Resolve duplicate enum definitions for OrderStatus and other status values before events depend on them.</w:t>
      </w:r>
    </w:p>
    <w:p>
      <w:pPr>
        <w:pStyle w:val="Heading2"/>
      </w:pPr>
      <w:r>
        <w:t>Important implementation notes</w:t>
      </w:r>
    </w:p>
    <w:p>
      <w:pPr>
        <w:pStyle w:val="ListBullet"/>
      </w:pPr>
      <w:r>
        <w:t>The activity system should power Action Required, record timelines, automation triggers, notification triggers, and later reporting without each feature creating a separate log.</w:t>
      </w:r>
    </w:p>
    <w:p>
      <w:r>
        <w:br w:type="page"/>
      </w:r>
    </w:p>
    <w:p>
      <w:pPr>
        <w:pStyle w:val="Heading1"/>
      </w:pPr>
      <w:r>
        <w:t>7. Messaging, Email, SMS &amp; Notifications</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one communications layer for internal messages, customer conversations, email, SMS/MMS, delivery tracking, templates, notifications, and automation-triggered outreach while preserving permission, consent, and record context.</w:t>
            </w:r>
          </w:p>
        </w:tc>
      </w:tr>
    </w:tbl>
    <w:p/>
    <w:p>
      <w:pPr>
        <w:pStyle w:val="Heading2"/>
      </w:pPr>
      <w:r>
        <w:t>Scope and boundaries</w:t>
      </w:r>
    </w:p>
    <w:p>
      <w:pPr>
        <w:pStyle w:val="ListBullet"/>
      </w:pPr>
      <w:r>
        <w:t>Own conversation/message records, delivery channels, send jobs, templates, recipient resolution, opt-out/consent handling, in-app notifications, delivery state, and communication audit links.</w:t>
      </w:r>
    </w:p>
    <w:p>
      <w:pPr>
        <w:pStyle w:val="ListBullet"/>
      </w:pPr>
      <w:r>
        <w:t>Consume customer, employee, owner, user, order, document, and form context but do not own those records.</w:t>
      </w:r>
    </w:p>
    <w:p>
      <w:pPr>
        <w:pStyle w:val="ListBullet"/>
      </w:pPr>
      <w:r>
        <w:t>Distinguish internal notes from messages sent externally. Internal notes belong to collaboration; outbound messages must have delivery state and recipient rules.</w:t>
      </w:r>
    </w:p>
    <w:p>
      <w:pPr>
        <w:pStyle w:val="ListBullet"/>
      </w:pPr>
      <w:r>
        <w:t>Centralize provider integrations such as SendGrid and Twilio behind adapters.</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Conversation</w:t>
            </w:r>
          </w:p>
        </w:tc>
        <w:tc>
          <w:tcPr>
            <w:tcW w:type="dxa" w:w="3672"/>
            <w:vAlign w:val="center"/>
          </w:tcPr>
          <w:p>
            <w:pPr>
              <w:spacing w:after="0"/>
            </w:pPr>
            <w:r/>
            <w:r>
              <w:rPr>
                <w:b w:val="0"/>
                <w:sz w:val="16"/>
              </w:rPr>
              <w:t>Thread linked to customer/order/webstore/portal context</w:t>
            </w:r>
          </w:p>
        </w:tc>
        <w:tc>
          <w:tcPr>
            <w:tcW w:type="dxa" w:w="4320"/>
            <w:vAlign w:val="center"/>
          </w:tcPr>
          <w:p>
            <w:pPr>
              <w:spacing w:after="0"/>
            </w:pPr>
            <w:r/>
            <w:r>
              <w:rPr>
                <w:b w:val="0"/>
                <w:sz w:val="16"/>
              </w:rPr>
              <w:t>id, tenant_id, subject, participants, context links, status</w:t>
            </w:r>
          </w:p>
        </w:tc>
      </w:tr>
      <w:tr>
        <w:tc>
          <w:tcPr>
            <w:tcW w:type="dxa" w:w="2088"/>
            <w:vAlign w:val="center"/>
          </w:tcPr>
          <w:p>
            <w:pPr>
              <w:spacing w:after="0"/>
            </w:pPr>
            <w:r/>
            <w:r>
              <w:rPr>
                <w:b w:val="0"/>
                <w:sz w:val="16"/>
              </w:rPr>
              <w:t>Message</w:t>
            </w:r>
          </w:p>
        </w:tc>
        <w:tc>
          <w:tcPr>
            <w:tcW w:type="dxa" w:w="3672"/>
            <w:vAlign w:val="center"/>
          </w:tcPr>
          <w:p>
            <w:pPr>
              <w:spacing w:after="0"/>
            </w:pPr>
            <w:r/>
            <w:r>
              <w:rPr>
                <w:b w:val="0"/>
                <w:sz w:val="16"/>
              </w:rPr>
              <w:t>Canonical sent/received communication</w:t>
            </w:r>
          </w:p>
        </w:tc>
        <w:tc>
          <w:tcPr>
            <w:tcW w:type="dxa" w:w="4320"/>
            <w:vAlign w:val="center"/>
          </w:tcPr>
          <w:p>
            <w:pPr>
              <w:spacing w:after="0"/>
            </w:pPr>
            <w:r/>
            <w:r>
              <w:rPr>
                <w:b w:val="0"/>
                <w:sz w:val="16"/>
              </w:rPr>
              <w:t>id, conversation_id, channel, direction, body ref, sender, recipient, status</w:t>
            </w:r>
          </w:p>
        </w:tc>
      </w:tr>
      <w:tr>
        <w:tc>
          <w:tcPr>
            <w:tcW w:type="dxa" w:w="2088"/>
            <w:vAlign w:val="center"/>
          </w:tcPr>
          <w:p>
            <w:pPr>
              <w:spacing w:after="0"/>
            </w:pPr>
            <w:r/>
            <w:r>
              <w:rPr>
                <w:b w:val="0"/>
                <w:sz w:val="16"/>
              </w:rPr>
              <w:t>Notification</w:t>
            </w:r>
          </w:p>
        </w:tc>
        <w:tc>
          <w:tcPr>
            <w:tcW w:type="dxa" w:w="3672"/>
            <w:vAlign w:val="center"/>
          </w:tcPr>
          <w:p>
            <w:pPr>
              <w:spacing w:after="0"/>
            </w:pPr>
            <w:r/>
            <w:r>
              <w:rPr>
                <w:b w:val="0"/>
                <w:sz w:val="16"/>
              </w:rPr>
              <w:t>In-app action/alert item</w:t>
            </w:r>
          </w:p>
        </w:tc>
        <w:tc>
          <w:tcPr>
            <w:tcW w:type="dxa" w:w="4320"/>
            <w:vAlign w:val="center"/>
          </w:tcPr>
          <w:p>
            <w:pPr>
              <w:spacing w:after="0"/>
            </w:pPr>
            <w:r/>
            <w:r>
              <w:rPr>
                <w:b w:val="0"/>
                <w:sz w:val="16"/>
              </w:rPr>
              <w:t>id, tenant_id, user_id, type, target, read_at, priority</w:t>
            </w:r>
          </w:p>
        </w:tc>
      </w:tr>
      <w:tr>
        <w:tc>
          <w:tcPr>
            <w:tcW w:type="dxa" w:w="2088"/>
            <w:vAlign w:val="center"/>
          </w:tcPr>
          <w:p>
            <w:pPr>
              <w:spacing w:after="0"/>
            </w:pPr>
            <w:r/>
            <w:r>
              <w:rPr>
                <w:b w:val="0"/>
                <w:sz w:val="16"/>
              </w:rPr>
              <w:t>MessageTemplate</w:t>
            </w:r>
          </w:p>
        </w:tc>
        <w:tc>
          <w:tcPr>
            <w:tcW w:type="dxa" w:w="3672"/>
            <w:vAlign w:val="center"/>
          </w:tcPr>
          <w:p>
            <w:pPr>
              <w:spacing w:after="0"/>
            </w:pPr>
            <w:r/>
            <w:r>
              <w:rPr>
                <w:b w:val="0"/>
                <w:sz w:val="16"/>
              </w:rPr>
              <w:t>Reusable email/SMS template</w:t>
            </w:r>
          </w:p>
        </w:tc>
        <w:tc>
          <w:tcPr>
            <w:tcW w:type="dxa" w:w="4320"/>
            <w:vAlign w:val="center"/>
          </w:tcPr>
          <w:p>
            <w:pPr>
              <w:spacing w:after="0"/>
            </w:pPr>
            <w:r/>
            <w:r>
              <w:rPr>
                <w:b w:val="0"/>
                <w:sz w:val="16"/>
              </w:rPr>
              <w:t>id, tenant_id/global, key, channel, content, variables</w:t>
            </w:r>
          </w:p>
        </w:tc>
      </w:tr>
      <w:tr>
        <w:tc>
          <w:tcPr>
            <w:tcW w:type="dxa" w:w="2088"/>
            <w:vAlign w:val="center"/>
          </w:tcPr>
          <w:p>
            <w:pPr>
              <w:spacing w:after="0"/>
            </w:pPr>
            <w:r/>
            <w:r>
              <w:rPr>
                <w:b w:val="0"/>
                <w:sz w:val="16"/>
              </w:rPr>
              <w:t>DeliveryAttempt</w:t>
            </w:r>
          </w:p>
        </w:tc>
        <w:tc>
          <w:tcPr>
            <w:tcW w:type="dxa" w:w="3672"/>
            <w:vAlign w:val="center"/>
          </w:tcPr>
          <w:p>
            <w:pPr>
              <w:spacing w:after="0"/>
            </w:pPr>
            <w:r/>
            <w:r>
              <w:rPr>
                <w:b w:val="0"/>
                <w:sz w:val="16"/>
              </w:rPr>
              <w:t>Provider delivery and retry record</w:t>
            </w:r>
          </w:p>
        </w:tc>
        <w:tc>
          <w:tcPr>
            <w:tcW w:type="dxa" w:w="4320"/>
            <w:vAlign w:val="center"/>
          </w:tcPr>
          <w:p>
            <w:pPr>
              <w:spacing w:after="0"/>
            </w:pPr>
            <w:r/>
            <w:r>
              <w:rPr>
                <w:b w:val="0"/>
                <w:sz w:val="16"/>
              </w:rPr>
              <w:t>id, message_id, provider, status, attempts, timestamps</w:t>
            </w:r>
          </w:p>
        </w:tc>
      </w:tr>
      <w:tr>
        <w:tc>
          <w:tcPr>
            <w:tcW w:type="dxa" w:w="2088"/>
            <w:vAlign w:val="center"/>
          </w:tcPr>
          <w:p>
            <w:pPr>
              <w:spacing w:after="0"/>
            </w:pPr>
            <w:r/>
            <w:r>
              <w:rPr>
                <w:b w:val="0"/>
                <w:sz w:val="16"/>
              </w:rPr>
              <w:t>ConsentPreference</w:t>
            </w:r>
          </w:p>
        </w:tc>
        <w:tc>
          <w:tcPr>
            <w:tcW w:type="dxa" w:w="3672"/>
            <w:vAlign w:val="center"/>
          </w:tcPr>
          <w:p>
            <w:pPr>
              <w:spacing w:after="0"/>
            </w:pPr>
            <w:r/>
            <w:r>
              <w:rPr>
                <w:b w:val="0"/>
                <w:sz w:val="16"/>
              </w:rPr>
              <w:t>Recipient channel consent/opt-out</w:t>
            </w:r>
          </w:p>
        </w:tc>
        <w:tc>
          <w:tcPr>
            <w:tcW w:type="dxa" w:w="4320"/>
            <w:vAlign w:val="center"/>
          </w:tcPr>
          <w:p>
            <w:pPr>
              <w:spacing w:after="0"/>
            </w:pPr>
            <w:r/>
            <w:r>
              <w:rPr>
                <w:b w:val="0"/>
                <w:sz w:val="16"/>
              </w:rPr>
              <w:t>id, tenant_id, contact_id, channel, status, source</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Communication hub</w:t>
            </w:r>
          </w:p>
        </w:tc>
        <w:tc>
          <w:tcPr>
            <w:tcW w:type="dxa" w:w="3456"/>
            <w:vAlign w:val="center"/>
          </w:tcPr>
          <w:p>
            <w:pPr>
              <w:spacing w:after="0"/>
            </w:pPr>
            <w:r/>
            <w:r>
              <w:rPr>
                <w:b w:val="0"/>
                <w:sz w:val="16"/>
              </w:rPr>
              <w:t>/communications or module-embedded only if final nav approves</w:t>
            </w:r>
          </w:p>
        </w:tc>
        <w:tc>
          <w:tcPr>
            <w:tcW w:type="dxa" w:w="5040"/>
            <w:vAlign w:val="center"/>
          </w:tcPr>
          <w:p>
            <w:pPr>
              <w:spacing w:after="0"/>
            </w:pPr>
            <w:r/>
            <w:r>
              <w:rPr>
                <w:b w:val="0"/>
                <w:sz w:val="16"/>
              </w:rPr>
              <w:t>Use a single hub plus contextual embedded threads.</w:t>
            </w:r>
          </w:p>
        </w:tc>
      </w:tr>
      <w:tr>
        <w:tc>
          <w:tcPr>
            <w:tcW w:type="dxa" w:w="1584"/>
            <w:vAlign w:val="center"/>
          </w:tcPr>
          <w:p>
            <w:pPr>
              <w:spacing w:after="0"/>
            </w:pPr>
            <w:r/>
            <w:r>
              <w:rPr>
                <w:b w:val="0"/>
                <w:sz w:val="16"/>
              </w:rPr>
              <w:t>Customer portal</w:t>
            </w:r>
          </w:p>
        </w:tc>
        <w:tc>
          <w:tcPr>
            <w:tcW w:type="dxa" w:w="3456"/>
            <w:vAlign w:val="center"/>
          </w:tcPr>
          <w:p>
            <w:pPr>
              <w:spacing w:after="0"/>
            </w:pPr>
            <w:r/>
            <w:r>
              <w:rPr>
                <w:b w:val="0"/>
                <w:sz w:val="16"/>
              </w:rPr>
              <w:t>/customer-portal/messages</w:t>
            </w:r>
          </w:p>
        </w:tc>
        <w:tc>
          <w:tcPr>
            <w:tcW w:type="dxa" w:w="5040"/>
            <w:vAlign w:val="center"/>
          </w:tcPr>
          <w:p>
            <w:pPr>
              <w:spacing w:after="0"/>
            </w:pPr>
            <w:r/>
            <w:r>
              <w:rPr>
                <w:b w:val="0"/>
                <w:sz w:val="16"/>
              </w:rPr>
              <w:t>Customer can see/send only permitted conversations.</w:t>
            </w:r>
          </w:p>
        </w:tc>
      </w:tr>
      <w:tr>
        <w:tc>
          <w:tcPr>
            <w:tcW w:type="dxa" w:w="1584"/>
            <w:vAlign w:val="center"/>
          </w:tcPr>
          <w:p>
            <w:pPr>
              <w:spacing w:after="0"/>
            </w:pPr>
            <w:r/>
            <w:r>
              <w:rPr>
                <w:b w:val="0"/>
                <w:sz w:val="16"/>
              </w:rPr>
              <w:t>Employee portal</w:t>
            </w:r>
          </w:p>
        </w:tc>
        <w:tc>
          <w:tcPr>
            <w:tcW w:type="dxa" w:w="3456"/>
            <w:vAlign w:val="center"/>
          </w:tcPr>
          <w:p>
            <w:pPr>
              <w:spacing w:after="0"/>
            </w:pPr>
            <w:r/>
            <w:r>
              <w:rPr>
                <w:b w:val="0"/>
                <w:sz w:val="16"/>
              </w:rPr>
              <w:t>Optional /employee-portal/messages if approved</w:t>
            </w:r>
          </w:p>
        </w:tc>
        <w:tc>
          <w:tcPr>
            <w:tcW w:type="dxa" w:w="5040"/>
            <w:vAlign w:val="center"/>
          </w:tcPr>
          <w:p>
            <w:pPr>
              <w:spacing w:after="0"/>
            </w:pPr>
            <w:r/>
            <w:r>
              <w:rPr>
                <w:b w:val="0"/>
                <w:sz w:val="16"/>
              </w:rPr>
              <w:t>Employee scope only.</w:t>
            </w:r>
          </w:p>
        </w:tc>
      </w:tr>
      <w:tr>
        <w:tc>
          <w:tcPr>
            <w:tcW w:type="dxa" w:w="1584"/>
            <w:vAlign w:val="center"/>
          </w:tcPr>
          <w:p>
            <w:pPr>
              <w:spacing w:after="0"/>
            </w:pPr>
            <w:r/>
            <w:r>
              <w:rPr>
                <w:b w:val="0"/>
                <w:sz w:val="16"/>
              </w:rPr>
              <w:t>Settings</w:t>
            </w:r>
          </w:p>
        </w:tc>
        <w:tc>
          <w:tcPr>
            <w:tcW w:type="dxa" w:w="3456"/>
            <w:vAlign w:val="center"/>
          </w:tcPr>
          <w:p>
            <w:pPr>
              <w:spacing w:after="0"/>
            </w:pPr>
            <w:r/>
            <w:r>
              <w:rPr>
                <w:b w:val="0"/>
                <w:sz w:val="16"/>
              </w:rPr>
              <w:t>/settings/email-templates, /settings/notifications</w:t>
            </w:r>
          </w:p>
        </w:tc>
        <w:tc>
          <w:tcPr>
            <w:tcW w:type="dxa" w:w="5040"/>
            <w:vAlign w:val="center"/>
          </w:tcPr>
          <w:p>
            <w:pPr>
              <w:spacing w:after="0"/>
            </w:pPr>
            <w:r/>
            <w:r>
              <w:rPr>
                <w:b w:val="0"/>
                <w:sz w:val="16"/>
              </w:rPr>
              <w:t>Template and sender configuration.</w:t>
            </w:r>
          </w:p>
        </w:tc>
      </w:tr>
      <w:tr>
        <w:tc>
          <w:tcPr>
            <w:tcW w:type="dxa" w:w="1584"/>
            <w:vAlign w:val="center"/>
          </w:tcPr>
          <w:p>
            <w:pPr>
              <w:spacing w:after="0"/>
            </w:pPr>
            <w:r/>
            <w:r>
              <w:rPr>
                <w:b w:val="0"/>
                <w:sz w:val="16"/>
              </w:rPr>
              <w:t>Platform admin</w:t>
            </w:r>
          </w:p>
        </w:tc>
        <w:tc>
          <w:tcPr>
            <w:tcW w:type="dxa" w:w="3456"/>
            <w:vAlign w:val="center"/>
          </w:tcPr>
          <w:p>
            <w:pPr>
              <w:spacing w:after="0"/>
            </w:pPr>
            <w:r/>
            <w:r>
              <w:rPr>
                <w:b w:val="0"/>
                <w:sz w:val="16"/>
              </w:rPr>
              <w:t>/platform-admin/email-logs, broadcast-email</w:t>
            </w:r>
          </w:p>
        </w:tc>
        <w:tc>
          <w:tcPr>
            <w:tcW w:type="dxa" w:w="5040"/>
            <w:vAlign w:val="center"/>
          </w:tcPr>
          <w:p>
            <w:pPr>
              <w:spacing w:after="0"/>
            </w:pPr>
            <w:r/>
            <w:r>
              <w:rPr>
                <w:b w:val="0"/>
                <w:sz w:val="16"/>
              </w:rPr>
              <w:t>Platform use only.</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Messaging service</w:t>
            </w:r>
          </w:p>
        </w:tc>
        <w:tc>
          <w:tcPr>
            <w:tcW w:type="dxa" w:w="3816"/>
            <w:vAlign w:val="center"/>
          </w:tcPr>
          <w:p>
            <w:pPr>
              <w:spacing w:after="0"/>
            </w:pPr>
            <w:r/>
            <w:r>
              <w:rPr>
                <w:b w:val="0"/>
                <w:sz w:val="16"/>
              </w:rPr>
              <w:t>Create conversation, draft/send message, receive inbound, link context</w:t>
            </w:r>
          </w:p>
        </w:tc>
        <w:tc>
          <w:tcPr>
            <w:tcW w:type="dxa" w:w="4320"/>
            <w:vAlign w:val="center"/>
          </w:tcPr>
          <w:p>
            <w:pPr>
              <w:spacing w:after="0"/>
            </w:pPr>
            <w:r/>
            <w:r>
              <w:rPr>
                <w:b w:val="0"/>
                <w:sz w:val="16"/>
              </w:rPr>
              <w:t>POST /api/messages; POST /api/conversations</w:t>
            </w:r>
          </w:p>
        </w:tc>
      </w:tr>
      <w:tr>
        <w:tc>
          <w:tcPr>
            <w:tcW w:type="dxa" w:w="1944"/>
            <w:vAlign w:val="center"/>
          </w:tcPr>
          <w:p>
            <w:pPr>
              <w:spacing w:after="0"/>
            </w:pPr>
            <w:r/>
            <w:r>
              <w:rPr>
                <w:b w:val="0"/>
                <w:sz w:val="16"/>
              </w:rPr>
              <w:t>Delivery adapter</w:t>
            </w:r>
          </w:p>
        </w:tc>
        <w:tc>
          <w:tcPr>
            <w:tcW w:type="dxa" w:w="3816"/>
            <w:vAlign w:val="center"/>
          </w:tcPr>
          <w:p>
            <w:pPr>
              <w:spacing w:after="0"/>
            </w:pPr>
            <w:r/>
            <w:r>
              <w:rPr>
                <w:b w:val="0"/>
                <w:sz w:val="16"/>
              </w:rPr>
              <w:t>Provider-specific send/receive behind common interface</w:t>
            </w:r>
          </w:p>
        </w:tc>
        <w:tc>
          <w:tcPr>
            <w:tcW w:type="dxa" w:w="4320"/>
            <w:vAlign w:val="center"/>
          </w:tcPr>
          <w:p>
            <w:pPr>
              <w:spacing w:after="0"/>
            </w:pPr>
            <w:r/>
            <w:r>
              <w:rPr>
                <w:b w:val="0"/>
                <w:sz w:val="16"/>
              </w:rPr>
              <w:t>sendEmail(); sendSms(); receiveWebhook()</w:t>
            </w:r>
          </w:p>
        </w:tc>
      </w:tr>
      <w:tr>
        <w:tc>
          <w:tcPr>
            <w:tcW w:type="dxa" w:w="1944"/>
            <w:vAlign w:val="center"/>
          </w:tcPr>
          <w:p>
            <w:pPr>
              <w:spacing w:after="0"/>
            </w:pPr>
            <w:r/>
            <w:r>
              <w:rPr>
                <w:b w:val="0"/>
                <w:sz w:val="16"/>
              </w:rPr>
              <w:t>Notification service</w:t>
            </w:r>
          </w:p>
        </w:tc>
        <w:tc>
          <w:tcPr>
            <w:tcW w:type="dxa" w:w="3816"/>
            <w:vAlign w:val="center"/>
          </w:tcPr>
          <w:p>
            <w:pPr>
              <w:spacing w:after="0"/>
            </w:pPr>
            <w:r/>
            <w:r>
              <w:rPr>
                <w:b w:val="0"/>
                <w:sz w:val="16"/>
              </w:rPr>
              <w:t>Create/read/dismiss in-app notifications</w:t>
            </w:r>
          </w:p>
        </w:tc>
        <w:tc>
          <w:tcPr>
            <w:tcW w:type="dxa" w:w="4320"/>
            <w:vAlign w:val="center"/>
          </w:tcPr>
          <w:p>
            <w:pPr>
              <w:spacing w:after="0"/>
            </w:pPr>
            <w:r/>
            <w:r>
              <w:rPr>
                <w:b w:val="0"/>
                <w:sz w:val="16"/>
              </w:rPr>
              <w:t>POST /api/notifications</w:t>
            </w:r>
          </w:p>
        </w:tc>
      </w:tr>
      <w:tr>
        <w:tc>
          <w:tcPr>
            <w:tcW w:type="dxa" w:w="1944"/>
            <w:vAlign w:val="center"/>
          </w:tcPr>
          <w:p>
            <w:pPr>
              <w:spacing w:after="0"/>
            </w:pPr>
            <w:r/>
            <w:r>
              <w:rPr>
                <w:b w:val="0"/>
                <w:sz w:val="16"/>
              </w:rPr>
              <w:t>Template service</w:t>
            </w:r>
          </w:p>
        </w:tc>
        <w:tc>
          <w:tcPr>
            <w:tcW w:type="dxa" w:w="3816"/>
            <w:vAlign w:val="center"/>
          </w:tcPr>
          <w:p>
            <w:pPr>
              <w:spacing w:after="0"/>
            </w:pPr>
            <w:r/>
            <w:r>
              <w:rPr>
                <w:b w:val="0"/>
                <w:sz w:val="16"/>
              </w:rPr>
              <w:t>Render approved template with data and validate variables</w:t>
            </w:r>
          </w:p>
        </w:tc>
        <w:tc>
          <w:tcPr>
            <w:tcW w:type="dxa" w:w="4320"/>
            <w:vAlign w:val="center"/>
          </w:tcPr>
          <w:p>
            <w:pPr>
              <w:spacing w:after="0"/>
            </w:pPr>
            <w:r/>
            <w:r>
              <w:rPr>
                <w:b w:val="0"/>
                <w:sz w:val="16"/>
              </w:rPr>
              <w:t>renderTemplate(templateKey, context)</w:t>
            </w:r>
          </w:p>
        </w:tc>
      </w:tr>
      <w:tr>
        <w:tc>
          <w:tcPr>
            <w:tcW w:type="dxa" w:w="1944"/>
            <w:vAlign w:val="center"/>
          </w:tcPr>
          <w:p>
            <w:pPr>
              <w:spacing w:after="0"/>
            </w:pPr>
            <w:r/>
            <w:r>
              <w:rPr>
                <w:b w:val="0"/>
                <w:sz w:val="16"/>
              </w:rPr>
              <w:t>Webhook service</w:t>
            </w:r>
          </w:p>
        </w:tc>
        <w:tc>
          <w:tcPr>
            <w:tcW w:type="dxa" w:w="3816"/>
            <w:vAlign w:val="center"/>
          </w:tcPr>
          <w:p>
            <w:pPr>
              <w:spacing w:after="0"/>
            </w:pPr>
            <w:r/>
            <w:r>
              <w:rPr>
                <w:b w:val="0"/>
                <w:sz w:val="16"/>
              </w:rPr>
              <w:t>Verify provider webhooks and update delivery states</w:t>
            </w:r>
          </w:p>
        </w:tc>
        <w:tc>
          <w:tcPr>
            <w:tcW w:type="dxa" w:w="4320"/>
            <w:vAlign w:val="center"/>
          </w:tcPr>
          <w:p>
            <w:pPr>
              <w:spacing w:after="0"/>
            </w:pPr>
            <w:r/>
            <w:r>
              <w:rPr>
                <w:b w:val="0"/>
                <w:sz w:val="16"/>
              </w:rPr>
              <w:t>POST /api/integrations/sendgrid/webhook</w:t>
            </w:r>
          </w:p>
        </w:tc>
      </w:tr>
    </w:tbl>
    <w:p/>
    <w:p>
      <w:pPr>
        <w:pStyle w:val="Heading2"/>
      </w:pPr>
      <w:r>
        <w:t>Business rules and guardrails</w:t>
      </w:r>
    </w:p>
    <w:p>
      <w:pPr>
        <w:pStyle w:val="ListBullet"/>
      </w:pPr>
      <w:r>
        <w:t>Every external message must be tenant-scoped, channel-specific, linked to sender/recipient, and recorded with delivery status.</w:t>
      </w:r>
    </w:p>
    <w:p>
      <w:pPr>
        <w:pStyle w:val="ListBullet"/>
      </w:pPr>
      <w:r>
        <w:t>SMS/MMS and marketing messages must respect consent/opt-out rules. Transactional messaging must still follow provider and legal configuration requirements.</w:t>
      </w:r>
    </w:p>
    <w:p>
      <w:pPr>
        <w:pStyle w:val="ListBullet"/>
      </w:pPr>
      <w:r>
        <w:t>Inbound messages must be matched safely to tenant/contact/conversation; ambiguous matches require review instead of attaching to the wrong customer.</w:t>
      </w:r>
    </w:p>
    <w:p>
      <w:pPr>
        <w:pStyle w:val="ListBullet"/>
      </w:pPr>
      <w:r>
        <w:t>Email/SMS template variables must be validated before send. Missing required variables should block send or use explicitly approved fallback.</w:t>
      </w:r>
    </w:p>
    <w:p>
      <w:pPr>
        <w:pStyle w:val="ListBullet"/>
      </w:pPr>
      <w:r>
        <w:t>Messages sent from an Order, Quote, Proof, Invoice, Webstore, or portal must retain a contextual link and create activity events.</w:t>
      </w:r>
    </w:p>
    <w:p>
      <w:pPr>
        <w:pStyle w:val="ListBullet"/>
      </w:pPr>
      <w:r>
        <w:t>Notifications are not messages. A notification points a user to work; it does not become a replacement for an actual customer conversation.</w:t>
      </w:r>
    </w:p>
    <w:p>
      <w:pPr>
        <w:pStyle w:val="ListBullet"/>
      </w:pPr>
      <w:r>
        <w:t>Failed sends must be visible, retryable under policy, and not incorrectly shown as delivered.</w:t>
      </w:r>
    </w:p>
    <w:p>
      <w:pPr>
        <w:pStyle w:val="Heading2"/>
      </w:pPr>
      <w:r>
        <w:t>Required build sequence</w:t>
      </w:r>
    </w:p>
    <w:p>
      <w:pPr>
        <w:pStyle w:val="ListNumber"/>
      </w:pPr>
      <w:r>
        <w:t>Inventory existing SendGrid/Twilio code, direct provider calls, CustomerNotification records, portal messages, email templates, and admin email log routes.</w:t>
      </w:r>
    </w:p>
    <w:p>
      <w:pPr>
        <w:pStyle w:val="ListNumber"/>
      </w:pPr>
      <w:r>
        <w:t>Create conversation/message/notification data model and provider adapter interfaces.</w:t>
      </w:r>
    </w:p>
    <w:p>
      <w:pPr>
        <w:pStyle w:val="ListNumber"/>
      </w:pPr>
      <w:r>
        <w:t>Implement sender identity, consent, recipient resolution, template rendering, and delivery state before broad UI work.</w:t>
      </w:r>
    </w:p>
    <w:p>
      <w:pPr>
        <w:pStyle w:val="ListNumber"/>
      </w:pPr>
      <w:r>
        <w:t>Build contextual thread component plus notification center component using shared design system.</w:t>
      </w:r>
    </w:p>
    <w:p>
      <w:pPr>
        <w:pStyle w:val="ListNumber"/>
      </w:pPr>
      <w:r>
        <w:t>Implement verified webhooks for provider delivery/bounce/reply states.</w:t>
      </w:r>
    </w:p>
    <w:p>
      <w:pPr>
        <w:pStyle w:val="ListNumber"/>
      </w:pPr>
      <w:r>
        <w:t>Instrument message created/sent/delivered/failed/replied events and add user-visible retry/error behavior.</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Send order proof email</w:t>
            </w:r>
          </w:p>
        </w:tc>
        <w:tc>
          <w:tcPr>
            <w:tcW w:type="dxa" w:w="5472"/>
            <w:vAlign w:val="center"/>
          </w:tcPr>
          <w:p>
            <w:pPr>
              <w:spacing w:after="0"/>
            </w:pPr>
            <w:r/>
            <w:r>
              <w:rPr>
                <w:b w:val="0"/>
                <w:sz w:val="16"/>
              </w:rPr>
              <w:t>Message links to order/proof, template variables resolve, delivery state updates, activity event recorded.</w:t>
            </w:r>
          </w:p>
        </w:tc>
      </w:tr>
      <w:tr>
        <w:tc>
          <w:tcPr>
            <w:tcW w:type="dxa" w:w="4608"/>
            <w:vAlign w:val="center"/>
          </w:tcPr>
          <w:p>
            <w:pPr>
              <w:spacing w:after="0"/>
            </w:pPr>
            <w:r/>
            <w:r>
              <w:rPr>
                <w:b w:val="0"/>
                <w:sz w:val="16"/>
              </w:rPr>
              <w:t>Customer replies by supported channel</w:t>
            </w:r>
          </w:p>
        </w:tc>
        <w:tc>
          <w:tcPr>
            <w:tcW w:type="dxa" w:w="5472"/>
            <w:vAlign w:val="center"/>
          </w:tcPr>
          <w:p>
            <w:pPr>
              <w:spacing w:after="0"/>
            </w:pPr>
            <w:r/>
            <w:r>
              <w:rPr>
                <w:b w:val="0"/>
                <w:sz w:val="16"/>
              </w:rPr>
              <w:t>Inbound message is matched to the correct conversation and visible to permitted staff.</w:t>
            </w:r>
          </w:p>
        </w:tc>
      </w:tr>
      <w:tr>
        <w:tc>
          <w:tcPr>
            <w:tcW w:type="dxa" w:w="4608"/>
            <w:vAlign w:val="center"/>
          </w:tcPr>
          <w:p>
            <w:pPr>
              <w:spacing w:after="0"/>
            </w:pPr>
            <w:r/>
            <w:r>
              <w:rPr>
                <w:b w:val="0"/>
                <w:sz w:val="16"/>
              </w:rPr>
              <w:t>SMS recipient opted out</w:t>
            </w:r>
          </w:p>
        </w:tc>
        <w:tc>
          <w:tcPr>
            <w:tcW w:type="dxa" w:w="5472"/>
            <w:vAlign w:val="center"/>
          </w:tcPr>
          <w:p>
            <w:pPr>
              <w:spacing w:after="0"/>
            </w:pPr>
            <w:r/>
            <w:r>
              <w:rPr>
                <w:b w:val="0"/>
                <w:sz w:val="16"/>
              </w:rPr>
              <w:t>System blocks non-permitted outbound SMS and shows clear reason.</w:t>
            </w:r>
          </w:p>
        </w:tc>
      </w:tr>
      <w:tr>
        <w:tc>
          <w:tcPr>
            <w:tcW w:type="dxa" w:w="4608"/>
            <w:vAlign w:val="center"/>
          </w:tcPr>
          <w:p>
            <w:pPr>
              <w:spacing w:after="0"/>
            </w:pPr>
            <w:r/>
            <w:r>
              <w:rPr>
                <w:b w:val="0"/>
                <w:sz w:val="16"/>
              </w:rPr>
              <w:t>Provider webhook replayed</w:t>
            </w:r>
          </w:p>
        </w:tc>
        <w:tc>
          <w:tcPr>
            <w:tcW w:type="dxa" w:w="5472"/>
            <w:vAlign w:val="center"/>
          </w:tcPr>
          <w:p>
            <w:pPr>
              <w:spacing w:after="0"/>
            </w:pPr>
            <w:r/>
            <w:r>
              <w:rPr>
                <w:b w:val="0"/>
                <w:sz w:val="16"/>
              </w:rPr>
              <w:t>Idempotency prevents duplicate messages/status changes.</w:t>
            </w:r>
          </w:p>
        </w:tc>
      </w:tr>
      <w:tr>
        <w:tc>
          <w:tcPr>
            <w:tcW w:type="dxa" w:w="4608"/>
            <w:vAlign w:val="center"/>
          </w:tcPr>
          <w:p>
            <w:pPr>
              <w:spacing w:after="0"/>
            </w:pPr>
            <w:r/>
            <w:r>
              <w:rPr>
                <w:b w:val="0"/>
                <w:sz w:val="16"/>
              </w:rPr>
              <w:t>Staff member without permission sends broadcast</w:t>
            </w:r>
          </w:p>
        </w:tc>
        <w:tc>
          <w:tcPr>
            <w:tcW w:type="dxa" w:w="5472"/>
            <w:vAlign w:val="center"/>
          </w:tcPr>
          <w:p>
            <w:pPr>
              <w:spacing w:after="0"/>
            </w:pPr>
            <w:r/>
            <w:r>
              <w:rPr>
                <w:b w:val="0"/>
                <w:sz w:val="16"/>
              </w:rPr>
              <w:t>Backend denies action.</w:t>
            </w:r>
          </w:p>
        </w:tc>
      </w:tr>
      <w:tr>
        <w:tc>
          <w:tcPr>
            <w:tcW w:type="dxa" w:w="4608"/>
            <w:vAlign w:val="center"/>
          </w:tcPr>
          <w:p>
            <w:pPr>
              <w:spacing w:after="0"/>
            </w:pPr>
            <w:r/>
            <w:r>
              <w:rPr>
                <w:b w:val="0"/>
                <w:sz w:val="16"/>
              </w:rPr>
              <w:t>Failed email delivery</w:t>
            </w:r>
          </w:p>
        </w:tc>
        <w:tc>
          <w:tcPr>
            <w:tcW w:type="dxa" w:w="5472"/>
            <w:vAlign w:val="center"/>
          </w:tcPr>
          <w:p>
            <w:pPr>
              <w:spacing w:after="0"/>
            </w:pPr>
            <w:r/>
            <w:r>
              <w:rPr>
                <w:b w:val="0"/>
                <w:sz w:val="16"/>
              </w:rPr>
              <w:t>Message remains failed/bounced, creates notification, and does not falsely mark communication complete.</w:t>
            </w:r>
          </w:p>
        </w:tc>
      </w:tr>
    </w:tbl>
    <w:p/>
    <w:p>
      <w:pPr>
        <w:pStyle w:val="Heading2"/>
      </w:pPr>
      <w:r>
        <w:t>Migration / legacy cleanup</w:t>
      </w:r>
    </w:p>
    <w:p>
      <w:pPr>
        <w:pStyle w:val="ListBullet"/>
      </w:pPr>
      <w:r>
        <w:t>Merge duplicated notification/message concepts only after distinguishing in-app notifications, internal notes, external messages, and provider logs.</w:t>
      </w:r>
    </w:p>
    <w:p>
      <w:pPr>
        <w:pStyle w:val="ListBullet"/>
      </w:pPr>
      <w:r>
        <w:t>Route legacy email logs and broadcast pages into platform admin or tenant communication ownership according to audience.</w:t>
      </w:r>
    </w:p>
    <w:p>
      <w:pPr>
        <w:pStyle w:val="ListBullet"/>
      </w:pPr>
      <w:r>
        <w:t>Replace direct provider SDK use inside feature components with shared delivery adapters.</w:t>
      </w:r>
    </w:p>
    <w:p>
      <w:pPr>
        <w:pStyle w:val="Heading2"/>
      </w:pPr>
      <w:r>
        <w:t>Important implementation notes</w:t>
      </w:r>
    </w:p>
    <w:p>
      <w:pPr>
        <w:pStyle w:val="ListBullet"/>
      </w:pPr>
      <w:r>
        <w:t>Use MessageTemplate records for reusable email/SMS content; DocuLink owns document templates, not message templates.</w:t>
      </w:r>
    </w:p>
    <w:p>
      <w:pPr>
        <w:pStyle w:val="ListBullet"/>
      </w:pPr>
      <w:r>
        <w:t>When sending attachment links, use the file system authorization model, not raw storage URLs.</w:t>
      </w:r>
    </w:p>
    <w:p>
      <w:r>
        <w:br w:type="page"/>
      </w:r>
    </w:p>
    <w:p>
      <w:pPr>
        <w:pStyle w:val="Heading1"/>
      </w:pPr>
      <w:r>
        <w:t>8. Forms, Questionnaires &amp; Signatures</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a reusable, versioned form system for customer intake, questionnaires, approvals, contracts, public request forms, portal submissions, and signatures while keeping response data linked to the business context that owns it.</w:t>
            </w:r>
          </w:p>
        </w:tc>
      </w:tr>
    </w:tbl>
    <w:p/>
    <w:p>
      <w:pPr>
        <w:pStyle w:val="Heading2"/>
      </w:pPr>
      <w:r>
        <w:t>Scope and boundaries</w:t>
      </w:r>
    </w:p>
    <w:p>
      <w:pPr>
        <w:pStyle w:val="ListBullet"/>
      </w:pPr>
      <w:r>
        <w:t>Own form definitions, question blocks, versions, response records, public/share links, submission validation, signature requests, signer actions, response visibility, and template reuse.</w:t>
      </w:r>
    </w:p>
    <w:p>
      <w:pPr>
        <w:pStyle w:val="ListBullet"/>
      </w:pPr>
      <w:r>
        <w:t>Do not own the downstream business record created from a form response. A form may create/update a lead, customer, quote request, webstore setup record, or proof approval through an explicit workflow.</w:t>
      </w:r>
    </w:p>
    <w:p>
      <w:pPr>
        <w:pStyle w:val="ListBullet"/>
      </w:pPr>
      <w:r>
        <w:t>Support internal forms, portal forms, customer-specific forms, public forms, and webstore owner questionnaires with explicit access policy.</w:t>
      </w:r>
    </w:p>
    <w:p>
      <w:pPr>
        <w:pStyle w:val="ListBullet"/>
      </w:pPr>
      <w:r>
        <w:t>Signatures are a controlled form capability, not an image pasted into a random record.</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FormTemplate</w:t>
            </w:r>
          </w:p>
        </w:tc>
        <w:tc>
          <w:tcPr>
            <w:tcW w:type="dxa" w:w="3672"/>
            <w:vAlign w:val="center"/>
          </w:tcPr>
          <w:p>
            <w:pPr>
              <w:spacing w:after="0"/>
            </w:pPr>
            <w:r/>
            <w:r>
              <w:rPr>
                <w:b w:val="0"/>
                <w:sz w:val="16"/>
              </w:rPr>
              <w:t>Reusable form/questionnaire definition</w:t>
            </w:r>
          </w:p>
        </w:tc>
        <w:tc>
          <w:tcPr>
            <w:tcW w:type="dxa" w:w="4320"/>
            <w:vAlign w:val="center"/>
          </w:tcPr>
          <w:p>
            <w:pPr>
              <w:spacing w:after="0"/>
            </w:pPr>
            <w:r/>
            <w:r>
              <w:rPr>
                <w:b w:val="0"/>
                <w:sz w:val="16"/>
              </w:rPr>
              <w:t>id, tenant_id/global, key, name, version, schema, status</w:t>
            </w:r>
          </w:p>
        </w:tc>
      </w:tr>
      <w:tr>
        <w:tc>
          <w:tcPr>
            <w:tcW w:type="dxa" w:w="2088"/>
            <w:vAlign w:val="center"/>
          </w:tcPr>
          <w:p>
            <w:pPr>
              <w:spacing w:after="0"/>
            </w:pPr>
            <w:r/>
            <w:r>
              <w:rPr>
                <w:b w:val="0"/>
                <w:sz w:val="16"/>
              </w:rPr>
              <w:t>FormRequest</w:t>
            </w:r>
          </w:p>
        </w:tc>
        <w:tc>
          <w:tcPr>
            <w:tcW w:type="dxa" w:w="3672"/>
            <w:vAlign w:val="center"/>
          </w:tcPr>
          <w:p>
            <w:pPr>
              <w:spacing w:after="0"/>
            </w:pPr>
            <w:r/>
            <w:r>
              <w:rPr>
                <w:b w:val="0"/>
                <w:sz w:val="16"/>
              </w:rPr>
              <w:t>A specific request sent to a recipient/context</w:t>
            </w:r>
          </w:p>
        </w:tc>
        <w:tc>
          <w:tcPr>
            <w:tcW w:type="dxa" w:w="4320"/>
            <w:vAlign w:val="center"/>
          </w:tcPr>
          <w:p>
            <w:pPr>
              <w:spacing w:after="0"/>
            </w:pPr>
            <w:r/>
            <w:r>
              <w:rPr>
                <w:b w:val="0"/>
                <w:sz w:val="16"/>
              </w:rPr>
              <w:t>id, tenant_id, template_id, target, recipient, token, expires_at, status</w:t>
            </w:r>
          </w:p>
        </w:tc>
      </w:tr>
      <w:tr>
        <w:tc>
          <w:tcPr>
            <w:tcW w:type="dxa" w:w="2088"/>
            <w:vAlign w:val="center"/>
          </w:tcPr>
          <w:p>
            <w:pPr>
              <w:spacing w:after="0"/>
            </w:pPr>
            <w:r/>
            <w:r>
              <w:rPr>
                <w:b w:val="0"/>
                <w:sz w:val="16"/>
              </w:rPr>
              <w:t>FormResponse</w:t>
            </w:r>
          </w:p>
        </w:tc>
        <w:tc>
          <w:tcPr>
            <w:tcW w:type="dxa" w:w="3672"/>
            <w:vAlign w:val="center"/>
          </w:tcPr>
          <w:p>
            <w:pPr>
              <w:spacing w:after="0"/>
            </w:pPr>
            <w:r/>
            <w:r>
              <w:rPr>
                <w:b w:val="0"/>
                <w:sz w:val="16"/>
              </w:rPr>
              <w:t>Immutable submitted answer set</w:t>
            </w:r>
          </w:p>
        </w:tc>
        <w:tc>
          <w:tcPr>
            <w:tcW w:type="dxa" w:w="4320"/>
            <w:vAlign w:val="center"/>
          </w:tcPr>
          <w:p>
            <w:pPr>
              <w:spacing w:after="0"/>
            </w:pPr>
            <w:r/>
            <w:r>
              <w:rPr>
                <w:b w:val="0"/>
                <w:sz w:val="16"/>
              </w:rPr>
              <w:t>id, request_id, version, answers, submitted_by, submitted_at</w:t>
            </w:r>
          </w:p>
        </w:tc>
      </w:tr>
      <w:tr>
        <w:tc>
          <w:tcPr>
            <w:tcW w:type="dxa" w:w="2088"/>
            <w:vAlign w:val="center"/>
          </w:tcPr>
          <w:p>
            <w:pPr>
              <w:spacing w:after="0"/>
            </w:pPr>
            <w:r/>
            <w:r>
              <w:rPr>
                <w:b w:val="0"/>
                <w:sz w:val="16"/>
              </w:rPr>
              <w:t>SignatureRequest</w:t>
            </w:r>
          </w:p>
        </w:tc>
        <w:tc>
          <w:tcPr>
            <w:tcW w:type="dxa" w:w="3672"/>
            <w:vAlign w:val="center"/>
          </w:tcPr>
          <w:p>
            <w:pPr>
              <w:spacing w:after="0"/>
            </w:pPr>
            <w:r/>
            <w:r>
              <w:rPr>
                <w:b w:val="0"/>
                <w:sz w:val="16"/>
              </w:rPr>
              <w:t>Signature-specific workflow state</w:t>
            </w:r>
          </w:p>
        </w:tc>
        <w:tc>
          <w:tcPr>
            <w:tcW w:type="dxa" w:w="4320"/>
            <w:vAlign w:val="center"/>
          </w:tcPr>
          <w:p>
            <w:pPr>
              <w:spacing w:after="0"/>
            </w:pPr>
            <w:r/>
            <w:r>
              <w:rPr>
                <w:b w:val="0"/>
                <w:sz w:val="16"/>
              </w:rPr>
              <w:t>id, tenant_id, document/form context, signer, status, expires_at</w:t>
            </w:r>
          </w:p>
        </w:tc>
      </w:tr>
      <w:tr>
        <w:tc>
          <w:tcPr>
            <w:tcW w:type="dxa" w:w="2088"/>
            <w:vAlign w:val="center"/>
          </w:tcPr>
          <w:p>
            <w:pPr>
              <w:spacing w:after="0"/>
            </w:pPr>
            <w:r/>
            <w:r>
              <w:rPr>
                <w:b w:val="0"/>
                <w:sz w:val="16"/>
              </w:rPr>
              <w:t>SignatureRecord</w:t>
            </w:r>
          </w:p>
        </w:tc>
        <w:tc>
          <w:tcPr>
            <w:tcW w:type="dxa" w:w="3672"/>
            <w:vAlign w:val="center"/>
          </w:tcPr>
          <w:p>
            <w:pPr>
              <w:spacing w:after="0"/>
            </w:pPr>
            <w:r/>
            <w:r>
              <w:rPr>
                <w:b w:val="0"/>
                <w:sz w:val="16"/>
              </w:rPr>
              <w:t>Evidence of completed signature</w:t>
            </w:r>
          </w:p>
        </w:tc>
        <w:tc>
          <w:tcPr>
            <w:tcW w:type="dxa" w:w="4320"/>
            <w:vAlign w:val="center"/>
          </w:tcPr>
          <w:p>
            <w:pPr>
              <w:spacing w:after="0"/>
            </w:pPr>
            <w:r/>
            <w:r>
              <w:rPr>
                <w:b w:val="0"/>
                <w:sz w:val="16"/>
              </w:rPr>
              <w:t>id, request_id, signer identity, signed_at, evidence metadata</w:t>
            </w:r>
          </w:p>
        </w:tc>
      </w:tr>
      <w:tr>
        <w:tc>
          <w:tcPr>
            <w:tcW w:type="dxa" w:w="2088"/>
            <w:vAlign w:val="center"/>
          </w:tcPr>
          <w:p>
            <w:pPr>
              <w:spacing w:after="0"/>
            </w:pPr>
            <w:r/>
            <w:r>
              <w:rPr>
                <w:b w:val="0"/>
                <w:sz w:val="16"/>
              </w:rPr>
              <w:t>FormMapping</w:t>
            </w:r>
          </w:p>
        </w:tc>
        <w:tc>
          <w:tcPr>
            <w:tcW w:type="dxa" w:w="3672"/>
            <w:vAlign w:val="center"/>
          </w:tcPr>
          <w:p>
            <w:pPr>
              <w:spacing w:after="0"/>
            </w:pPr>
            <w:r/>
            <w:r>
              <w:rPr>
                <w:b w:val="0"/>
                <w:sz w:val="16"/>
              </w:rPr>
              <w:t>Approved answer-to-field mapping rules</w:t>
            </w:r>
          </w:p>
        </w:tc>
        <w:tc>
          <w:tcPr>
            <w:tcW w:type="dxa" w:w="4320"/>
            <w:vAlign w:val="center"/>
          </w:tcPr>
          <w:p>
            <w:pPr>
              <w:spacing w:after="0"/>
            </w:pPr>
            <w:r/>
            <w:r>
              <w:rPr>
                <w:b w:val="0"/>
                <w:sz w:val="16"/>
              </w:rPr>
              <w:t>template_id, answer_key, target module/field, transform</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Internal builder</w:t>
            </w:r>
          </w:p>
        </w:tc>
        <w:tc>
          <w:tcPr>
            <w:tcW w:type="dxa" w:w="3456"/>
            <w:vAlign w:val="center"/>
          </w:tcPr>
          <w:p>
            <w:pPr>
              <w:spacing w:after="0"/>
            </w:pPr>
            <w:r/>
            <w:r>
              <w:rPr>
                <w:b w:val="0"/>
                <w:sz w:val="16"/>
              </w:rPr>
              <w:t>/documents or /settings/forms depending final module choice</w:t>
            </w:r>
          </w:p>
        </w:tc>
        <w:tc>
          <w:tcPr>
            <w:tcW w:type="dxa" w:w="5040"/>
            <w:vAlign w:val="center"/>
          </w:tcPr>
          <w:p>
            <w:pPr>
              <w:spacing w:after="0"/>
            </w:pPr>
            <w:r/>
            <w:r>
              <w:rPr>
                <w:b w:val="0"/>
                <w:sz w:val="16"/>
              </w:rPr>
              <w:t>Template management and internal test mode.</w:t>
            </w:r>
          </w:p>
        </w:tc>
      </w:tr>
      <w:tr>
        <w:tc>
          <w:tcPr>
            <w:tcW w:type="dxa" w:w="1584"/>
            <w:vAlign w:val="center"/>
          </w:tcPr>
          <w:p>
            <w:pPr>
              <w:spacing w:after="0"/>
            </w:pPr>
            <w:r/>
            <w:r>
              <w:rPr>
                <w:b w:val="0"/>
                <w:sz w:val="16"/>
              </w:rPr>
              <w:t>Public form</w:t>
            </w:r>
          </w:p>
        </w:tc>
        <w:tc>
          <w:tcPr>
            <w:tcW w:type="dxa" w:w="3456"/>
            <w:vAlign w:val="center"/>
          </w:tcPr>
          <w:p>
            <w:pPr>
              <w:spacing w:after="0"/>
            </w:pPr>
            <w:r/>
            <w:r>
              <w:rPr>
                <w:b w:val="0"/>
                <w:sz w:val="16"/>
              </w:rPr>
              <w:t>/forms/:requestId or tokenized public route</w:t>
            </w:r>
          </w:p>
        </w:tc>
        <w:tc>
          <w:tcPr>
            <w:tcW w:type="dxa" w:w="5040"/>
            <w:vAlign w:val="center"/>
          </w:tcPr>
          <w:p>
            <w:pPr>
              <w:spacing w:after="0"/>
            </w:pPr>
            <w:r/>
            <w:r>
              <w:rPr>
                <w:b w:val="0"/>
                <w:sz w:val="16"/>
              </w:rPr>
              <w:t>No auth or limited auth depending form policy.</w:t>
            </w:r>
          </w:p>
        </w:tc>
      </w:tr>
      <w:tr>
        <w:tc>
          <w:tcPr>
            <w:tcW w:type="dxa" w:w="1584"/>
            <w:vAlign w:val="center"/>
          </w:tcPr>
          <w:p>
            <w:pPr>
              <w:spacing w:after="0"/>
            </w:pPr>
            <w:r/>
            <w:r>
              <w:rPr>
                <w:b w:val="0"/>
                <w:sz w:val="16"/>
              </w:rPr>
              <w:t>Customer portal</w:t>
            </w:r>
          </w:p>
        </w:tc>
        <w:tc>
          <w:tcPr>
            <w:tcW w:type="dxa" w:w="3456"/>
            <w:vAlign w:val="center"/>
          </w:tcPr>
          <w:p>
            <w:pPr>
              <w:spacing w:after="0"/>
            </w:pPr>
            <w:r/>
            <w:r>
              <w:rPr>
                <w:b w:val="0"/>
                <w:sz w:val="16"/>
              </w:rPr>
              <w:t>/customer-portal/forms/:requestId</w:t>
            </w:r>
          </w:p>
        </w:tc>
        <w:tc>
          <w:tcPr>
            <w:tcW w:type="dxa" w:w="5040"/>
            <w:vAlign w:val="center"/>
          </w:tcPr>
          <w:p>
            <w:pPr>
              <w:spacing w:after="0"/>
            </w:pPr>
            <w:r/>
            <w:r>
              <w:rPr>
                <w:b w:val="0"/>
                <w:sz w:val="16"/>
              </w:rPr>
              <w:t>Authenticated customer completion when required.</w:t>
            </w:r>
          </w:p>
        </w:tc>
      </w:tr>
      <w:tr>
        <w:tc>
          <w:tcPr>
            <w:tcW w:type="dxa" w:w="1584"/>
            <w:vAlign w:val="center"/>
          </w:tcPr>
          <w:p>
            <w:pPr>
              <w:spacing w:after="0"/>
            </w:pPr>
            <w:r/>
            <w:r>
              <w:rPr>
                <w:b w:val="0"/>
                <w:sz w:val="16"/>
              </w:rPr>
              <w:t>Webstore owner</w:t>
            </w:r>
          </w:p>
        </w:tc>
        <w:tc>
          <w:tcPr>
            <w:tcW w:type="dxa" w:w="3456"/>
            <w:vAlign w:val="center"/>
          </w:tcPr>
          <w:p>
            <w:pPr>
              <w:spacing w:after="0"/>
            </w:pPr>
            <w:r/>
            <w:r>
              <w:rPr>
                <w:b w:val="0"/>
                <w:sz w:val="16"/>
              </w:rPr>
              <w:t>/owner-portal-signup/:token and owner portal forms</w:t>
            </w:r>
          </w:p>
        </w:tc>
        <w:tc>
          <w:tcPr>
            <w:tcW w:type="dxa" w:w="5040"/>
            <w:vAlign w:val="center"/>
          </w:tcPr>
          <w:p>
            <w:pPr>
              <w:spacing w:after="0"/>
            </w:pPr>
            <w:r/>
            <w:r>
              <w:rPr>
                <w:b w:val="0"/>
                <w:sz w:val="16"/>
              </w:rPr>
              <w:t>Setup questionnaire and approval flows.</w:t>
            </w:r>
          </w:p>
        </w:tc>
      </w:tr>
      <w:tr>
        <w:tc>
          <w:tcPr>
            <w:tcW w:type="dxa" w:w="1584"/>
            <w:vAlign w:val="center"/>
          </w:tcPr>
          <w:p>
            <w:pPr>
              <w:spacing w:after="0"/>
            </w:pPr>
            <w:r/>
            <w:r>
              <w:rPr>
                <w:b w:val="0"/>
                <w:sz w:val="16"/>
              </w:rPr>
              <w:t>Signature</w:t>
            </w:r>
          </w:p>
        </w:tc>
        <w:tc>
          <w:tcPr>
            <w:tcW w:type="dxa" w:w="3456"/>
            <w:vAlign w:val="center"/>
          </w:tcPr>
          <w:p>
            <w:pPr>
              <w:spacing w:after="0"/>
            </w:pPr>
            <w:r/>
            <w:r>
              <w:rPr>
                <w:b w:val="0"/>
                <w:sz w:val="16"/>
              </w:rPr>
              <w:t>/customer-portal/sign/:token or protected route</w:t>
            </w:r>
          </w:p>
        </w:tc>
        <w:tc>
          <w:tcPr>
            <w:tcW w:type="dxa" w:w="5040"/>
            <w:vAlign w:val="center"/>
          </w:tcPr>
          <w:p>
            <w:pPr>
              <w:spacing w:after="0"/>
            </w:pPr>
            <w:r/>
            <w:r>
              <w:rPr>
                <w:b w:val="0"/>
                <w:sz w:val="16"/>
              </w:rPr>
              <w:t>Must clearly show signer and document/context.</w:t>
            </w: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Form service</w:t>
            </w:r>
          </w:p>
        </w:tc>
        <w:tc>
          <w:tcPr>
            <w:tcW w:type="dxa" w:w="3816"/>
            <w:vAlign w:val="center"/>
          </w:tcPr>
          <w:p>
            <w:pPr>
              <w:spacing w:after="0"/>
            </w:pPr>
            <w:r/>
            <w:r>
              <w:rPr>
                <w:b w:val="0"/>
                <w:sz w:val="16"/>
              </w:rPr>
              <w:t>Create/update/publish templates; issue requests; validate submissions</w:t>
            </w:r>
          </w:p>
        </w:tc>
        <w:tc>
          <w:tcPr>
            <w:tcW w:type="dxa" w:w="4320"/>
            <w:vAlign w:val="center"/>
          </w:tcPr>
          <w:p>
            <w:pPr>
              <w:spacing w:after="0"/>
            </w:pPr>
            <w:r/>
            <w:r>
              <w:rPr>
                <w:b w:val="0"/>
                <w:sz w:val="16"/>
              </w:rPr>
              <w:t>POST /api/forms/templates; POST /api/forms/requests</w:t>
            </w:r>
          </w:p>
        </w:tc>
      </w:tr>
      <w:tr>
        <w:tc>
          <w:tcPr>
            <w:tcW w:type="dxa" w:w="1944"/>
            <w:vAlign w:val="center"/>
          </w:tcPr>
          <w:p>
            <w:pPr>
              <w:spacing w:after="0"/>
            </w:pPr>
            <w:r/>
            <w:r>
              <w:rPr>
                <w:b w:val="0"/>
                <w:sz w:val="16"/>
              </w:rPr>
              <w:t>Submission service</w:t>
            </w:r>
          </w:p>
        </w:tc>
        <w:tc>
          <w:tcPr>
            <w:tcW w:type="dxa" w:w="3816"/>
            <w:vAlign w:val="center"/>
          </w:tcPr>
          <w:p>
            <w:pPr>
              <w:spacing w:after="0"/>
            </w:pPr>
            <w:r/>
            <w:r>
              <w:rPr>
                <w:b w:val="0"/>
                <w:sz w:val="16"/>
              </w:rPr>
              <w:t>Render schema, validate answers, record immutable response</w:t>
            </w:r>
          </w:p>
        </w:tc>
        <w:tc>
          <w:tcPr>
            <w:tcW w:type="dxa" w:w="4320"/>
            <w:vAlign w:val="center"/>
          </w:tcPr>
          <w:p>
            <w:pPr>
              <w:spacing w:after="0"/>
            </w:pPr>
            <w:r/>
            <w:r>
              <w:rPr>
                <w:b w:val="0"/>
                <w:sz w:val="16"/>
              </w:rPr>
              <w:t>POST /api/forms/requests/:id/submit</w:t>
            </w:r>
          </w:p>
        </w:tc>
      </w:tr>
      <w:tr>
        <w:tc>
          <w:tcPr>
            <w:tcW w:type="dxa" w:w="1944"/>
            <w:vAlign w:val="center"/>
          </w:tcPr>
          <w:p>
            <w:pPr>
              <w:spacing w:after="0"/>
            </w:pPr>
            <w:r/>
            <w:r>
              <w:rPr>
                <w:b w:val="0"/>
                <w:sz w:val="16"/>
              </w:rPr>
              <w:t>Mapping service</w:t>
            </w:r>
          </w:p>
        </w:tc>
        <w:tc>
          <w:tcPr>
            <w:tcW w:type="dxa" w:w="3816"/>
            <w:vAlign w:val="center"/>
          </w:tcPr>
          <w:p>
            <w:pPr>
              <w:spacing w:after="0"/>
            </w:pPr>
            <w:r/>
            <w:r>
              <w:rPr>
                <w:b w:val="0"/>
                <w:sz w:val="16"/>
              </w:rPr>
              <w:t>Apply approved mappings to target workflow with audit</w:t>
            </w:r>
          </w:p>
        </w:tc>
        <w:tc>
          <w:tcPr>
            <w:tcW w:type="dxa" w:w="4320"/>
            <w:vAlign w:val="center"/>
          </w:tcPr>
          <w:p>
            <w:pPr>
              <w:spacing w:after="0"/>
            </w:pPr>
            <w:r/>
            <w:r>
              <w:rPr>
                <w:b w:val="0"/>
                <w:sz w:val="16"/>
              </w:rPr>
              <w:t>applyFormMappings(responseId)</w:t>
            </w:r>
          </w:p>
        </w:tc>
      </w:tr>
      <w:tr>
        <w:tc>
          <w:tcPr>
            <w:tcW w:type="dxa" w:w="1944"/>
            <w:vAlign w:val="center"/>
          </w:tcPr>
          <w:p>
            <w:pPr>
              <w:spacing w:after="0"/>
            </w:pPr>
            <w:r/>
            <w:r>
              <w:rPr>
                <w:b w:val="0"/>
                <w:sz w:val="16"/>
              </w:rPr>
              <w:t>Signature service</w:t>
            </w:r>
          </w:p>
        </w:tc>
        <w:tc>
          <w:tcPr>
            <w:tcW w:type="dxa" w:w="3816"/>
            <w:vAlign w:val="center"/>
          </w:tcPr>
          <w:p>
            <w:pPr>
              <w:spacing w:after="0"/>
            </w:pPr>
            <w:r/>
            <w:r>
              <w:rPr>
                <w:b w:val="0"/>
                <w:sz w:val="16"/>
              </w:rPr>
              <w:t>Issue, sign, revoke, audit signature requests</w:t>
            </w:r>
          </w:p>
        </w:tc>
        <w:tc>
          <w:tcPr>
            <w:tcW w:type="dxa" w:w="4320"/>
            <w:vAlign w:val="center"/>
          </w:tcPr>
          <w:p>
            <w:pPr>
              <w:spacing w:after="0"/>
            </w:pPr>
            <w:r/>
            <w:r>
              <w:rPr>
                <w:b w:val="0"/>
                <w:sz w:val="16"/>
              </w:rPr>
              <w:t>POST /api/signatures/requests</w:t>
            </w:r>
          </w:p>
        </w:tc>
      </w:tr>
      <w:tr>
        <w:tc>
          <w:tcPr>
            <w:tcW w:type="dxa" w:w="1944"/>
            <w:vAlign w:val="center"/>
          </w:tcPr>
          <w:p>
            <w:pPr>
              <w:spacing w:after="0"/>
            </w:pPr>
            <w:r/>
            <w:r>
              <w:rPr>
                <w:b w:val="0"/>
                <w:sz w:val="16"/>
              </w:rPr>
              <w:t>Public-link service</w:t>
            </w:r>
          </w:p>
        </w:tc>
        <w:tc>
          <w:tcPr>
            <w:tcW w:type="dxa" w:w="3816"/>
            <w:vAlign w:val="center"/>
          </w:tcPr>
          <w:p>
            <w:pPr>
              <w:spacing w:after="0"/>
            </w:pPr>
            <w:r/>
            <w:r>
              <w:rPr>
                <w:b w:val="0"/>
                <w:sz w:val="16"/>
              </w:rPr>
              <w:t>Issue tokenized links with expiry/access rules</w:t>
            </w:r>
          </w:p>
        </w:tc>
        <w:tc>
          <w:tcPr>
            <w:tcW w:type="dxa" w:w="4320"/>
            <w:vAlign w:val="center"/>
          </w:tcPr>
          <w:p>
            <w:pPr>
              <w:spacing w:after="0"/>
            </w:pPr>
            <w:r/>
            <w:r>
              <w:rPr>
                <w:b w:val="0"/>
                <w:sz w:val="16"/>
              </w:rPr>
              <w:t>createPublicFormLink()</w:t>
            </w:r>
          </w:p>
        </w:tc>
      </w:tr>
    </w:tbl>
    <w:p/>
    <w:p>
      <w:pPr>
        <w:pStyle w:val="Heading2"/>
      </w:pPr>
      <w:r>
        <w:t>Business rules and guardrails</w:t>
      </w:r>
    </w:p>
    <w:p>
      <w:pPr>
        <w:pStyle w:val="ListBullet"/>
      </w:pPr>
      <w:r>
        <w:t>Published form versions are immutable. Editing a template creates a new version; old requests continue to use their issued version.</w:t>
      </w:r>
    </w:p>
    <w:p>
      <w:pPr>
        <w:pStyle w:val="ListBullet"/>
      </w:pPr>
      <w:r>
        <w:t>Every request has an access mode, recipient/context, expiration policy, status, and audit trail.</w:t>
      </w:r>
    </w:p>
    <w:p>
      <w:pPr>
        <w:pStyle w:val="ListBullet"/>
      </w:pPr>
      <w:r>
        <w:t>Public links must be unguessable, scoped, revocable, and rate-limited. They must not expose unrelated tenant data.</w:t>
      </w:r>
    </w:p>
    <w:p>
      <w:pPr>
        <w:pStyle w:val="ListBullet"/>
      </w:pPr>
      <w:r>
        <w:t>Form answers are validated against the issued form version, not whatever the latest template happens to be.</w:t>
      </w:r>
    </w:p>
    <w:p>
      <w:pPr>
        <w:pStyle w:val="ListBullet"/>
      </w:pPr>
      <w:r>
        <w:t>Field mappings must be explicit, reviewed, and logged. Do not silently overwrite customer/order data with ambiguous questionnaire answers.</w:t>
      </w:r>
    </w:p>
    <w:p>
      <w:pPr>
        <w:pStyle w:val="ListBullet"/>
      </w:pPr>
      <w:r>
        <w:t>Signatures must store evidence required by the business policy: signer identity context, timestamp, version/document hash/reference, and request state.</w:t>
      </w:r>
    </w:p>
    <w:p>
      <w:pPr>
        <w:pStyle w:val="ListBullet"/>
      </w:pPr>
      <w:r>
        <w:t>Submissions, reminders, expirations, signature completion, and mapping actions should create activity events and optionally notifications.</w:t>
      </w:r>
    </w:p>
    <w:p>
      <w:pPr>
        <w:pStyle w:val="Heading2"/>
      </w:pPr>
      <w:r>
        <w:t>Required build sequence</w:t>
      </w:r>
    </w:p>
    <w:p>
      <w:pPr>
        <w:pStyle w:val="ListNumber"/>
      </w:pPr>
      <w:r>
        <w:t>Inventory existing questionnaire routes, public form routes, signature components, document-sign flows, customer portal forms, and webstore owner onboarding forms.</w:t>
      </w:r>
    </w:p>
    <w:p>
      <w:pPr>
        <w:pStyle w:val="ListNumber"/>
      </w:pPr>
      <w:r>
        <w:t>Create versioned FormTemplate and FormRequest/Response model before adding a form builder UI.</w:t>
      </w:r>
    </w:p>
    <w:p>
      <w:pPr>
        <w:pStyle w:val="ListNumber"/>
      </w:pPr>
      <w:r>
        <w:t>Implement renderer/validator for the first approved field types: text, textarea, select, multiselect, checkbox, date, file upload, signature acknowledgment.</w:t>
      </w:r>
    </w:p>
    <w:p>
      <w:pPr>
        <w:pStyle w:val="ListNumber"/>
      </w:pPr>
      <w:r>
        <w:t>Implement tokenized request delivery and portal-authenticated request modes.</w:t>
      </w:r>
    </w:p>
    <w:p>
      <w:pPr>
        <w:pStyle w:val="ListNumber"/>
      </w:pPr>
      <w:r>
        <w:t>Implement mapping service only for clear initial targets such as Customer contact fields and Webstore setup fields.</w:t>
      </w:r>
    </w:p>
    <w:p>
      <w:pPr>
        <w:pStyle w:val="ListNumber"/>
      </w:pPr>
      <w:r>
        <w:t>Build minimal builder, request manager, response viewer, and signature request manager; defer fancy conditional logic until base behavior is stable.</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Form template changes after request is sent</w:t>
            </w:r>
          </w:p>
        </w:tc>
        <w:tc>
          <w:tcPr>
            <w:tcW w:type="dxa" w:w="5472"/>
            <w:vAlign w:val="center"/>
          </w:tcPr>
          <w:p>
            <w:pPr>
              <w:spacing w:after="0"/>
            </w:pPr>
            <w:r/>
            <w:r>
              <w:rPr>
                <w:b w:val="0"/>
                <w:sz w:val="16"/>
              </w:rPr>
              <w:t>Old request renders original version; new requests use newer version.</w:t>
            </w:r>
          </w:p>
        </w:tc>
      </w:tr>
      <w:tr>
        <w:tc>
          <w:tcPr>
            <w:tcW w:type="dxa" w:w="4608"/>
            <w:vAlign w:val="center"/>
          </w:tcPr>
          <w:p>
            <w:pPr>
              <w:spacing w:after="0"/>
            </w:pPr>
            <w:r/>
            <w:r>
              <w:rPr>
                <w:b w:val="0"/>
                <w:sz w:val="16"/>
              </w:rPr>
              <w:t>Public token guessed/expired</w:t>
            </w:r>
          </w:p>
        </w:tc>
        <w:tc>
          <w:tcPr>
            <w:tcW w:type="dxa" w:w="5472"/>
            <w:vAlign w:val="center"/>
          </w:tcPr>
          <w:p>
            <w:pPr>
              <w:spacing w:after="0"/>
            </w:pPr>
            <w:r/>
            <w:r>
              <w:rPr>
                <w:b w:val="0"/>
                <w:sz w:val="16"/>
              </w:rPr>
              <w:t>Request is inaccessible and no response data leaks.</w:t>
            </w:r>
          </w:p>
        </w:tc>
      </w:tr>
      <w:tr>
        <w:tc>
          <w:tcPr>
            <w:tcW w:type="dxa" w:w="4608"/>
            <w:vAlign w:val="center"/>
          </w:tcPr>
          <w:p>
            <w:pPr>
              <w:spacing w:after="0"/>
            </w:pPr>
            <w:r/>
            <w:r>
              <w:rPr>
                <w:b w:val="0"/>
                <w:sz w:val="16"/>
              </w:rPr>
              <w:t>Customer completes intake form</w:t>
            </w:r>
          </w:p>
        </w:tc>
        <w:tc>
          <w:tcPr>
            <w:tcW w:type="dxa" w:w="5472"/>
            <w:vAlign w:val="center"/>
          </w:tcPr>
          <w:p>
            <w:pPr>
              <w:spacing w:after="0"/>
            </w:pPr>
            <w:r/>
            <w:r>
              <w:rPr>
                <w:b w:val="0"/>
                <w:sz w:val="16"/>
              </w:rPr>
              <w:t>Response is immutable, activity logged, and approved mappings update only intended fields.</w:t>
            </w:r>
          </w:p>
        </w:tc>
      </w:tr>
      <w:tr>
        <w:tc>
          <w:tcPr>
            <w:tcW w:type="dxa" w:w="4608"/>
            <w:vAlign w:val="center"/>
          </w:tcPr>
          <w:p>
            <w:pPr>
              <w:spacing w:after="0"/>
            </w:pPr>
            <w:r/>
            <w:r>
              <w:rPr>
                <w:b w:val="0"/>
                <w:sz w:val="16"/>
              </w:rPr>
              <w:t>Signature request completed</w:t>
            </w:r>
          </w:p>
        </w:tc>
        <w:tc>
          <w:tcPr>
            <w:tcW w:type="dxa" w:w="5472"/>
            <w:vAlign w:val="center"/>
          </w:tcPr>
          <w:p>
            <w:pPr>
              <w:spacing w:after="0"/>
            </w:pPr>
            <w:r/>
            <w:r>
              <w:rPr>
                <w:b w:val="0"/>
                <w:sz w:val="16"/>
              </w:rPr>
              <w:t>Status, signer evidence, timestamp, and linked document/form version are recorded.</w:t>
            </w:r>
          </w:p>
        </w:tc>
      </w:tr>
      <w:tr>
        <w:tc>
          <w:tcPr>
            <w:tcW w:type="dxa" w:w="4608"/>
            <w:vAlign w:val="center"/>
          </w:tcPr>
          <w:p>
            <w:pPr>
              <w:spacing w:after="0"/>
            </w:pPr>
            <w:r/>
            <w:r>
              <w:rPr>
                <w:b w:val="0"/>
                <w:sz w:val="16"/>
              </w:rPr>
              <w:t>Required answer missing</w:t>
            </w:r>
          </w:p>
        </w:tc>
        <w:tc>
          <w:tcPr>
            <w:tcW w:type="dxa" w:w="5472"/>
            <w:vAlign w:val="center"/>
          </w:tcPr>
          <w:p>
            <w:pPr>
              <w:spacing w:after="0"/>
            </w:pPr>
            <w:r/>
            <w:r>
              <w:rPr>
                <w:b w:val="0"/>
                <w:sz w:val="16"/>
              </w:rPr>
              <w:t>Submission blocked with clear field-level error.</w:t>
            </w:r>
          </w:p>
        </w:tc>
      </w:tr>
      <w:tr>
        <w:tc>
          <w:tcPr>
            <w:tcW w:type="dxa" w:w="4608"/>
            <w:vAlign w:val="center"/>
          </w:tcPr>
          <w:p>
            <w:pPr>
              <w:spacing w:after="0"/>
            </w:pPr>
            <w:r/>
            <w:r>
              <w:rPr>
                <w:b w:val="0"/>
                <w:sz w:val="16"/>
              </w:rPr>
              <w:t>Staff attempts to view another tenant form response</w:t>
            </w:r>
          </w:p>
        </w:tc>
        <w:tc>
          <w:tcPr>
            <w:tcW w:type="dxa" w:w="5472"/>
            <w:vAlign w:val="center"/>
          </w:tcPr>
          <w:p>
            <w:pPr>
              <w:spacing w:after="0"/>
            </w:pPr>
            <w:r/>
            <w:r>
              <w:rPr>
                <w:b w:val="0"/>
                <w:sz w:val="16"/>
              </w:rPr>
              <w:t>Backend scope blocks it.</w:t>
            </w:r>
          </w:p>
        </w:tc>
      </w:tr>
    </w:tbl>
    <w:p/>
    <w:p>
      <w:pPr>
        <w:pStyle w:val="Heading2"/>
      </w:pPr>
      <w:r>
        <w:t>Migration / legacy cleanup</w:t>
      </w:r>
    </w:p>
    <w:p>
      <w:pPr>
        <w:pStyle w:val="ListBullet"/>
      </w:pPr>
      <w:r>
        <w:t>Consolidate Questionnaire, public questionnaire, public signature, and workflow template concepts into a governed forms/signatures architecture.</w:t>
      </w:r>
    </w:p>
    <w:p>
      <w:pPr>
        <w:pStyle w:val="ListBullet"/>
      </w:pPr>
      <w:r>
        <w:t>Keep Document Library as the discoverability/attachment layer; Forms owns questionnaires, requests, responses, and signature states.</w:t>
      </w:r>
    </w:p>
    <w:p>
      <w:pPr>
        <w:pStyle w:val="ListBullet"/>
      </w:pPr>
      <w:r>
        <w:t>Preserve current public routes only with redirects/compatibility until all issued links have a migration/expiration plan.</w:t>
      </w:r>
    </w:p>
    <w:p>
      <w:pPr>
        <w:pStyle w:val="Heading2"/>
      </w:pPr>
      <w:r>
        <w:t>Important implementation notes</w:t>
      </w:r>
    </w:p>
    <w:p>
      <w:pPr>
        <w:pStyle w:val="ListBullet"/>
      </w:pPr>
      <w:r>
        <w:t>Do not build a giant Typeform clone during Phase 1. Build the repeatable capabilities SignGuy AI actually needs first.</w:t>
      </w:r>
    </w:p>
    <w:p>
      <w:pPr>
        <w:pStyle w:val="ListBullet"/>
      </w:pPr>
      <w:r>
        <w:t>AI summarization of questionnaires can be added later as an AI consumer of FormResponse, not built into the form engine.</w:t>
      </w:r>
    </w:p>
    <w:p>
      <w:r>
        <w:br w:type="page"/>
      </w:r>
    </w:p>
    <w:p>
      <w:pPr>
        <w:pStyle w:val="Heading1"/>
      </w:pPr>
      <w:r>
        <w:t>9. Global Search</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Objective</w:t>
            </w:r>
          </w:p>
          <w:p>
            <w:pPr>
              <w:spacing w:after="20"/>
            </w:pPr>
            <w:r>
              <w:t>Provide permission-aware discovery across the app after authoritative records, tenant filters, portal scopes, and shared indexing rules are stable.</w:t>
            </w:r>
          </w:p>
        </w:tc>
      </w:tr>
    </w:tbl>
    <w:p/>
    <w:p>
      <w:pPr>
        <w:pStyle w:val="Heading2"/>
      </w:pPr>
      <w:r>
        <w:t>Scope and boundaries</w:t>
      </w:r>
    </w:p>
    <w:p>
      <w:pPr>
        <w:pStyle w:val="ListBullet"/>
      </w:pPr>
      <w:r>
        <w:t>Own search query normalization, indexed document shape, cross-module result ranking, tenant/portal filtering, result rendering contract, and reindex strategy.</w:t>
      </w:r>
    </w:p>
    <w:p>
      <w:pPr>
        <w:pStyle w:val="ListBullet"/>
      </w:pPr>
      <w:r>
        <w:t>Do not own business records or create duplicate authoritative copies. Search documents are projections from module-owned data.</w:t>
      </w:r>
    </w:p>
    <w:p>
      <w:pPr>
        <w:pStyle w:val="ListBullet"/>
      </w:pPr>
      <w:r>
        <w:t>Support internal search first. Customer, employee, owner, and public search each require intentionally smaller scopes.</w:t>
      </w:r>
    </w:p>
    <w:p>
      <w:pPr>
        <w:pStyle w:val="ListBullet"/>
      </w:pPr>
      <w:r>
        <w:t>Defer broad semantic/AI search until keyword search and access filtering are correct.</w:t>
      </w:r>
    </w:p>
    <w:p>
      <w:pPr>
        <w:pStyle w:val="Heading2"/>
      </w:pPr>
      <w:r>
        <w:t>Canonical records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23B63"/>
            <w:vAlign w:val="center"/>
          </w:tcPr>
          <w:p>
            <w:pPr>
              <w:spacing w:after="0"/>
            </w:pPr>
            <w:r/>
            <w:r>
              <w:rPr>
                <w:b/>
                <w:color w:val="FFFFFF"/>
                <w:sz w:val="16"/>
              </w:rPr>
              <w:t>Record</w:t>
            </w:r>
          </w:p>
        </w:tc>
        <w:tc>
          <w:tcPr>
            <w:tcW w:type="dxa" w:w="3672"/>
            <w:shd w:fill="123B63"/>
            <w:vAlign w:val="center"/>
          </w:tcPr>
          <w:p>
            <w:pPr>
              <w:spacing w:after="0"/>
            </w:pPr>
            <w:r/>
            <w:r>
              <w:rPr>
                <w:b/>
                <w:color w:val="FFFFFF"/>
                <w:sz w:val="16"/>
              </w:rPr>
              <w:t>Owner / purpose</w:t>
            </w:r>
          </w:p>
        </w:tc>
        <w:tc>
          <w:tcPr>
            <w:tcW w:type="dxa" w:w="4320"/>
            <w:shd w:fill="123B63"/>
            <w:vAlign w:val="center"/>
          </w:tcPr>
          <w:p>
            <w:pPr>
              <w:spacing w:after="0"/>
            </w:pPr>
            <w:r/>
            <w:r>
              <w:rPr>
                <w:b/>
                <w:color w:val="FFFFFF"/>
                <w:sz w:val="16"/>
              </w:rPr>
              <w:t>Minimum required fields</w:t>
            </w:r>
          </w:p>
        </w:tc>
      </w:tr>
      <w:tr>
        <w:tc>
          <w:tcPr>
            <w:tcW w:type="dxa" w:w="2088"/>
            <w:vAlign w:val="center"/>
          </w:tcPr>
          <w:p>
            <w:pPr>
              <w:spacing w:after="0"/>
            </w:pPr>
            <w:r/>
            <w:r>
              <w:rPr>
                <w:b w:val="0"/>
                <w:sz w:val="16"/>
              </w:rPr>
              <w:t>SearchDocument</w:t>
            </w:r>
          </w:p>
        </w:tc>
        <w:tc>
          <w:tcPr>
            <w:tcW w:type="dxa" w:w="3672"/>
            <w:vAlign w:val="center"/>
          </w:tcPr>
          <w:p>
            <w:pPr>
              <w:spacing w:after="0"/>
            </w:pPr>
            <w:r/>
            <w:r>
              <w:rPr>
                <w:b w:val="0"/>
                <w:sz w:val="16"/>
              </w:rPr>
              <w:t>Normalized searchable projection</w:t>
            </w:r>
          </w:p>
        </w:tc>
        <w:tc>
          <w:tcPr>
            <w:tcW w:type="dxa" w:w="4320"/>
            <w:vAlign w:val="center"/>
          </w:tcPr>
          <w:p>
            <w:pPr>
              <w:spacing w:after="0"/>
            </w:pPr>
            <w:r/>
            <w:r>
              <w:rPr>
                <w:b w:val="0"/>
                <w:sz w:val="16"/>
              </w:rPr>
              <w:t>id, tenant_id, entity_type, entity_id, title, tokens, visibility, updated_at</w:t>
            </w:r>
          </w:p>
        </w:tc>
      </w:tr>
      <w:tr>
        <w:tc>
          <w:tcPr>
            <w:tcW w:type="dxa" w:w="2088"/>
            <w:vAlign w:val="center"/>
          </w:tcPr>
          <w:p>
            <w:pPr>
              <w:spacing w:after="0"/>
            </w:pPr>
            <w:r/>
            <w:r>
              <w:rPr>
                <w:b w:val="0"/>
                <w:sz w:val="16"/>
              </w:rPr>
              <w:t>SearchIndexJob</w:t>
            </w:r>
          </w:p>
        </w:tc>
        <w:tc>
          <w:tcPr>
            <w:tcW w:type="dxa" w:w="3672"/>
            <w:vAlign w:val="center"/>
          </w:tcPr>
          <w:p>
            <w:pPr>
              <w:spacing w:after="0"/>
            </w:pPr>
            <w:r/>
            <w:r>
              <w:rPr>
                <w:b w:val="0"/>
                <w:sz w:val="16"/>
              </w:rPr>
              <w:t>Async indexing/reindex tracking</w:t>
            </w:r>
          </w:p>
        </w:tc>
        <w:tc>
          <w:tcPr>
            <w:tcW w:type="dxa" w:w="4320"/>
            <w:vAlign w:val="center"/>
          </w:tcPr>
          <w:p>
            <w:pPr>
              <w:spacing w:after="0"/>
            </w:pPr>
            <w:r/>
            <w:r>
              <w:rPr>
                <w:b w:val="0"/>
                <w:sz w:val="16"/>
              </w:rPr>
              <w:t>id, source event, entity, status, attempts</w:t>
            </w:r>
          </w:p>
        </w:tc>
      </w:tr>
      <w:tr>
        <w:tc>
          <w:tcPr>
            <w:tcW w:type="dxa" w:w="2088"/>
            <w:vAlign w:val="center"/>
          </w:tcPr>
          <w:p>
            <w:pPr>
              <w:spacing w:after="0"/>
            </w:pPr>
            <w:r/>
            <w:r>
              <w:rPr>
                <w:b w:val="0"/>
                <w:sz w:val="16"/>
              </w:rPr>
              <w:t>SearchQueryLog</w:t>
            </w:r>
          </w:p>
        </w:tc>
        <w:tc>
          <w:tcPr>
            <w:tcW w:type="dxa" w:w="3672"/>
            <w:vAlign w:val="center"/>
          </w:tcPr>
          <w:p>
            <w:pPr>
              <w:spacing w:after="0"/>
            </w:pPr>
            <w:r/>
            <w:r>
              <w:rPr>
                <w:b w:val="0"/>
                <w:sz w:val="16"/>
              </w:rPr>
              <w:t>Optional privacy-safe diagnostics</w:t>
            </w:r>
          </w:p>
        </w:tc>
        <w:tc>
          <w:tcPr>
            <w:tcW w:type="dxa" w:w="4320"/>
            <w:vAlign w:val="center"/>
          </w:tcPr>
          <w:p>
            <w:pPr>
              <w:spacing w:after="0"/>
            </w:pPr>
            <w:r/>
            <w:r>
              <w:rPr>
                <w:b w:val="0"/>
                <w:sz w:val="16"/>
              </w:rPr>
              <w:t>tenant_id, actor type, query hash/summary, result count, timestamp</w:t>
            </w:r>
          </w:p>
        </w:tc>
      </w:tr>
      <w:tr>
        <w:tc>
          <w:tcPr>
            <w:tcW w:type="dxa" w:w="2088"/>
            <w:vAlign w:val="center"/>
          </w:tcPr>
          <w:p>
            <w:pPr>
              <w:spacing w:after="0"/>
            </w:pPr>
            <w:r/>
            <w:r>
              <w:rPr>
                <w:b w:val="0"/>
                <w:sz w:val="16"/>
              </w:rPr>
              <w:t>SearchScope</w:t>
            </w:r>
          </w:p>
        </w:tc>
        <w:tc>
          <w:tcPr>
            <w:tcW w:type="dxa" w:w="3672"/>
            <w:vAlign w:val="center"/>
          </w:tcPr>
          <w:p>
            <w:pPr>
              <w:spacing w:after="0"/>
            </w:pPr>
            <w:r/>
            <w:r>
              <w:rPr>
                <w:b w:val="0"/>
                <w:sz w:val="16"/>
              </w:rPr>
              <w:t>Allowed entity/visibility definitions</w:t>
            </w:r>
          </w:p>
        </w:tc>
        <w:tc>
          <w:tcPr>
            <w:tcW w:type="dxa" w:w="4320"/>
            <w:vAlign w:val="center"/>
          </w:tcPr>
          <w:p>
            <w:pPr>
              <w:spacing w:after="0"/>
            </w:pPr>
            <w:r/>
            <w:r>
              <w:rPr>
                <w:b w:val="0"/>
                <w:sz w:val="16"/>
              </w:rPr>
              <w:t>actor zone, permissions, entity types, fields</w:t>
            </w:r>
          </w:p>
        </w:tc>
      </w:tr>
    </w:tbl>
    <w:p/>
    <w:p>
      <w:pPr>
        <w:pStyle w:val="Heading2"/>
      </w:pPr>
      <w:r>
        <w:t>Routes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123B63"/>
            <w:vAlign w:val="center"/>
          </w:tcPr>
          <w:p>
            <w:pPr>
              <w:spacing w:after="0"/>
            </w:pPr>
            <w:r/>
            <w:r>
              <w:rPr>
                <w:b/>
                <w:color w:val="FFFFFF"/>
                <w:sz w:val="16"/>
              </w:rPr>
              <w:t>Zone</w:t>
            </w:r>
          </w:p>
        </w:tc>
        <w:tc>
          <w:tcPr>
            <w:tcW w:type="dxa" w:w="3456"/>
            <w:shd w:fill="123B63"/>
            <w:vAlign w:val="center"/>
          </w:tcPr>
          <w:p>
            <w:pPr>
              <w:spacing w:after="0"/>
            </w:pPr>
            <w:r/>
            <w:r>
              <w:rPr>
                <w:b/>
                <w:color w:val="FFFFFF"/>
                <w:sz w:val="16"/>
              </w:rPr>
              <w:t>Canonical routes</w:t>
            </w:r>
          </w:p>
        </w:tc>
        <w:tc>
          <w:tcPr>
            <w:tcW w:type="dxa" w:w="5040"/>
            <w:shd w:fill="123B63"/>
            <w:vAlign w:val="center"/>
          </w:tcPr>
          <w:p>
            <w:pPr>
              <w:spacing w:after="0"/>
            </w:pPr>
            <w:r/>
            <w:r>
              <w:rPr>
                <w:b/>
                <w:color w:val="FFFFFF"/>
                <w:sz w:val="16"/>
              </w:rPr>
              <w:t>Notes</w:t>
            </w:r>
          </w:p>
        </w:tc>
      </w:tr>
      <w:tr>
        <w:tc>
          <w:tcPr>
            <w:tcW w:type="dxa" w:w="1584"/>
            <w:vAlign w:val="center"/>
          </w:tcPr>
          <w:p>
            <w:pPr>
              <w:spacing w:after="0"/>
            </w:pPr>
            <w:r/>
            <w:r>
              <w:rPr>
                <w:b w:val="0"/>
                <w:sz w:val="16"/>
              </w:rPr>
              <w:t>Global internal search</w:t>
            </w:r>
          </w:p>
        </w:tc>
        <w:tc>
          <w:tcPr>
            <w:tcW w:type="dxa" w:w="3456"/>
            <w:vAlign w:val="center"/>
          </w:tcPr>
          <w:p>
            <w:pPr>
              <w:spacing w:after="0"/>
            </w:pPr>
            <w:r/>
            <w:r>
              <w:rPr>
                <w:b w:val="0"/>
                <w:sz w:val="16"/>
              </w:rPr>
              <w:t>Top bar / command palette</w:t>
            </w:r>
          </w:p>
        </w:tc>
        <w:tc>
          <w:tcPr>
            <w:tcW w:type="dxa" w:w="5040"/>
            <w:vAlign w:val="center"/>
          </w:tcPr>
          <w:p>
            <w:pPr>
              <w:spacing w:after="0"/>
            </w:pPr>
            <w:r/>
            <w:r>
              <w:rPr>
                <w:b w:val="0"/>
                <w:sz w:val="16"/>
              </w:rPr>
              <w:t>Search Customers, Quotes, Orders, Documents, Webstores, tasks later.</w:t>
            </w:r>
          </w:p>
        </w:tc>
      </w:tr>
      <w:tr>
        <w:tc>
          <w:tcPr>
            <w:tcW w:type="dxa" w:w="1584"/>
            <w:vAlign w:val="center"/>
          </w:tcPr>
          <w:p>
            <w:pPr>
              <w:spacing w:after="0"/>
            </w:pPr>
            <w:r/>
            <w:r>
              <w:rPr>
                <w:b w:val="0"/>
                <w:sz w:val="16"/>
              </w:rPr>
              <w:t>Customer portal search</w:t>
            </w:r>
          </w:p>
        </w:tc>
        <w:tc>
          <w:tcPr>
            <w:tcW w:type="dxa" w:w="3456"/>
            <w:vAlign w:val="center"/>
          </w:tcPr>
          <w:p>
            <w:pPr>
              <w:spacing w:after="0"/>
            </w:pPr>
            <w:r/>
            <w:r>
              <w:rPr>
                <w:b w:val="0"/>
                <w:sz w:val="16"/>
              </w:rPr>
              <w:t>Only if useful and approved</w:t>
            </w:r>
          </w:p>
        </w:tc>
        <w:tc>
          <w:tcPr>
            <w:tcW w:type="dxa" w:w="5040"/>
            <w:vAlign w:val="center"/>
          </w:tcPr>
          <w:p>
            <w:pPr>
              <w:spacing w:after="0"/>
            </w:pPr>
            <w:r/>
            <w:r>
              <w:rPr>
                <w:b w:val="0"/>
                <w:sz w:val="16"/>
              </w:rPr>
              <w:t>Own documents/orders/messages only.</w:t>
            </w:r>
          </w:p>
        </w:tc>
      </w:tr>
      <w:tr>
        <w:tc>
          <w:tcPr>
            <w:tcW w:type="dxa" w:w="1584"/>
            <w:vAlign w:val="center"/>
          </w:tcPr>
          <w:p>
            <w:pPr>
              <w:spacing w:after="0"/>
            </w:pPr>
            <w:r/>
            <w:r>
              <w:rPr>
                <w:b w:val="0"/>
                <w:sz w:val="16"/>
              </w:rPr>
              <w:t>Employee portal search</w:t>
            </w:r>
          </w:p>
        </w:tc>
        <w:tc>
          <w:tcPr>
            <w:tcW w:type="dxa" w:w="3456"/>
            <w:vAlign w:val="center"/>
          </w:tcPr>
          <w:p>
            <w:pPr>
              <w:spacing w:after="0"/>
            </w:pPr>
            <w:r/>
            <w:r>
              <w:rPr>
                <w:b w:val="0"/>
                <w:sz w:val="16"/>
              </w:rPr>
              <w:t>Assigned work/tasks only if approved</w:t>
            </w:r>
          </w:p>
        </w:tc>
        <w:tc>
          <w:tcPr>
            <w:tcW w:type="dxa" w:w="5040"/>
            <w:vAlign w:val="center"/>
          </w:tcPr>
          <w:p>
            <w:pPr>
              <w:spacing w:after="0"/>
            </w:pPr>
            <w:r/>
            <w:r>
              <w:rPr>
                <w:b w:val="0"/>
                <w:sz w:val="16"/>
              </w:rPr>
              <w:t>Avoid broad tenant search.</w:t>
            </w:r>
          </w:p>
        </w:tc>
      </w:tr>
      <w:tr>
        <w:tc>
          <w:tcPr>
            <w:tcW w:type="dxa" w:w="1584"/>
            <w:vAlign w:val="center"/>
          </w:tcPr>
          <w:p>
            <w:pPr>
              <w:spacing w:after="0"/>
            </w:pPr>
            <w:r/>
            <w:r>
              <w:rPr>
                <w:b w:val="0"/>
                <w:sz w:val="16"/>
              </w:rPr>
              <w:t>Public storefront</w:t>
            </w:r>
          </w:p>
        </w:tc>
        <w:tc>
          <w:tcPr>
            <w:tcW w:type="dxa" w:w="3456"/>
            <w:vAlign w:val="center"/>
          </w:tcPr>
          <w:p>
            <w:pPr>
              <w:spacing w:after="0"/>
            </w:pPr>
            <w:r/>
            <w:r>
              <w:rPr>
                <w:b w:val="0"/>
                <w:sz w:val="16"/>
              </w:rPr>
              <w:t>Product search belongs to storefront catalog, not global app search.</w:t>
            </w:r>
          </w:p>
        </w:tc>
        <w:tc>
          <w:tcPr>
            <w:tcW w:type="dxa" w:w="3456"/>
          </w:tcPr>
          <w:p/>
        </w:tc>
      </w:tr>
    </w:tbl>
    <w:p/>
    <w:p>
      <w:pPr>
        <w:pStyle w:val="Heading2"/>
      </w:pPr>
      <w:r>
        <w:t>API and service contract</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23B63"/>
            <w:vAlign w:val="center"/>
          </w:tcPr>
          <w:p>
            <w:pPr>
              <w:spacing w:after="0"/>
            </w:pPr>
            <w:r/>
            <w:r>
              <w:rPr>
                <w:b/>
                <w:color w:val="FFFFFF"/>
                <w:sz w:val="16"/>
              </w:rPr>
              <w:t>Area</w:t>
            </w:r>
          </w:p>
        </w:tc>
        <w:tc>
          <w:tcPr>
            <w:tcW w:type="dxa" w:w="3816"/>
            <w:shd w:fill="123B63"/>
            <w:vAlign w:val="center"/>
          </w:tcPr>
          <w:p>
            <w:pPr>
              <w:spacing w:after="0"/>
            </w:pPr>
            <w:r/>
            <w:r>
              <w:rPr>
                <w:b/>
                <w:color w:val="FFFFFF"/>
                <w:sz w:val="16"/>
              </w:rPr>
              <w:t>Canonical responsibility</w:t>
            </w:r>
          </w:p>
        </w:tc>
        <w:tc>
          <w:tcPr>
            <w:tcW w:type="dxa" w:w="4320"/>
            <w:shd w:fill="123B63"/>
            <w:vAlign w:val="center"/>
          </w:tcPr>
          <w:p>
            <w:pPr>
              <w:spacing w:after="0"/>
            </w:pPr>
            <w:r/>
            <w:r>
              <w:rPr>
                <w:b/>
                <w:color w:val="FFFFFF"/>
                <w:sz w:val="16"/>
              </w:rPr>
              <w:t>Examples</w:t>
            </w:r>
          </w:p>
        </w:tc>
      </w:tr>
      <w:tr>
        <w:tc>
          <w:tcPr>
            <w:tcW w:type="dxa" w:w="1944"/>
            <w:vAlign w:val="center"/>
          </w:tcPr>
          <w:p>
            <w:pPr>
              <w:spacing w:after="0"/>
            </w:pPr>
            <w:r/>
            <w:r>
              <w:rPr>
                <w:b w:val="0"/>
                <w:sz w:val="16"/>
              </w:rPr>
              <w:t>Search indexer</w:t>
            </w:r>
          </w:p>
        </w:tc>
        <w:tc>
          <w:tcPr>
            <w:tcW w:type="dxa" w:w="3816"/>
            <w:vAlign w:val="center"/>
          </w:tcPr>
          <w:p>
            <w:pPr>
              <w:spacing w:after="0"/>
            </w:pPr>
            <w:r/>
            <w:r>
              <w:rPr>
                <w:b w:val="0"/>
                <w:sz w:val="16"/>
              </w:rPr>
              <w:t>Build/update projection from module event</w:t>
            </w:r>
          </w:p>
        </w:tc>
        <w:tc>
          <w:tcPr>
            <w:tcW w:type="dxa" w:w="4320"/>
            <w:vAlign w:val="center"/>
          </w:tcPr>
          <w:p>
            <w:pPr>
              <w:spacing w:after="0"/>
            </w:pPr>
            <w:r/>
            <w:r>
              <w:rPr>
                <w:b w:val="0"/>
                <w:sz w:val="16"/>
              </w:rPr>
              <w:t>indexEntity(entityType, id)</w:t>
            </w:r>
          </w:p>
        </w:tc>
      </w:tr>
      <w:tr>
        <w:tc>
          <w:tcPr>
            <w:tcW w:type="dxa" w:w="1944"/>
            <w:vAlign w:val="center"/>
          </w:tcPr>
          <w:p>
            <w:pPr>
              <w:spacing w:after="0"/>
            </w:pPr>
            <w:r/>
            <w:r>
              <w:rPr>
                <w:b w:val="0"/>
                <w:sz w:val="16"/>
              </w:rPr>
              <w:t>Search query service</w:t>
            </w:r>
          </w:p>
        </w:tc>
        <w:tc>
          <w:tcPr>
            <w:tcW w:type="dxa" w:w="3816"/>
            <w:vAlign w:val="center"/>
          </w:tcPr>
          <w:p>
            <w:pPr>
              <w:spacing w:after="0"/>
            </w:pPr>
            <w:r/>
            <w:r>
              <w:rPr>
                <w:b w:val="0"/>
                <w:sz w:val="16"/>
              </w:rPr>
              <w:t>Resolve actor scope then query allowed projections</w:t>
            </w:r>
          </w:p>
        </w:tc>
        <w:tc>
          <w:tcPr>
            <w:tcW w:type="dxa" w:w="4320"/>
            <w:vAlign w:val="center"/>
          </w:tcPr>
          <w:p>
            <w:pPr>
              <w:spacing w:after="0"/>
            </w:pPr>
            <w:r/>
            <w:r>
              <w:rPr>
                <w:b w:val="0"/>
                <w:sz w:val="16"/>
              </w:rPr>
              <w:t>GET /api/search?q=...</w:t>
            </w:r>
          </w:p>
        </w:tc>
      </w:tr>
      <w:tr>
        <w:tc>
          <w:tcPr>
            <w:tcW w:type="dxa" w:w="1944"/>
            <w:vAlign w:val="center"/>
          </w:tcPr>
          <w:p>
            <w:pPr>
              <w:spacing w:after="0"/>
            </w:pPr>
            <w:r/>
            <w:r>
              <w:rPr>
                <w:b w:val="0"/>
                <w:sz w:val="16"/>
              </w:rPr>
              <w:t>Reindex worker</w:t>
            </w:r>
          </w:p>
        </w:tc>
        <w:tc>
          <w:tcPr>
            <w:tcW w:type="dxa" w:w="3816"/>
            <w:vAlign w:val="center"/>
          </w:tcPr>
          <w:p>
            <w:pPr>
              <w:spacing w:after="0"/>
            </w:pPr>
            <w:r/>
            <w:r>
              <w:rPr>
                <w:b w:val="0"/>
                <w:sz w:val="16"/>
              </w:rPr>
              <w:t>Repair stale or failed indexes</w:t>
            </w:r>
          </w:p>
        </w:tc>
        <w:tc>
          <w:tcPr>
            <w:tcW w:type="dxa" w:w="4320"/>
            <w:vAlign w:val="center"/>
          </w:tcPr>
          <w:p>
            <w:pPr>
              <w:spacing w:after="0"/>
            </w:pPr>
            <w:r/>
            <w:r>
              <w:rPr>
                <w:b w:val="0"/>
                <w:sz w:val="16"/>
              </w:rPr>
              <w:t>reindexTenant(tenantId)</w:t>
            </w:r>
          </w:p>
        </w:tc>
      </w:tr>
      <w:tr>
        <w:tc>
          <w:tcPr>
            <w:tcW w:type="dxa" w:w="1944"/>
            <w:vAlign w:val="center"/>
          </w:tcPr>
          <w:p>
            <w:pPr>
              <w:spacing w:after="0"/>
            </w:pPr>
            <w:r/>
            <w:r>
              <w:rPr>
                <w:b w:val="0"/>
                <w:sz w:val="16"/>
              </w:rPr>
              <w:t>Result formatter</w:t>
            </w:r>
          </w:p>
        </w:tc>
        <w:tc>
          <w:tcPr>
            <w:tcW w:type="dxa" w:w="3816"/>
            <w:vAlign w:val="center"/>
          </w:tcPr>
          <w:p>
            <w:pPr>
              <w:spacing w:after="0"/>
            </w:pPr>
            <w:r/>
            <w:r>
              <w:rPr>
                <w:b w:val="0"/>
                <w:sz w:val="16"/>
              </w:rPr>
              <w:t>Return entity type, title, subtitle, route, allowed snippet</w:t>
            </w:r>
          </w:p>
        </w:tc>
        <w:tc>
          <w:tcPr>
            <w:tcW w:type="dxa" w:w="4320"/>
            <w:vAlign w:val="center"/>
          </w:tcPr>
          <w:p>
            <w:pPr>
              <w:spacing w:after="0"/>
            </w:pPr>
            <w:r/>
            <w:r>
              <w:rPr>
                <w:b w:val="0"/>
                <w:sz w:val="16"/>
              </w:rPr>
              <w:t>formatSearchResult()</w:t>
            </w:r>
          </w:p>
        </w:tc>
      </w:tr>
    </w:tbl>
    <w:p/>
    <w:p>
      <w:pPr>
        <w:pStyle w:val="Heading2"/>
      </w:pPr>
      <w:r>
        <w:t>Business rules and guardrails</w:t>
      </w:r>
    </w:p>
    <w:p>
      <w:pPr>
        <w:pStyle w:val="ListBullet"/>
      </w:pPr>
      <w:r>
        <w:t>Search filters by tenant, access zone, permission, record relationship, and visibility before ranking results.</w:t>
      </w:r>
    </w:p>
    <w:p>
      <w:pPr>
        <w:pStyle w:val="ListBullet"/>
      </w:pPr>
      <w:r>
        <w:t>Never index sensitive secrets, payment details, payroll data, internal-only notes, or restricted file content into broadly available search.</w:t>
      </w:r>
    </w:p>
    <w:p>
      <w:pPr>
        <w:pStyle w:val="ListBullet"/>
      </w:pPr>
      <w:r>
        <w:t>Results must provide safe snippets. Do not leak hidden fields in match highlights.</w:t>
      </w:r>
    </w:p>
    <w:p>
      <w:pPr>
        <w:pStyle w:val="ListBullet"/>
      </w:pPr>
      <w:r>
        <w:t>Index updates should be triggered by canonical module events, not by UI components.</w:t>
      </w:r>
    </w:p>
    <w:p>
      <w:pPr>
        <w:pStyle w:val="ListBullet"/>
      </w:pPr>
      <w:r>
        <w:t>Search must have a defined stale-index/retry strategy and should degrade gracefully if indexing is delayed.</w:t>
      </w:r>
    </w:p>
    <w:p>
      <w:pPr>
        <w:pStyle w:val="ListBullet"/>
      </w:pPr>
      <w:r>
        <w:t>Initial scope should be Customers, Quotes, Orders, Order Items/Work Orders, Documents, and Webstores after those modules exist. Do not pretend empty future modules are searchable.</w:t>
      </w:r>
    </w:p>
    <w:p>
      <w:pPr>
        <w:pStyle w:val="Heading2"/>
      </w:pPr>
      <w:r>
        <w:t>Required build sequence</w:t>
      </w:r>
    </w:p>
    <w:p>
      <w:pPr>
        <w:pStyle w:val="ListNumber"/>
      </w:pPr>
      <w:r>
        <w:t>Define search projection contract and access scopes now, but implement full indexing only as source modules become authoritative.</w:t>
      </w:r>
    </w:p>
    <w:p>
      <w:pPr>
        <w:pStyle w:val="ListNumber"/>
      </w:pPr>
      <w:r>
        <w:t>Build search query service, actor-aware filters, result UI, and empty/error behavior.</w:t>
      </w:r>
    </w:p>
    <w:p>
      <w:pPr>
        <w:pStyle w:val="ListNumber"/>
      </w:pPr>
      <w:r>
        <w:t>Add module event subscribers for the first searchable entities as they are built in Phase 2/3.</w:t>
      </w:r>
    </w:p>
    <w:p>
      <w:pPr>
        <w:pStyle w:val="ListNumber"/>
      </w:pPr>
      <w:r>
        <w:t>Implement reindex tools for tenant/platform admin with audit logging.</w:t>
      </w:r>
    </w:p>
    <w:p>
      <w:pPr>
        <w:pStyle w:val="ListNumber"/>
      </w:pPr>
      <w:r>
        <w:t>Add lightweight search analytics only after privacy decisions are documented.</w:t>
      </w:r>
    </w:p>
    <w:p>
      <w:pPr>
        <w:pStyle w:val="Heading2"/>
      </w:pPr>
      <w:r>
        <w:t>Acceptance tests</w:t>
      </w:r>
    </w:p>
    <w:tbl>
      <w:tblPr>
        <w:tblStyle w:val="TableGrid"/>
        <w:tblW w:type="auto" w:w="0"/>
        <w:jc w:val="center"/>
        <w:tblLook w:firstColumn="1" w:firstRow="1" w:lastColumn="0" w:lastRow="0" w:noHBand="0" w:noVBand="1" w:val="04A0"/>
      </w:tblPr>
      <w:tblGrid>
        <w:gridCol w:w="5184"/>
        <w:gridCol w:w="5184"/>
      </w:tblGrid>
      <w:tr>
        <w:tc>
          <w:tcPr>
            <w:tcW w:type="dxa" w:w="4608"/>
            <w:shd w:fill="123B63"/>
            <w:vAlign w:val="center"/>
          </w:tcPr>
          <w:p>
            <w:pPr>
              <w:spacing w:after="0"/>
            </w:pPr>
            <w:r/>
            <w:r>
              <w:rPr>
                <w:b/>
                <w:color w:val="FFFFFF"/>
                <w:sz w:val="16"/>
              </w:rPr>
              <w:t>Test</w:t>
            </w:r>
          </w:p>
        </w:tc>
        <w:tc>
          <w:tcPr>
            <w:tcW w:type="dxa" w:w="5472"/>
            <w:shd w:fill="123B63"/>
            <w:vAlign w:val="center"/>
          </w:tcPr>
          <w:p>
            <w:pPr>
              <w:spacing w:after="0"/>
            </w:pPr>
            <w:r/>
            <w:r>
              <w:rPr>
                <w:b/>
                <w:color w:val="FFFFFF"/>
                <w:sz w:val="16"/>
              </w:rPr>
              <w:t>Expected result</w:t>
            </w:r>
          </w:p>
        </w:tc>
      </w:tr>
      <w:tr>
        <w:tc>
          <w:tcPr>
            <w:tcW w:type="dxa" w:w="4608"/>
            <w:vAlign w:val="center"/>
          </w:tcPr>
          <w:p>
            <w:pPr>
              <w:spacing w:after="0"/>
            </w:pPr>
            <w:r/>
            <w:r>
              <w:rPr>
                <w:b w:val="0"/>
                <w:sz w:val="16"/>
              </w:rPr>
              <w:t>Internal user searches customer name</w:t>
            </w:r>
          </w:p>
        </w:tc>
        <w:tc>
          <w:tcPr>
            <w:tcW w:type="dxa" w:w="5472"/>
            <w:vAlign w:val="center"/>
          </w:tcPr>
          <w:p>
            <w:pPr>
              <w:spacing w:after="0"/>
            </w:pPr>
            <w:r/>
            <w:r>
              <w:rPr>
                <w:b w:val="0"/>
                <w:sz w:val="16"/>
              </w:rPr>
              <w:t>Sees only tenant records they can read; route returns correct record.</w:t>
            </w:r>
          </w:p>
        </w:tc>
      </w:tr>
      <w:tr>
        <w:tc>
          <w:tcPr>
            <w:tcW w:type="dxa" w:w="4608"/>
            <w:vAlign w:val="center"/>
          </w:tcPr>
          <w:p>
            <w:pPr>
              <w:spacing w:after="0"/>
            </w:pPr>
            <w:r/>
            <w:r>
              <w:rPr>
                <w:b w:val="0"/>
                <w:sz w:val="16"/>
              </w:rPr>
              <w:t>Customer portal user searches another customer name</w:t>
            </w:r>
          </w:p>
        </w:tc>
        <w:tc>
          <w:tcPr>
            <w:tcW w:type="dxa" w:w="5472"/>
            <w:vAlign w:val="center"/>
          </w:tcPr>
          <w:p>
            <w:pPr>
              <w:spacing w:after="0"/>
            </w:pPr>
            <w:r/>
            <w:r>
              <w:rPr>
                <w:b w:val="0"/>
                <w:sz w:val="16"/>
              </w:rPr>
              <w:t>No result or leak.</w:t>
            </w:r>
          </w:p>
        </w:tc>
      </w:tr>
      <w:tr>
        <w:tc>
          <w:tcPr>
            <w:tcW w:type="dxa" w:w="4608"/>
            <w:vAlign w:val="center"/>
          </w:tcPr>
          <w:p>
            <w:pPr>
              <w:spacing w:after="0"/>
            </w:pPr>
            <w:r/>
            <w:r>
              <w:rPr>
                <w:b w:val="0"/>
                <w:sz w:val="16"/>
              </w:rPr>
              <w:t>Record renamed</w:t>
            </w:r>
          </w:p>
        </w:tc>
        <w:tc>
          <w:tcPr>
            <w:tcW w:type="dxa" w:w="5472"/>
            <w:vAlign w:val="center"/>
          </w:tcPr>
          <w:p>
            <w:pPr>
              <w:spacing w:after="0"/>
            </w:pPr>
            <w:r/>
            <w:r>
              <w:rPr>
                <w:b w:val="0"/>
                <w:sz w:val="16"/>
              </w:rPr>
              <w:t>Index updates through emitted event; old term eventually no longer returns stale record.</w:t>
            </w:r>
          </w:p>
        </w:tc>
      </w:tr>
      <w:tr>
        <w:tc>
          <w:tcPr>
            <w:tcW w:type="dxa" w:w="4608"/>
            <w:vAlign w:val="center"/>
          </w:tcPr>
          <w:p>
            <w:pPr>
              <w:spacing w:after="0"/>
            </w:pPr>
            <w:r/>
            <w:r>
              <w:rPr>
                <w:b w:val="0"/>
                <w:sz w:val="16"/>
              </w:rPr>
              <w:t>Index job fails</w:t>
            </w:r>
          </w:p>
        </w:tc>
        <w:tc>
          <w:tcPr>
            <w:tcW w:type="dxa" w:w="5472"/>
            <w:vAlign w:val="center"/>
          </w:tcPr>
          <w:p>
            <w:pPr>
              <w:spacing w:after="0"/>
            </w:pPr>
            <w:r/>
            <w:r>
              <w:rPr>
                <w:b w:val="0"/>
                <w:sz w:val="16"/>
              </w:rPr>
              <w:t>Search remains available for prior index; failure is logged and retryable.</w:t>
            </w:r>
          </w:p>
        </w:tc>
      </w:tr>
      <w:tr>
        <w:tc>
          <w:tcPr>
            <w:tcW w:type="dxa" w:w="4608"/>
            <w:vAlign w:val="center"/>
          </w:tcPr>
          <w:p>
            <w:pPr>
              <w:spacing w:after="0"/>
            </w:pPr>
            <w:r/>
            <w:r>
              <w:rPr>
                <w:b w:val="0"/>
                <w:sz w:val="16"/>
              </w:rPr>
              <w:t>Restricted note contains keyword</w:t>
            </w:r>
          </w:p>
        </w:tc>
        <w:tc>
          <w:tcPr>
            <w:tcW w:type="dxa" w:w="5472"/>
            <w:vAlign w:val="center"/>
          </w:tcPr>
          <w:p>
            <w:pPr>
              <w:spacing w:after="0"/>
            </w:pPr>
            <w:r/>
            <w:r>
              <w:rPr>
                <w:b w:val="0"/>
                <w:sz w:val="16"/>
              </w:rPr>
              <w:t>Does not appear for users without permission.</w:t>
            </w:r>
          </w:p>
        </w:tc>
      </w:tr>
      <w:tr>
        <w:tc>
          <w:tcPr>
            <w:tcW w:type="dxa" w:w="4608"/>
            <w:vAlign w:val="center"/>
          </w:tcPr>
          <w:p>
            <w:pPr>
              <w:spacing w:after="0"/>
            </w:pPr>
            <w:r/>
            <w:r>
              <w:rPr>
                <w:b w:val="0"/>
                <w:sz w:val="16"/>
              </w:rPr>
              <w:t>No results</w:t>
            </w:r>
          </w:p>
        </w:tc>
        <w:tc>
          <w:tcPr>
            <w:tcW w:type="dxa" w:w="5472"/>
            <w:vAlign w:val="center"/>
          </w:tcPr>
          <w:p>
            <w:pPr>
              <w:spacing w:after="0"/>
            </w:pPr>
            <w:r/>
            <w:r>
              <w:rPr>
                <w:b w:val="0"/>
                <w:sz w:val="16"/>
              </w:rPr>
              <w:t>UI offers clear empty state, not broken blank panel.</w:t>
            </w:r>
          </w:p>
        </w:tc>
      </w:tr>
    </w:tbl>
    <w:p/>
    <w:p>
      <w:pPr>
        <w:pStyle w:val="Heading2"/>
      </w:pPr>
      <w:r>
        <w:t>Migration / legacy cleanup</w:t>
      </w:r>
    </w:p>
    <w:p>
      <w:pPr>
        <w:pStyle w:val="ListBullet"/>
      </w:pPr>
      <w:r>
        <w:t>Do not migrate any existing ad hoc search code until its tenant and permission behavior is verified.</w:t>
      </w:r>
    </w:p>
    <w:p>
      <w:pPr>
        <w:pStyle w:val="ListBullet"/>
      </w:pPr>
      <w:r>
        <w:t>Keep initial search index small and deliberate; broad file-content OCR/semantic search is a later feature.</w:t>
      </w:r>
    </w:p>
    <w:p>
      <w:pPr>
        <w:pStyle w:val="Heading2"/>
      </w:pPr>
      <w:r>
        <w:t>Important implementation notes</w:t>
      </w:r>
    </w:p>
    <w:p>
      <w:pPr>
        <w:pStyle w:val="ListBullet"/>
      </w:pPr>
      <w:r>
        <w:t>Global Search is architecturally Phase 1 but functionally becomes richer as later modules are rebuilt. Build the contract now; expand its entity coverage only when source modules meet their own acceptance gates.</w:t>
      </w:r>
    </w:p>
    <w:p>
      <w:r>
        <w:br w:type="page"/>
      </w:r>
    </w:p>
    <w:p>
      <w:pPr>
        <w:pStyle w:val="Heading1"/>
      </w:pPr>
      <w:r>
        <w:t>Phase 1 integration map</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23B63"/>
            <w:vAlign w:val="center"/>
          </w:tcPr>
          <w:p>
            <w:pPr>
              <w:spacing w:after="0"/>
            </w:pPr>
            <w:r/>
            <w:r>
              <w:rPr>
                <w:b/>
                <w:color w:val="FFFFFF"/>
                <w:sz w:val="16"/>
              </w:rPr>
              <w:t>System</w:t>
            </w:r>
          </w:p>
        </w:tc>
        <w:tc>
          <w:tcPr>
            <w:tcW w:type="dxa" w:w="3744"/>
            <w:shd w:fill="123B63"/>
            <w:vAlign w:val="center"/>
          </w:tcPr>
          <w:p>
            <w:pPr>
              <w:spacing w:after="0"/>
            </w:pPr>
            <w:r/>
            <w:r>
              <w:rPr>
                <w:b/>
                <w:color w:val="FFFFFF"/>
                <w:sz w:val="16"/>
              </w:rPr>
              <w:t>Must be complete before</w:t>
            </w:r>
          </w:p>
        </w:tc>
        <w:tc>
          <w:tcPr>
            <w:tcW w:type="dxa" w:w="3888"/>
            <w:shd w:fill="123B63"/>
            <w:vAlign w:val="center"/>
          </w:tcPr>
          <w:p>
            <w:pPr>
              <w:spacing w:after="0"/>
            </w:pPr>
            <w:r/>
            <w:r>
              <w:rPr>
                <w:b/>
                <w:color w:val="FFFFFF"/>
                <w:sz w:val="16"/>
              </w:rPr>
              <w:t>Consumes from</w:t>
            </w:r>
          </w:p>
        </w:tc>
      </w:tr>
      <w:tr>
        <w:tc>
          <w:tcPr>
            <w:tcW w:type="dxa" w:w="3024"/>
            <w:vAlign w:val="center"/>
          </w:tcPr>
          <w:p>
            <w:pPr>
              <w:spacing w:after="0"/>
            </w:pPr>
            <w:r/>
            <w:r>
              <w:rPr>
                <w:b w:val="0"/>
                <w:sz w:val="16"/>
              </w:rPr>
              <w:t>Authentication &amp; Account Access</w:t>
            </w:r>
          </w:p>
        </w:tc>
        <w:tc>
          <w:tcPr>
            <w:tcW w:type="dxa" w:w="3744"/>
            <w:vAlign w:val="center"/>
          </w:tcPr>
          <w:p>
            <w:pPr>
              <w:spacing w:after="0"/>
            </w:pPr>
            <w:r/>
            <w:r>
              <w:rPr>
                <w:b w:val="0"/>
                <w:sz w:val="16"/>
              </w:rPr>
              <w:t>All protected modules</w:t>
            </w:r>
          </w:p>
        </w:tc>
        <w:tc>
          <w:tcPr>
            <w:tcW w:type="dxa" w:w="3888"/>
            <w:vAlign w:val="center"/>
          </w:tcPr>
          <w:p>
            <w:pPr>
              <w:spacing w:after="0"/>
            </w:pPr>
            <w:r/>
            <w:r>
              <w:rPr>
                <w:b w:val="0"/>
                <w:sz w:val="16"/>
              </w:rPr>
              <w:t>Identity, session, route zones</w:t>
            </w:r>
          </w:p>
        </w:tc>
      </w:tr>
      <w:tr>
        <w:tc>
          <w:tcPr>
            <w:tcW w:type="dxa" w:w="3024"/>
            <w:vAlign w:val="center"/>
          </w:tcPr>
          <w:p>
            <w:pPr>
              <w:spacing w:after="0"/>
            </w:pPr>
            <w:r/>
            <w:r>
              <w:rPr>
                <w:b w:val="0"/>
                <w:sz w:val="16"/>
              </w:rPr>
              <w:t>Tenant / Organization Management</w:t>
            </w:r>
          </w:p>
        </w:tc>
        <w:tc>
          <w:tcPr>
            <w:tcW w:type="dxa" w:w="3744"/>
            <w:vAlign w:val="center"/>
          </w:tcPr>
          <w:p>
            <w:pPr>
              <w:spacing w:after="0"/>
            </w:pPr>
            <w:r/>
            <w:r>
              <w:rPr>
                <w:b w:val="0"/>
                <w:sz w:val="16"/>
              </w:rPr>
              <w:t>All tenant-scoped modules</w:t>
            </w:r>
          </w:p>
        </w:tc>
        <w:tc>
          <w:tcPr>
            <w:tcW w:type="dxa" w:w="3888"/>
            <w:vAlign w:val="center"/>
          </w:tcPr>
          <w:p>
            <w:pPr>
              <w:spacing w:after="0"/>
            </w:pPr>
            <w:r/>
            <w:r>
              <w:rPr>
                <w:b w:val="0"/>
                <w:sz w:val="16"/>
              </w:rPr>
              <w:t>Tenant context, membership</w:t>
            </w:r>
          </w:p>
        </w:tc>
      </w:tr>
      <w:tr>
        <w:tc>
          <w:tcPr>
            <w:tcW w:type="dxa" w:w="3024"/>
            <w:vAlign w:val="center"/>
          </w:tcPr>
          <w:p>
            <w:pPr>
              <w:spacing w:after="0"/>
            </w:pPr>
            <w:r/>
            <w:r>
              <w:rPr>
                <w:b w:val="0"/>
                <w:sz w:val="16"/>
              </w:rPr>
              <w:t>Users, Roles &amp; Permissions</w:t>
            </w:r>
          </w:p>
        </w:tc>
        <w:tc>
          <w:tcPr>
            <w:tcW w:type="dxa" w:w="3744"/>
            <w:vAlign w:val="center"/>
          </w:tcPr>
          <w:p>
            <w:pPr>
              <w:spacing w:after="0"/>
            </w:pPr>
            <w:r/>
            <w:r>
              <w:rPr>
                <w:b w:val="0"/>
                <w:sz w:val="16"/>
              </w:rPr>
              <w:t>All write/read protected modules</w:t>
            </w:r>
          </w:p>
        </w:tc>
        <w:tc>
          <w:tcPr>
            <w:tcW w:type="dxa" w:w="3888"/>
            <w:vAlign w:val="center"/>
          </w:tcPr>
          <w:p>
            <w:pPr>
              <w:spacing w:after="0"/>
            </w:pPr>
            <w:r/>
            <w:r>
              <w:rPr>
                <w:b w:val="0"/>
                <w:sz w:val="16"/>
              </w:rPr>
              <w:t>Actor, tenant, policy rules</w:t>
            </w:r>
          </w:p>
        </w:tc>
      </w:tr>
      <w:tr>
        <w:tc>
          <w:tcPr>
            <w:tcW w:type="dxa" w:w="3024"/>
            <w:vAlign w:val="center"/>
          </w:tcPr>
          <w:p>
            <w:pPr>
              <w:spacing w:after="0"/>
            </w:pPr>
            <w:r/>
            <w:r>
              <w:rPr>
                <w:b w:val="0"/>
                <w:sz w:val="16"/>
              </w:rPr>
              <w:t>Settings Framework</w:t>
            </w:r>
          </w:p>
        </w:tc>
        <w:tc>
          <w:tcPr>
            <w:tcW w:type="dxa" w:w="3744"/>
            <w:vAlign w:val="center"/>
          </w:tcPr>
          <w:p>
            <w:pPr>
              <w:spacing w:after="0"/>
            </w:pPr>
            <w:r/>
            <w:r>
              <w:rPr>
                <w:b w:val="0"/>
                <w:sz w:val="16"/>
              </w:rPr>
              <w:t>Pricing, integrations, portals, AI, branding</w:t>
            </w:r>
          </w:p>
        </w:tc>
        <w:tc>
          <w:tcPr>
            <w:tcW w:type="dxa" w:w="3888"/>
            <w:vAlign w:val="center"/>
          </w:tcPr>
          <w:p>
            <w:pPr>
              <w:spacing w:after="0"/>
            </w:pPr>
            <w:r/>
            <w:r>
              <w:rPr>
                <w:b w:val="0"/>
                <w:sz w:val="16"/>
              </w:rPr>
              <w:t>Tenant/user configuration</w:t>
            </w:r>
          </w:p>
        </w:tc>
      </w:tr>
      <w:tr>
        <w:tc>
          <w:tcPr>
            <w:tcW w:type="dxa" w:w="3024"/>
            <w:vAlign w:val="center"/>
          </w:tcPr>
          <w:p>
            <w:pPr>
              <w:spacing w:after="0"/>
            </w:pPr>
            <w:r/>
            <w:r>
              <w:rPr>
                <w:b w:val="0"/>
                <w:sz w:val="16"/>
              </w:rPr>
              <w:t>Files &amp; Attachments</w:t>
            </w:r>
          </w:p>
        </w:tc>
        <w:tc>
          <w:tcPr>
            <w:tcW w:type="dxa" w:w="3744"/>
            <w:vAlign w:val="center"/>
          </w:tcPr>
          <w:p>
            <w:pPr>
              <w:spacing w:after="0"/>
            </w:pPr>
            <w:r/>
            <w:r>
              <w:rPr>
                <w:b w:val="0"/>
                <w:sz w:val="16"/>
              </w:rPr>
              <w:t>Documents, Proofs, Orders, Wrap Lab, Webstores</w:t>
            </w:r>
          </w:p>
        </w:tc>
        <w:tc>
          <w:tcPr>
            <w:tcW w:type="dxa" w:w="3888"/>
            <w:vAlign w:val="center"/>
          </w:tcPr>
          <w:p>
            <w:pPr>
              <w:spacing w:after="0"/>
            </w:pPr>
            <w:r/>
            <w:r>
              <w:rPr>
                <w:b w:val="0"/>
                <w:sz w:val="16"/>
              </w:rPr>
              <w:t>Storage, links, access policy</w:t>
            </w:r>
          </w:p>
        </w:tc>
      </w:tr>
      <w:tr>
        <w:tc>
          <w:tcPr>
            <w:tcW w:type="dxa" w:w="3024"/>
            <w:vAlign w:val="center"/>
          </w:tcPr>
          <w:p>
            <w:pPr>
              <w:spacing w:after="0"/>
            </w:pPr>
            <w:r/>
            <w:r>
              <w:rPr>
                <w:b w:val="0"/>
                <w:sz w:val="16"/>
              </w:rPr>
              <w:t>Activity Log &amp; Audit Trail</w:t>
            </w:r>
          </w:p>
        </w:tc>
        <w:tc>
          <w:tcPr>
            <w:tcW w:type="dxa" w:w="3744"/>
            <w:vAlign w:val="center"/>
          </w:tcPr>
          <w:p>
            <w:pPr>
              <w:spacing w:after="0"/>
            </w:pPr>
            <w:r/>
            <w:r>
              <w:rPr>
                <w:b w:val="0"/>
                <w:sz w:val="16"/>
              </w:rPr>
              <w:t>All business workflows</w:t>
            </w:r>
          </w:p>
        </w:tc>
        <w:tc>
          <w:tcPr>
            <w:tcW w:type="dxa" w:w="3888"/>
            <w:vAlign w:val="center"/>
          </w:tcPr>
          <w:p>
            <w:pPr>
              <w:spacing w:after="0"/>
            </w:pPr>
            <w:r/>
            <w:r>
              <w:rPr>
                <w:b w:val="0"/>
                <w:sz w:val="16"/>
              </w:rPr>
              <w:t>Domain events, actor/target context</w:t>
            </w:r>
          </w:p>
        </w:tc>
      </w:tr>
      <w:tr>
        <w:tc>
          <w:tcPr>
            <w:tcW w:type="dxa" w:w="3024"/>
            <w:vAlign w:val="center"/>
          </w:tcPr>
          <w:p>
            <w:pPr>
              <w:spacing w:after="0"/>
            </w:pPr>
            <w:r/>
            <w:r>
              <w:rPr>
                <w:b w:val="0"/>
                <w:sz w:val="16"/>
              </w:rPr>
              <w:t>Messaging &amp; Notifications</w:t>
            </w:r>
          </w:p>
        </w:tc>
        <w:tc>
          <w:tcPr>
            <w:tcW w:type="dxa" w:w="3744"/>
            <w:vAlign w:val="center"/>
          </w:tcPr>
          <w:p>
            <w:pPr>
              <w:spacing w:after="0"/>
            </w:pPr>
            <w:r/>
            <w:r>
              <w:rPr>
                <w:b w:val="0"/>
                <w:sz w:val="16"/>
              </w:rPr>
              <w:t>Customer portal, approvals, invoices, webstores</w:t>
            </w:r>
          </w:p>
        </w:tc>
        <w:tc>
          <w:tcPr>
            <w:tcW w:type="dxa" w:w="3888"/>
            <w:vAlign w:val="center"/>
          </w:tcPr>
          <w:p>
            <w:pPr>
              <w:spacing w:after="0"/>
            </w:pPr>
            <w:r/>
            <w:r>
              <w:rPr>
                <w:b w:val="0"/>
                <w:sz w:val="16"/>
              </w:rPr>
              <w:t>Recipient/context, templates, events</w:t>
            </w:r>
          </w:p>
        </w:tc>
      </w:tr>
      <w:tr>
        <w:tc>
          <w:tcPr>
            <w:tcW w:type="dxa" w:w="3024"/>
            <w:vAlign w:val="center"/>
          </w:tcPr>
          <w:p>
            <w:pPr>
              <w:spacing w:after="0"/>
            </w:pPr>
            <w:r/>
            <w:r>
              <w:rPr>
                <w:b w:val="0"/>
                <w:sz w:val="16"/>
              </w:rPr>
              <w:t>Forms / Questionnaires / Signatures</w:t>
            </w:r>
          </w:p>
        </w:tc>
        <w:tc>
          <w:tcPr>
            <w:tcW w:type="dxa" w:w="3744"/>
            <w:vAlign w:val="center"/>
          </w:tcPr>
          <w:p>
            <w:pPr>
              <w:spacing w:after="0"/>
            </w:pPr>
            <w:r/>
            <w:r>
              <w:rPr>
                <w:b w:val="0"/>
                <w:sz w:val="16"/>
              </w:rPr>
              <w:t>Customer intake, webstores, wrap workflows, docs</w:t>
            </w:r>
          </w:p>
        </w:tc>
        <w:tc>
          <w:tcPr>
            <w:tcW w:type="dxa" w:w="3888"/>
            <w:vAlign w:val="center"/>
          </w:tcPr>
          <w:p>
            <w:pPr>
              <w:spacing w:after="0"/>
            </w:pPr>
            <w:r/>
            <w:r>
              <w:rPr>
                <w:b w:val="0"/>
                <w:sz w:val="16"/>
              </w:rPr>
              <w:t>Templates, requests, files, messages</w:t>
            </w:r>
          </w:p>
        </w:tc>
      </w:tr>
      <w:tr>
        <w:tc>
          <w:tcPr>
            <w:tcW w:type="dxa" w:w="3024"/>
            <w:vAlign w:val="center"/>
          </w:tcPr>
          <w:p>
            <w:pPr>
              <w:spacing w:after="0"/>
            </w:pPr>
            <w:r/>
            <w:r>
              <w:rPr>
                <w:b w:val="0"/>
                <w:sz w:val="16"/>
              </w:rPr>
              <w:t>Global Search</w:t>
            </w:r>
          </w:p>
        </w:tc>
        <w:tc>
          <w:tcPr>
            <w:tcW w:type="dxa" w:w="3744"/>
            <w:vAlign w:val="center"/>
          </w:tcPr>
          <w:p>
            <w:pPr>
              <w:spacing w:after="0"/>
            </w:pPr>
            <w:r/>
            <w:r>
              <w:rPr>
                <w:b w:val="0"/>
                <w:sz w:val="16"/>
              </w:rPr>
              <w:t>Internal navigation and discovery</w:t>
            </w:r>
          </w:p>
        </w:tc>
        <w:tc>
          <w:tcPr>
            <w:tcW w:type="dxa" w:w="3888"/>
            <w:vAlign w:val="center"/>
          </w:tcPr>
          <w:p>
            <w:pPr>
              <w:spacing w:after="0"/>
            </w:pPr>
            <w:r/>
            <w:r>
              <w:rPr>
                <w:b w:val="0"/>
                <w:sz w:val="16"/>
              </w:rPr>
              <w:t>Approved module projections/events</w:t>
            </w:r>
          </w:p>
        </w:tc>
      </w:tr>
    </w:tbl>
    <w:p/>
    <w:p>
      <w:pPr>
        <w:pStyle w:val="Heading1"/>
      </w:pPr>
      <w:r>
        <w:t>Phase 1 final acceptance checklist</w:t>
      </w:r>
    </w:p>
    <w:p>
      <w:pPr>
        <w:pStyle w:val="ListBullet"/>
      </w:pPr>
      <w:r>
        <w:t>No current feature uses a hidden client-supplied tenant_id to fetch data.</w:t>
      </w:r>
    </w:p>
    <w:p>
      <w:pPr>
        <w:pStyle w:val="ListBullet"/>
      </w:pPr>
      <w:r>
        <w:t>No protected feature relies on UI-only role restrictions.</w:t>
      </w:r>
    </w:p>
    <w:p>
      <w:pPr>
        <w:pStyle w:val="ListBullet"/>
      </w:pPr>
      <w:r>
        <w:t>No later module needs to invent its own attachment, event, settings, message, form, or search table.</w:t>
      </w:r>
    </w:p>
    <w:p>
      <w:pPr>
        <w:pStyle w:val="ListBullet"/>
      </w:pPr>
      <w:r>
        <w:t>All Phase 1 APIs use the Phase 0 response/error contract and have clear tenant/permission middleware.</w:t>
      </w:r>
    </w:p>
    <w:p>
      <w:pPr>
        <w:pStyle w:val="ListBullet"/>
      </w:pPr>
      <w:r>
        <w:t>Each system has a short owner document naming its files, records, routes, APIs, events, migration decisions, and known limitations.</w:t>
      </w:r>
    </w:p>
    <w:p>
      <w:pPr>
        <w:pStyle w:val="ListBullet"/>
      </w:pPr>
      <w:r>
        <w:t>At least one internal actor, customer portal actor, employee portal actor, owner portal actor, and platform admin actor are tested end-to-end against their permitted/forbidden boundaries.</w:t>
      </w:r>
    </w:p>
    <w:p>
      <w:pPr>
        <w:pStyle w:val="ListBullet"/>
      </w:pPr>
      <w:r>
        <w:t>All critical change actions create safe activity/audit records.</w:t>
      </w:r>
    </w:p>
    <w:p>
      <w:pPr>
        <w:pStyle w:val="ListBullet"/>
      </w:pPr>
      <w:r>
        <w:t>Every integration provider call is behind an adapter/service, not embedded in a page component.</w:t>
      </w:r>
    </w:p>
    <w:p>
      <w:pPr>
        <w:pStyle w:val="ListBullet"/>
      </w:pPr>
      <w:r>
        <w:t>Legacy duplicates identified in the architecture audit have an explicit keep, migrate, redirect, or remove decision.</w:t>
      </w:r>
    </w:p>
    <w:p>
      <w:pPr>
        <w:pStyle w:val="Heading1"/>
      </w:pPr>
      <w:r>
        <w:t>Emergent implementation handoff prompt</w:t>
      </w:r>
    </w:p>
    <w:tbl>
      <w:tblPr>
        <w:tblStyle w:val="TableGrid"/>
        <w:tblW w:type="auto" w:w="0"/>
        <w:tblLook w:firstColumn="1" w:firstRow="1" w:lastColumn="0" w:lastRow="0" w:noHBand="0" w:noVBand="1" w:val="04A0"/>
      </w:tblPr>
      <w:tblGrid>
        <w:gridCol w:w="10368"/>
      </w:tblGrid>
      <w:tr>
        <w:tc>
          <w:tcPr>
            <w:tcW w:type="dxa" w:w="10368"/>
            <w:shd w:fill="EAF3F8"/>
          </w:tcPr>
          <w:p>
            <w:pPr>
              <w:spacing w:after="40"/>
            </w:pPr>
            <w:r>
              <w:rPr>
                <w:b/>
                <w:color w:val="123B63"/>
              </w:rPr>
              <w:t>Prompt to send with this document</w:t>
            </w:r>
          </w:p>
          <w:p>
            <w:pPr>
              <w:spacing w:after="20"/>
            </w:pPr>
            <w:r>
              <w:t>Implement Phase 1 of the SignGuy AI rebuild exactly as defined in this specification. Work in the approved Phase 0 folder structure, routes, tenant rules, event envelope, settings merge model, permission model, API naming contract, and design system. Build the modules in the documented order. Do not start Orders, Webstores, Wrap Lab, or other Phase 2+ modules. For each completed Phase 1 module: (1) list created/changed files, (2) identify records and migrations, (3) list API endpoints/services/events, (4) run and report acceptance tests, (5) list remaining unknowns or blocked decisions. Do not invent functionality not stated here; mark it Needs Verification or Deferred.</w:t>
            </w:r>
          </w:p>
        </w:tc>
      </w:tr>
    </w:tbl>
    <w:p/>
    <w:p>
      <w:r>
        <w:br w:type="page"/>
      </w:r>
    </w:p>
    <w:p>
      <w:pPr>
        <w:pStyle w:val="Heading1"/>
      </w:pPr>
      <w:r>
        <w:t>Phase 1 completion report format</w:t>
      </w:r>
    </w:p>
    <w:p>
      <w:r>
        <w:t>Use this report after the Phase 1 build has passed its module-level acceptance tests. It is the handoff record before Phase 2 begins, because relying on memory after several agent sessions is how a codebase turns into a haunted attic.</w:t>
      </w:r>
    </w:p>
    <w:tbl>
      <w:tblPr>
        <w:tblStyle w:val="TableGrid"/>
        <w:tblW w:type="auto" w:w="0"/>
        <w:jc w:val="center"/>
        <w:tblLook w:firstColumn="1" w:firstRow="1" w:lastColumn="0" w:lastRow="0" w:noHBand="0" w:noVBand="1" w:val="04A0"/>
      </w:tblPr>
      <w:tblGrid>
        <w:gridCol w:w="5184"/>
        <w:gridCol w:w="5184"/>
      </w:tblGrid>
      <w:tr>
        <w:tc>
          <w:tcPr>
            <w:tcW w:type="dxa" w:w="2376"/>
            <w:shd w:fill="123B63"/>
            <w:vAlign w:val="center"/>
          </w:tcPr>
          <w:p>
            <w:pPr>
              <w:spacing w:after="0"/>
            </w:pPr>
            <w:r/>
            <w:r>
              <w:rPr>
                <w:b/>
                <w:color w:val="FFFFFF"/>
                <w:sz w:val="16"/>
              </w:rPr>
              <w:t>Section</w:t>
            </w:r>
          </w:p>
        </w:tc>
        <w:tc>
          <w:tcPr>
            <w:tcW w:type="dxa" w:w="8280"/>
            <w:shd w:fill="123B63"/>
            <w:vAlign w:val="center"/>
          </w:tcPr>
          <w:p>
            <w:pPr>
              <w:spacing w:after="0"/>
            </w:pPr>
            <w:r/>
            <w:r>
              <w:rPr>
                <w:b/>
                <w:color w:val="FFFFFF"/>
                <w:sz w:val="16"/>
              </w:rPr>
              <w:t>Required content</w:t>
            </w:r>
          </w:p>
        </w:tc>
      </w:tr>
      <w:tr>
        <w:tc>
          <w:tcPr>
            <w:tcW w:type="dxa" w:w="2376"/>
            <w:vAlign w:val="center"/>
          </w:tcPr>
          <w:p>
            <w:pPr>
              <w:spacing w:after="0"/>
            </w:pPr>
            <w:r/>
            <w:r>
              <w:rPr>
                <w:b w:val="0"/>
                <w:sz w:val="16"/>
              </w:rPr>
              <w:t>Completed modules</w:t>
            </w:r>
          </w:p>
        </w:tc>
        <w:tc>
          <w:tcPr>
            <w:tcW w:type="dxa" w:w="8280"/>
            <w:vAlign w:val="center"/>
          </w:tcPr>
          <w:p>
            <w:pPr>
              <w:spacing w:after="0"/>
            </w:pPr>
            <w:r/>
            <w:r>
              <w:rPr>
                <w:b w:val="0"/>
                <w:sz w:val="16"/>
              </w:rPr>
              <w:t>List modules completed, version/date, and owner branch/commit.</w:t>
            </w:r>
          </w:p>
        </w:tc>
      </w:tr>
      <w:tr>
        <w:tc>
          <w:tcPr>
            <w:tcW w:type="dxa" w:w="2376"/>
            <w:vAlign w:val="center"/>
          </w:tcPr>
          <w:p>
            <w:pPr>
              <w:spacing w:after="0"/>
            </w:pPr>
            <w:r/>
            <w:r>
              <w:rPr>
                <w:b w:val="0"/>
                <w:sz w:val="16"/>
              </w:rPr>
              <w:t>Data changes</w:t>
            </w:r>
          </w:p>
        </w:tc>
        <w:tc>
          <w:tcPr>
            <w:tcW w:type="dxa" w:w="8280"/>
            <w:vAlign w:val="center"/>
          </w:tcPr>
          <w:p>
            <w:pPr>
              <w:spacing w:after="0"/>
            </w:pPr>
            <w:r/>
            <w:r>
              <w:rPr>
                <w:b w:val="0"/>
                <w:sz w:val="16"/>
              </w:rPr>
              <w:t>New records, migrations, backfills, deleted/archived legacy structures.</w:t>
            </w:r>
          </w:p>
        </w:tc>
      </w:tr>
      <w:tr>
        <w:tc>
          <w:tcPr>
            <w:tcW w:type="dxa" w:w="2376"/>
            <w:vAlign w:val="center"/>
          </w:tcPr>
          <w:p>
            <w:pPr>
              <w:spacing w:after="0"/>
            </w:pPr>
            <w:r/>
            <w:r>
              <w:rPr>
                <w:b w:val="0"/>
                <w:sz w:val="16"/>
              </w:rPr>
              <w:t>API/service changes</w:t>
            </w:r>
          </w:p>
        </w:tc>
        <w:tc>
          <w:tcPr>
            <w:tcW w:type="dxa" w:w="8280"/>
            <w:vAlign w:val="center"/>
          </w:tcPr>
          <w:p>
            <w:pPr>
              <w:spacing w:after="0"/>
            </w:pPr>
            <w:r/>
            <w:r>
              <w:rPr>
                <w:b w:val="0"/>
                <w:sz w:val="16"/>
              </w:rPr>
              <w:t>Endpoints, service contracts, events, adapters, and permission gates.</w:t>
            </w:r>
          </w:p>
        </w:tc>
      </w:tr>
      <w:tr>
        <w:tc>
          <w:tcPr>
            <w:tcW w:type="dxa" w:w="2376"/>
            <w:vAlign w:val="center"/>
          </w:tcPr>
          <w:p>
            <w:pPr>
              <w:spacing w:after="0"/>
            </w:pPr>
            <w:r/>
            <w:r>
              <w:rPr>
                <w:b w:val="0"/>
                <w:sz w:val="16"/>
              </w:rPr>
              <w:t>Routes/UI</w:t>
            </w:r>
          </w:p>
        </w:tc>
        <w:tc>
          <w:tcPr>
            <w:tcW w:type="dxa" w:w="8280"/>
            <w:vAlign w:val="center"/>
          </w:tcPr>
          <w:p>
            <w:pPr>
              <w:spacing w:after="0"/>
            </w:pPr>
            <w:r/>
            <w:r>
              <w:rPr>
                <w:b w:val="0"/>
                <w:sz w:val="16"/>
              </w:rPr>
              <w:t>New screens, embedded components, redirects, portal access behavior.</w:t>
            </w:r>
          </w:p>
        </w:tc>
      </w:tr>
      <w:tr>
        <w:tc>
          <w:tcPr>
            <w:tcW w:type="dxa" w:w="2376"/>
            <w:vAlign w:val="center"/>
          </w:tcPr>
          <w:p>
            <w:pPr>
              <w:spacing w:after="0"/>
            </w:pPr>
            <w:r/>
            <w:r>
              <w:rPr>
                <w:b w:val="0"/>
                <w:sz w:val="16"/>
              </w:rPr>
              <w:t>Tests</w:t>
            </w:r>
          </w:p>
        </w:tc>
        <w:tc>
          <w:tcPr>
            <w:tcW w:type="dxa" w:w="8280"/>
            <w:vAlign w:val="center"/>
          </w:tcPr>
          <w:p>
            <w:pPr>
              <w:spacing w:after="0"/>
            </w:pPr>
            <w:r/>
            <w:r>
              <w:rPr>
                <w:b w:val="0"/>
                <w:sz w:val="16"/>
              </w:rPr>
              <w:t>Automated and manual tests run, pass/fail, known gaps.</w:t>
            </w:r>
          </w:p>
        </w:tc>
      </w:tr>
      <w:tr>
        <w:tc>
          <w:tcPr>
            <w:tcW w:type="dxa" w:w="2376"/>
            <w:vAlign w:val="center"/>
          </w:tcPr>
          <w:p>
            <w:pPr>
              <w:spacing w:after="0"/>
            </w:pPr>
            <w:r/>
            <w:r>
              <w:rPr>
                <w:b w:val="0"/>
                <w:sz w:val="16"/>
              </w:rPr>
              <w:t>Cleanup</w:t>
            </w:r>
          </w:p>
        </w:tc>
        <w:tc>
          <w:tcPr>
            <w:tcW w:type="dxa" w:w="8280"/>
            <w:vAlign w:val="center"/>
          </w:tcPr>
          <w:p>
            <w:pPr>
              <w:spacing w:after="0"/>
            </w:pPr>
            <w:r/>
            <w:r>
              <w:rPr>
                <w:b w:val="0"/>
                <w:sz w:val="16"/>
              </w:rPr>
              <w:t>Legacy files/routes/contexts removed, retained temporarily, or awaiting migration.</w:t>
            </w:r>
          </w:p>
        </w:tc>
      </w:tr>
      <w:tr>
        <w:tc>
          <w:tcPr>
            <w:tcW w:type="dxa" w:w="2376"/>
            <w:vAlign w:val="center"/>
          </w:tcPr>
          <w:p>
            <w:pPr>
              <w:spacing w:after="0"/>
            </w:pPr>
            <w:r/>
            <w:r>
              <w:rPr>
                <w:b w:val="0"/>
                <w:sz w:val="16"/>
              </w:rPr>
              <w:t>Risks / decisions</w:t>
            </w:r>
          </w:p>
        </w:tc>
        <w:tc>
          <w:tcPr>
            <w:tcW w:type="dxa" w:w="8280"/>
            <w:vAlign w:val="center"/>
          </w:tcPr>
          <w:p>
            <w:pPr>
              <w:spacing w:after="0"/>
            </w:pPr>
            <w:r/>
            <w:r>
              <w:rPr>
                <w:b w:val="0"/>
                <w:sz w:val="16"/>
              </w:rPr>
              <w:t>Anything needing Donnell approval before Phase 2 begins.</w:t>
            </w:r>
          </w:p>
        </w:tc>
      </w:tr>
    </w:tbl>
    <w:p/>
    <w:sectPr w:rsidR="00FC693F" w:rsidRPr="0006063C" w:rsidSect="00034616">
      <w:headerReference w:type="default" r:id="rId9"/>
      <w:footerReference w:type="default" r:id="rId10"/>
      <w:pgSz w:w="12240" w:h="15840"/>
      <w:pgMar w:top="835"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Phase 1 Core Foundation Systems  |  Internal rebuild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SIGNGUY AI  |  PHASE 1 CORE FOUNDATION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2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D5A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eastAsia="Aptos Display"/>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ptos Display" w:hAnsi="Aptos Display" w:eastAsia="Aptos Display"/>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