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240" w:right="1260" w:hanging="0"/>
        <w:jc w:val="center"/>
        <w:rPr/>
      </w:pPr>
      <w:r>
        <w:rPr>
          <w:rFonts w:eastAsia="Arial" w:cs="Arial" w:ascii="Arial" w:hAnsi="Arial"/>
          <w:color w:val="00000A"/>
          <w:sz w:val="29"/>
          <w:szCs w:val="29"/>
        </w:rPr>
        <w:t>Recursive anisotropy: A spatial taphonomic study of the Early Pleistocene vertebrate assemblage of Tsiotra Vryssi, Mygdonia Basin, Greece</w:t>
      </w:r>
    </w:p>
    <w:p>
      <w:pPr>
        <w:pStyle w:val="Normal"/>
        <w:spacing w:lineRule="exact" w:line="290" w:before="0" w:after="0"/>
        <w:rPr>
          <w:rFonts w:ascii="Arial" w:hAnsi="Arial" w:eastAsia="Arial" w:cs="Arial"/>
          <w:color w:val="00000A"/>
          <w:sz w:val="18"/>
          <w:szCs w:val="18"/>
          <w:vertAlign w:val="superscript"/>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70" w:before="0" w:after="0"/>
        <w:rPr>
          <w:color w:val="00000A"/>
          <w:sz w:val="24"/>
          <w:szCs w:val="24"/>
        </w:rPr>
      </w:pPr>
      <w:r>
        <w:rPr>
          <w:color w:val="00000A"/>
          <w:sz w:val="24"/>
          <w:szCs w:val="24"/>
        </w:rPr>
      </w:r>
    </w:p>
    <w:p>
      <w:pPr>
        <w:pStyle w:val="Normal"/>
        <w:spacing w:before="0" w:after="0"/>
        <w:ind w:left="1240" w:hanging="0"/>
        <w:rPr>
          <w:color w:val="00000A"/>
          <w:sz w:val="20"/>
          <w:szCs w:val="20"/>
        </w:rPr>
      </w:pPr>
      <w:r>
        <w:rPr>
          <w:rFonts w:eastAsia="Arial" w:cs="Arial" w:ascii="Arial" w:hAnsi="Arial"/>
          <w:color w:val="00000A"/>
          <w:sz w:val="20"/>
          <w:szCs w:val="20"/>
        </w:rPr>
        <w:t>Abstract</w:t>
      </w:r>
    </w:p>
    <w:p>
      <w:pPr>
        <w:pStyle w:val="Normal"/>
        <w:spacing w:lineRule="exact" w:line="255" w:before="0" w:after="0"/>
        <w:rPr>
          <w:color w:val="00000A"/>
          <w:sz w:val="24"/>
          <w:szCs w:val="24"/>
        </w:rPr>
      </w:pPr>
      <w:r>
        <w:rPr>
          <w:color w:val="00000A"/>
          <w:sz w:val="24"/>
          <w:szCs w:val="24"/>
        </w:rPr>
      </w:r>
    </w:p>
    <w:p>
      <w:pPr>
        <w:pStyle w:val="Normal"/>
        <w:spacing w:lineRule="auto" w:line="417" w:before="0" w:after="0"/>
        <w:ind w:left="1240" w:right="1260" w:hanging="0"/>
        <w:jc w:val="both"/>
        <w:rPr/>
      </w:pPr>
      <w:r>
        <w:rPr>
          <w:rFonts w:eastAsia="Arial" w:cs="Arial" w:ascii="Arial" w:hAnsi="Arial"/>
          <w:color w:val="00000A"/>
          <w:sz w:val="18"/>
          <w:szCs w:val="18"/>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Macedonia,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of our analyses, integrated with preliminary remarks about the di</w:t>
      </w:r>
      <w:r>
        <w:rPr>
          <w:rFonts w:eastAsia="Arial" w:cs="Arial" w:ascii="Arial" w:hAnsi="Arial"/>
          <w:color w:val="00000A"/>
          <w:sz w:val="18"/>
          <w:szCs w:val="18"/>
        </w:rPr>
        <w:t>ff</w:t>
      </w:r>
      <w:r>
        <w:rPr>
          <w:rFonts w:eastAsia="Arial" w:cs="Arial" w:ascii="Arial" w:hAnsi="Arial"/>
          <w:color w:val="00000A"/>
          <w:sz w:val="18"/>
          <w:szCs w:val="18"/>
        </w:rPr>
        <w:t>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w:t>
      </w:r>
      <w:r>
        <w:rPr>
          <w:rFonts w:eastAsia="Arial" w:cs="Arial" w:ascii="Arial" w:hAnsi="Arial"/>
          <w:color w:val="00000A"/>
          <w:sz w:val="18"/>
          <w:szCs w:val="18"/>
        </w:rPr>
        <w:t>ff</w:t>
      </w:r>
      <w:r>
        <w:rPr>
          <w:rFonts w:eastAsia="Arial" w:cs="Arial" w:ascii="Arial" w:hAnsi="Arial"/>
          <w:color w:val="00000A"/>
          <w:sz w:val="18"/>
          <w:szCs w:val="18"/>
        </w:rPr>
        <w:t>ers an important contribution to the building of a spatial taphonomic referential framework for the interpretation of other fossil vertebrate assemblages, including archaeo-palaeontological ones.</w:t>
      </w:r>
    </w:p>
    <w:p>
      <w:pPr>
        <w:pStyle w:val="Normal"/>
        <w:spacing w:lineRule="auto" w:line="417" w:before="0" w:after="0"/>
        <w:ind w:left="1240" w:right="1260" w:hanging="0"/>
        <w:jc w:val="both"/>
        <w:rPr>
          <w:rFonts w:ascii="Arial" w:hAnsi="Arial" w:eastAsia="Arial" w:cs="Arial"/>
          <w:color w:val="00000A"/>
          <w:sz w:val="20"/>
          <w:szCs w:val="20"/>
        </w:rPr>
      </w:pPr>
      <w:r>
        <w:rPr/>
      </w:r>
    </w:p>
    <w:p>
      <w:pPr>
        <w:pStyle w:val="Normal"/>
        <w:spacing w:lineRule="auto" w:line="379" w:before="0" w:after="0"/>
        <w:ind w:left="1240" w:right="1500" w:hanging="0"/>
        <w:jc w:val="both"/>
        <w:rPr/>
      </w:pPr>
      <w:r>
        <w:rPr>
          <w:rFonts w:eastAsia="Arial" w:cs="Arial" w:ascii="Arial" w:hAnsi="Arial"/>
          <w:color w:val="00000A"/>
          <w:sz w:val="20"/>
          <w:szCs w:val="20"/>
        </w:rPr>
        <w:t>Keywords: Anisotropy, Spatial taphonomy, Taphonomy, Site formation processes, Early Pleistocene, Greece</w:t>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Normal"/>
        <w:spacing w:lineRule="exact" w:line="20" w:before="0" w:after="0"/>
        <w:rPr>
          <w:rFonts w:ascii="Arial" w:hAnsi="Arial" w:eastAsia="Arial" w:cs="Arial"/>
          <w:color w:val="00000A"/>
          <w:sz w:val="20"/>
          <w:szCs w:val="20"/>
        </w:rPr>
      </w:pPr>
      <w:bookmarkStart w:id="0" w:name="page2"/>
      <w:bookmarkStart w:id="1" w:name="page2"/>
      <w:bookmarkEnd w:id="1"/>
      <w:r>
        <w:rPr/>
      </w:r>
    </w:p>
    <w:p>
      <w:pPr>
        <w:pStyle w:val="Normal"/>
        <w:spacing w:before="0" w:after="0"/>
        <w:ind w:left="1240" w:hanging="0"/>
        <w:rPr/>
      </w:pPr>
      <w:r>
        <w:rPr>
          <w:rFonts w:eastAsia="Arial" w:cs="Arial" w:ascii="Arial" w:hAnsi="Arial"/>
          <w:color w:val="00000A"/>
          <w:sz w:val="20"/>
          <w:szCs w:val="20"/>
        </w:rPr>
        <w:t>1. Introduction</w:t>
      </w:r>
    </w:p>
    <w:p>
      <w:pPr>
        <w:pStyle w:val="Normal"/>
        <w:spacing w:lineRule="exact" w:line="315" w:before="0" w:after="0"/>
        <w:rPr>
          <w:color w:val="00000A"/>
          <w:sz w:val="20"/>
          <w:szCs w:val="20"/>
        </w:rPr>
      </w:pPr>
      <w:r>
        <w:rPr>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Since the first definition of taphonomy as “the study of the transition (in all its de-tails) of animal remains from the biosphere into the lithosphere” (</w:t>
      </w:r>
      <w:hyperlink w:anchor="page41">
        <w:r>
          <w:rPr>
            <w:rStyle w:val="VisitedInternetLink"/>
            <w:rFonts w:eastAsia="Arial" w:cs="Arial" w:ascii="Arial" w:hAnsi="Arial"/>
            <w:color w:val="0000FF"/>
            <w:sz w:val="18"/>
            <w:szCs w:val="18"/>
          </w:rPr>
          <w:t>Efremov</w:t>
        </w:r>
      </w:hyperlink>
      <w:r>
        <w:rPr>
          <w:rFonts w:eastAsia="Arial" w:cs="Arial" w:ascii="Arial" w:hAnsi="Arial"/>
          <w:color w:val="00000A"/>
          <w:sz w:val="18"/>
          <w:szCs w:val="18"/>
        </w:rPr>
        <w:t xml:space="preserve">, </w:t>
      </w:r>
      <w:hyperlink w:anchor="page41">
        <w:r>
          <w:rPr>
            <w:rStyle w:val="InternetLink"/>
            <w:rFonts w:eastAsia="Arial" w:cs="Arial" w:ascii="Arial" w:hAnsi="Arial"/>
            <w:color w:val="0000FF"/>
            <w:sz w:val="18"/>
            <w:szCs w:val="18"/>
          </w:rPr>
          <w:t>1940</w:t>
        </w:r>
      </w:hyperlink>
      <w:r>
        <w:rPr>
          <w:rFonts w:eastAsia="Arial" w:cs="Arial" w:ascii="Arial" w:hAnsi="Arial"/>
          <w:color w:val="00000A"/>
          <w:sz w:val="18"/>
          <w:szCs w:val="18"/>
        </w:rPr>
        <w:t xml:space="preserve">), the spatial properties of taphonomic processes received special attention. Concerned about thanatocoenosis, </w:t>
      </w:r>
      <w:hyperlink w:anchor="page41">
        <w:r>
          <w:rPr>
            <w:rStyle w:val="InternetLink"/>
            <w:rFonts w:eastAsia="Arial" w:cs="Arial" w:ascii="Arial" w:hAnsi="Arial"/>
            <w:color w:val="0000FF"/>
            <w:sz w:val="18"/>
            <w:szCs w:val="18"/>
          </w:rPr>
          <w:t>Efremov</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w:t>
      </w:r>
      <w:hyperlink w:anchor="page41">
        <w:r>
          <w:rPr>
            <w:rStyle w:val="InternetLink"/>
            <w:rFonts w:eastAsia="Arial" w:cs="Arial" w:ascii="Arial" w:hAnsi="Arial"/>
            <w:color w:val="0000FF"/>
            <w:sz w:val="18"/>
            <w:szCs w:val="18"/>
          </w:rPr>
          <w:t>1940</w:t>
        </w:r>
      </w:hyperlink>
      <w:r>
        <w:rPr>
          <w:rFonts w:eastAsia="Arial" w:cs="Arial" w:ascii="Arial" w:hAnsi="Arial"/>
          <w:color w:val="00000A"/>
          <w:sz w:val="18"/>
          <w:szCs w:val="18"/>
        </w:rPr>
        <w:t>) indicated as chief part of a taphonomic study, among others, the analysis of “the spatial distribution of animal remains and their distribution relatively to the planes of stratification”. More recent research on early hominid evo-lution (</w:t>
      </w:r>
      <w:hyperlink w:anchor="page37">
        <w:r>
          <w:rPr>
            <w:rStyle w:val="InternetLink"/>
            <w:rFonts w:eastAsia="Arial" w:cs="Arial" w:ascii="Arial" w:hAnsi="Arial"/>
            <w:color w:val="0000FF"/>
            <w:sz w:val="18"/>
            <w:szCs w:val="18"/>
          </w:rPr>
          <w:t>Behrensmeyer</w:t>
        </w:r>
      </w:hyperlink>
      <w:r>
        <w:rPr>
          <w:rFonts w:eastAsia="Arial" w:cs="Arial" w:ascii="Arial" w:hAnsi="Arial"/>
          <w:color w:val="00000A"/>
          <w:sz w:val="18"/>
          <w:szCs w:val="18"/>
        </w:rPr>
        <w:t xml:space="preserve">, </w:t>
      </w:r>
      <w:hyperlink w:anchor="page37">
        <w:r>
          <w:rPr>
            <w:rStyle w:val="InternetLink"/>
            <w:rFonts w:eastAsia="Arial" w:cs="Arial" w:ascii="Arial" w:hAnsi="Arial"/>
            <w:color w:val="0000FF"/>
            <w:sz w:val="18"/>
            <w:szCs w:val="18"/>
          </w:rPr>
          <w:t>1975a</w:t>
        </w:r>
      </w:hyperlink>
      <w:r>
        <w:rPr>
          <w:rFonts w:eastAsia="Arial" w:cs="Arial" w:ascii="Arial" w:hAnsi="Arial"/>
          <w:color w:val="00000A"/>
          <w:sz w:val="18"/>
          <w:szCs w:val="18"/>
        </w:rPr>
        <w:t xml:space="preserve">; </w:t>
      </w:r>
      <w:hyperlink w:anchor="page38">
        <w:r>
          <w:rPr>
            <w:rStyle w:val="InternetLink"/>
            <w:rFonts w:eastAsia="Arial" w:cs="Arial" w:ascii="Arial" w:hAnsi="Arial"/>
            <w:color w:val="0000FF"/>
            <w:sz w:val="18"/>
            <w:szCs w:val="18"/>
          </w:rPr>
          <w:t>Boaz and Behrensmeyer</w:t>
        </w:r>
      </w:hyperlink>
      <w:r>
        <w:rPr>
          <w:rFonts w:eastAsia="Arial" w:cs="Arial" w:ascii="Arial" w:hAnsi="Arial"/>
          <w:color w:val="00000A"/>
          <w:sz w:val="18"/>
          <w:szCs w:val="18"/>
        </w:rPr>
        <w:t xml:space="preserve">, </w:t>
      </w:r>
      <w:hyperlink w:anchor="page38">
        <w:r>
          <w:rPr>
            <w:rStyle w:val="InternetLink"/>
            <w:rFonts w:eastAsia="Arial" w:cs="Arial" w:ascii="Arial" w:hAnsi="Arial"/>
            <w:color w:val="0000FF"/>
            <w:sz w:val="18"/>
            <w:szCs w:val="18"/>
          </w:rPr>
          <w:t>1976</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Hill</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1976</w:t>
        </w:r>
      </w:hyperlink>
      <w:r>
        <w:rPr>
          <w:rFonts w:eastAsia="Arial" w:cs="Arial" w:ascii="Arial" w:hAnsi="Arial"/>
          <w:color w:val="00000A"/>
          <w:sz w:val="18"/>
          <w:szCs w:val="18"/>
        </w:rPr>
        <w:t>) extended the original definition of taphonomy beyond its role as a “new branch of paleontology” (</w:t>
      </w:r>
      <w:hyperlink w:anchor="page41">
        <w:r>
          <w:rPr>
            <w:rStyle w:val="InternetLink"/>
            <w:rFonts w:eastAsia="Arial" w:cs="Arial" w:ascii="Arial" w:hAnsi="Arial"/>
            <w:color w:val="0000FF"/>
            <w:sz w:val="18"/>
            <w:szCs w:val="18"/>
          </w:rPr>
          <w:t>Efremov</w:t>
        </w:r>
      </w:hyperlink>
      <w:r>
        <w:rPr>
          <w:rFonts w:eastAsia="Arial" w:cs="Arial" w:ascii="Arial" w:hAnsi="Arial"/>
          <w:color w:val="00000A"/>
          <w:sz w:val="18"/>
          <w:szCs w:val="18"/>
        </w:rPr>
        <w:t xml:space="preserve">, </w:t>
      </w:r>
      <w:hyperlink w:anchor="page41">
        <w:r>
          <w:rPr>
            <w:rStyle w:val="InternetLink"/>
            <w:rFonts w:eastAsia="Arial" w:cs="Arial" w:ascii="Arial" w:hAnsi="Arial"/>
            <w:color w:val="0000FF"/>
            <w:sz w:val="18"/>
            <w:szCs w:val="18"/>
          </w:rPr>
          <w:t>1940</w:t>
        </w:r>
      </w:hyperlink>
      <w:r>
        <w:rPr>
          <w:rFonts w:eastAsia="Arial" w:cs="Arial" w:ascii="Arial" w:hAnsi="Arial"/>
          <w:color w:val="00000A"/>
          <w:sz w:val="18"/>
          <w:szCs w:val="18"/>
        </w:rPr>
        <w:t xml:space="preserve">) to include also formation and modification processes of the archae-ological record. Despite some misrepresentations in the archaeological adaptation of the original concept (e.g., the ontological di erence between natural and cultural for-mation processes; </w:t>
      </w:r>
      <w:hyperlink w:anchor="page40">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2011</w:t>
        </w:r>
      </w:hyperlink>
      <w:r>
        <w:rPr>
          <w:rFonts w:eastAsia="Arial" w:cs="Arial" w:ascii="Arial" w:hAnsi="Arial"/>
          <w:color w:val="00000A"/>
          <w:sz w:val="18"/>
          <w:szCs w:val="18"/>
        </w:rPr>
        <w:t xml:space="preserve">; </w:t>
      </w:r>
      <w:hyperlink w:anchor="page44">
        <w:r>
          <w:rPr>
            <w:rStyle w:val="InternetLink"/>
            <w:rFonts w:eastAsia="Arial" w:cs="Arial" w:ascii="Arial" w:hAnsi="Arial"/>
            <w:color w:val="0000FF"/>
            <w:sz w:val="18"/>
            <w:szCs w:val="18"/>
          </w:rPr>
          <w:t>Lyman</w:t>
        </w:r>
      </w:hyperlink>
      <w:r>
        <w:rPr>
          <w:rFonts w:eastAsia="Arial" w:cs="Arial" w:ascii="Arial" w:hAnsi="Arial"/>
          <w:color w:val="00000A"/>
          <w:sz w:val="18"/>
          <w:szCs w:val="18"/>
        </w:rPr>
        <w:t xml:space="preserve">, </w:t>
      </w:r>
      <w:hyperlink w:anchor="page44">
        <w:r>
          <w:rPr>
            <w:rStyle w:val="InternetLink"/>
            <w:rFonts w:eastAsia="Arial" w:cs="Arial" w:ascii="Arial" w:hAnsi="Arial"/>
            <w:color w:val="0000FF"/>
            <w:sz w:val="18"/>
            <w:szCs w:val="18"/>
          </w:rPr>
          <w:t>2010</w:t>
        </w:r>
      </w:hyperlink>
      <w:r>
        <w:rPr>
          <w:rFonts w:eastAsia="Arial" w:cs="Arial" w:ascii="Arial" w:hAnsi="Arial"/>
          <w:color w:val="00000A"/>
          <w:sz w:val="18"/>
          <w:szCs w:val="18"/>
        </w:rPr>
        <w:t>), in the last decades taphonomy has widened its theoretical and methodological framework towards an inte-grative and multidisciplinary investigation that aims to reconstruct the past in all its de-tails, incorporating any signal of the processes, both natural and cultural, that modified the original properties of the organic and inorganic components (</w:t>
      </w:r>
      <w:hyperlink w:anchor="page40">
        <w:r>
          <w:rPr>
            <w:rStyle w:val="InternetLink"/>
            <w:rFonts w:eastAsia="Arial" w:cs="Arial" w:ascii="Arial" w:hAnsi="Arial"/>
            <w:color w:val="0000FF"/>
            <w:sz w:val="18"/>
            <w:szCs w:val="18"/>
          </w:rPr>
          <w:t>Domínguez-Rodrigo</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0">
        <w:r>
          <w:rPr>
            <w:rStyle w:val="InternetLink"/>
            <w:rFonts w:eastAsia="Arial" w:cs="Arial" w:ascii="Arial" w:hAnsi="Arial"/>
            <w:color w:val="0000FF"/>
            <w:sz w:val="18"/>
            <w:szCs w:val="18"/>
          </w:rPr>
          <w:t>2011</w:t>
        </w:r>
      </w:hyperlink>
      <w:r>
        <w:rPr>
          <w:rFonts w:eastAsia="Arial" w:cs="Arial" w:ascii="Arial" w:hAnsi="Arial"/>
          <w:color w:val="000000"/>
          <w:sz w:val="18"/>
          <w:szCs w:val="18"/>
        </w:rPr>
        <w:t>).</w:t>
      </w:r>
    </w:p>
    <w:p>
      <w:pPr>
        <w:pStyle w:val="Normal"/>
        <w:spacing w:lineRule="exact" w:line="13"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46" w:before="0" w:after="0"/>
        <w:ind w:left="1240" w:right="1260" w:firstLine="299"/>
        <w:jc w:val="both"/>
        <w:rPr/>
      </w:pPr>
      <w:r>
        <w:rPr>
          <w:rFonts w:eastAsia="Arial" w:cs="Arial" w:ascii="Arial" w:hAnsi="Arial"/>
          <w:color w:val="00000A"/>
          <w:sz w:val="17"/>
          <w:szCs w:val="17"/>
        </w:rPr>
        <w:t xml:space="preserve">If taphonomy evolved towards an evolutionary and systemic approach that em-braces multiple taphonomic levels of organisation (i.e., basic taphonomic elements, taphonomic groups [taphons], taphonomic populations and taphoclades; </w:t>
      </w:r>
      <w:hyperlink w:anchor="page41">
        <w:r>
          <w:rPr>
            <w:rStyle w:val="InternetLink"/>
            <w:rFonts w:eastAsia="Arial" w:cs="Arial" w:ascii="Arial" w:hAnsi="Arial"/>
            <w:color w:val="0000FF"/>
            <w:sz w:val="17"/>
            <w:szCs w:val="17"/>
          </w:rPr>
          <w:t>Fernández-</w:t>
        </w:r>
      </w:hyperlink>
      <w:hyperlink w:anchor="page41">
        <w:r>
          <w:rPr>
            <w:rStyle w:val="InternetLink"/>
            <w:rFonts w:eastAsia="Arial" w:cs="Arial" w:ascii="Arial" w:hAnsi="Arial"/>
            <w:color w:val="0000FF"/>
            <w:sz w:val="17"/>
            <w:szCs w:val="17"/>
          </w:rPr>
          <w:t>López</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2006</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likewise, the study of the spatial properties of taphonomic processes</w:t>
      </w:r>
      <w:r>
        <w:rPr>
          <w:rFonts w:eastAsia="Arial" w:cs="Arial" w:ascii="Arial" w:hAnsi="Arial"/>
          <w:color w:val="0000FF"/>
          <w:sz w:val="17"/>
          <w:szCs w:val="17"/>
        </w:rPr>
        <w:t xml:space="preserve"> </w:t>
      </w:r>
      <w:r>
        <w:rPr>
          <w:rFonts w:eastAsia="Arial" w:cs="Arial" w:ascii="Arial" w:hAnsi="Arial"/>
          <w:color w:val="000000"/>
          <w:sz w:val="17"/>
          <w:szCs w:val="17"/>
        </w:rPr>
        <w:t xml:space="preserve">extended from the analysis of the spatial distribution of animal remains in relation to the stratigraphic setting, towards a multilevel quantitative investigation of the spatial behaviour of di erent taphonomic entities (sensu </w:t>
      </w:r>
      <w:hyperlink w:anchor="page41">
        <w:r>
          <w:rPr>
            <w:rStyle w:val="InternetLink"/>
            <w:rFonts w:eastAsia="Arial" w:cs="Arial" w:ascii="Arial" w:hAnsi="Arial"/>
            <w:color w:val="0000FF"/>
            <w:sz w:val="17"/>
            <w:szCs w:val="17"/>
          </w:rPr>
          <w:t>Fernández-López</w:t>
        </w:r>
      </w:hyperlink>
      <w:r>
        <w:rPr>
          <w:rFonts w:eastAsia="Arial" w:cs="Arial" w:ascii="Arial" w:hAnsi="Arial"/>
          <w:color w:val="000000"/>
          <w:sz w:val="17"/>
          <w:szCs w:val="17"/>
        </w:rPr>
        <w:t xml:space="preserve">, </w:t>
      </w:r>
      <w:hyperlink w:anchor="page41">
        <w:r>
          <w:rPr>
            <w:rStyle w:val="InternetLink"/>
            <w:rFonts w:eastAsia="Arial" w:cs="Arial" w:ascii="Arial" w:hAnsi="Arial"/>
            <w:color w:val="0000FF"/>
            <w:sz w:val="17"/>
            <w:szCs w:val="17"/>
          </w:rPr>
          <w:t>2006</w:t>
        </w:r>
      </w:hyperlink>
      <w:r>
        <w:rPr>
          <w:rFonts w:eastAsia="Arial" w:cs="Arial" w:ascii="Arial" w:hAnsi="Arial"/>
          <w:color w:val="000000"/>
          <w:sz w:val="17"/>
          <w:szCs w:val="17"/>
        </w:rPr>
        <w:t>). Therefore, spatial taphonomy (</w:t>
      </w:r>
      <w:hyperlink w:anchor="page40">
        <w:r>
          <w:rPr>
            <w:rStyle w:val="InternetLink"/>
            <w:rFonts w:eastAsia="Arial" w:cs="Arial" w:ascii="Arial" w:hAnsi="Arial"/>
            <w:color w:val="0000FF"/>
            <w:sz w:val="17"/>
            <w:szCs w:val="17"/>
          </w:rPr>
          <w:t>Domínguez-Rodrigo et al.</w:t>
        </w:r>
      </w:hyperlink>
      <w:r>
        <w:rPr>
          <w:rFonts w:eastAsia="Arial" w:cs="Arial" w:ascii="Arial" w:hAnsi="Arial"/>
          <w:color w:val="000000"/>
          <w:sz w:val="17"/>
          <w:szCs w:val="17"/>
        </w:rPr>
        <w:t xml:space="preserve">, </w:t>
      </w:r>
      <w:hyperlink w:anchor="page40">
        <w:r>
          <w:rPr>
            <w:rStyle w:val="InternetLink"/>
            <w:rFonts w:eastAsia="Arial" w:cs="Arial" w:ascii="Arial" w:hAnsi="Arial"/>
            <w:color w:val="0000FF"/>
            <w:sz w:val="17"/>
            <w:szCs w:val="17"/>
          </w:rPr>
          <w:t>2017</w:t>
        </w:r>
      </w:hyperlink>
      <w:r>
        <w:rPr>
          <w:rFonts w:eastAsia="Arial" w:cs="Arial" w:ascii="Arial" w:hAnsi="Arial"/>
          <w:color w:val="000000"/>
          <w:sz w:val="17"/>
          <w:szCs w:val="17"/>
        </w:rPr>
        <w:t xml:space="preserve">; </w:t>
      </w:r>
      <w:hyperlink w:anchor="page41">
        <w:r>
          <w:rPr>
            <w:rStyle w:val="InternetLink"/>
            <w:rFonts w:eastAsia="Arial" w:cs="Arial" w:ascii="Arial" w:hAnsi="Arial"/>
            <w:color w:val="0000FF"/>
            <w:sz w:val="17"/>
            <w:szCs w:val="17"/>
          </w:rPr>
          <w:t>Giusti and Arzarello</w:t>
        </w:r>
      </w:hyperlink>
      <w:r>
        <w:rPr>
          <w:rFonts w:eastAsia="Arial" w:cs="Arial" w:ascii="Arial" w:hAnsi="Arial"/>
          <w:color w:val="000000"/>
          <w:sz w:val="17"/>
          <w:szCs w:val="17"/>
        </w:rPr>
        <w:t xml:space="preserve">, </w:t>
      </w:r>
      <w:hyperlink w:anchor="page41">
        <w:r>
          <w:rPr>
            <w:rStyle w:val="InternetLink"/>
            <w:rFonts w:eastAsia="Arial" w:cs="Arial" w:ascii="Arial" w:hAnsi="Arial"/>
            <w:color w:val="0000FF"/>
            <w:sz w:val="17"/>
            <w:szCs w:val="17"/>
          </w:rPr>
          <w:t>2016</w:t>
        </w:r>
      </w:hyperlink>
      <w:r>
        <w:rPr>
          <w:rFonts w:eastAsia="Arial" w:cs="Arial" w:ascii="Arial" w:hAnsi="Arial"/>
          <w:color w:val="000000"/>
          <w:sz w:val="17"/>
          <w:szCs w:val="17"/>
        </w:rPr>
        <w:t>), en-compasses the spatial properties of basic entities (i.e., taphonomic elements, constitut</w:t>
      </w:r>
      <w:r>
        <w:rPr>
          <w:rFonts w:eastAsia="Arial" w:cs="Arial" w:ascii="Arial" w:hAnsi="Arial"/>
          <w:color w:val="00000A"/>
          <w:sz w:val="18"/>
          <w:szCs w:val="18"/>
        </w:rPr>
        <w:t xml:space="preserve">ing the fossil record), as well as higher level entities (e.g., taphonomic groups or pop-ulations). Indeed, at multiple scales and levels of organisation, the spatial patterns ob-served in any palaeontological or archaeological assemblage retain valuable informa-tion about taphonomic accumulation and re-elaboration processes (sensu </w:t>
      </w:r>
      <w:hyperlink w:anchor="page41">
        <w:r>
          <w:rPr>
            <w:rStyle w:val="InternetLink"/>
            <w:rFonts w:eastAsia="Arial" w:cs="Arial" w:ascii="Arial" w:hAnsi="Arial"/>
            <w:color w:val="0000FF"/>
            <w:sz w:val="18"/>
            <w:szCs w:val="18"/>
          </w:rPr>
          <w:t>Fernández-</w:t>
        </w:r>
      </w:hyperlink>
      <w:hyperlink w:anchor="page41">
        <w:r>
          <w:rPr>
            <w:rStyle w:val="InternetLink"/>
            <w:rFonts w:eastAsia="Arial" w:cs="Arial" w:ascii="Arial" w:hAnsi="Arial"/>
            <w:color w:val="0000FF"/>
            <w:sz w:val="18"/>
            <w:szCs w:val="18"/>
          </w:rPr>
          <w:t>López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1">
        <w:r>
          <w:rPr>
            <w:rStyle w:val="InternetLink"/>
            <w:rFonts w:eastAsia="Arial" w:cs="Arial" w:ascii="Arial" w:hAnsi="Arial"/>
            <w:color w:val="0000FF"/>
            <w:sz w:val="18"/>
            <w:szCs w:val="18"/>
          </w:rPr>
          <w:t>2002</w:t>
        </w:r>
      </w:hyperlink>
      <w:r>
        <w:rPr>
          <w:rFonts w:eastAsia="Arial" w:cs="Arial" w:ascii="Arial" w:hAnsi="Arial"/>
          <w:color w:val="000000"/>
          <w:sz w:val="18"/>
          <w:szCs w:val="18"/>
        </w:rPr>
        <w:t>). Spatial taphonomic data, appropriately recorded, can be quantita-tively analysed within a statistical framework in order to reliably draw inferences about taphonomic processes, in turn with consequences for palaeoecological reconstructions (</w:t>
      </w:r>
      <w:hyperlink w:anchor="page41">
        <w:r>
          <w:rPr>
            <w:rStyle w:val="InternetLink"/>
            <w:rFonts w:eastAsia="Arial" w:cs="Arial" w:ascii="Arial" w:hAnsi="Arial"/>
            <w:color w:val="0000FF"/>
            <w:sz w:val="18"/>
            <w:szCs w:val="18"/>
          </w:rPr>
          <w:t>Fernández-Jalvo et al.</w:t>
        </w:r>
      </w:hyperlink>
      <w:r>
        <w:rPr>
          <w:rFonts w:eastAsia="Arial" w:cs="Arial" w:ascii="Arial" w:hAnsi="Arial"/>
          <w:color w:val="000000"/>
          <w:sz w:val="18"/>
          <w:szCs w:val="18"/>
        </w:rPr>
        <w:t xml:space="preserve">, </w:t>
      </w:r>
      <w:hyperlink w:anchor="page41">
        <w:r>
          <w:rPr>
            <w:rStyle w:val="InternetLink"/>
            <w:rFonts w:eastAsia="Arial" w:cs="Arial" w:ascii="Arial" w:hAnsi="Arial"/>
            <w:color w:val="0000FF"/>
            <w:sz w:val="18"/>
            <w:szCs w:val="18"/>
          </w:rPr>
          <w:t>2011</w:t>
        </w:r>
      </w:hyperlink>
      <w:r>
        <w:rPr>
          <w:rFonts w:eastAsia="Arial" w:cs="Arial" w:ascii="Arial" w:hAnsi="Arial"/>
          <w:color w:val="000000"/>
          <w:sz w:val="18"/>
          <w:szCs w:val="18"/>
        </w:rPr>
        <w:t>), biochronological estimates and the interpretation of past human behaviours.</w:t>
      </w:r>
    </w:p>
    <w:p>
      <w:pPr>
        <w:pStyle w:val="Normal"/>
        <w:spacing w:lineRule="exact" w:line="7"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391" w:before="0" w:after="0"/>
        <w:ind w:left="1240" w:right="1260" w:firstLine="299"/>
        <w:jc w:val="both"/>
        <w:rPr>
          <w:color w:val="00000A"/>
          <w:sz w:val="20"/>
          <w:szCs w:val="20"/>
        </w:rPr>
      </w:pPr>
      <w:r>
        <w:rPr>
          <w:rFonts w:eastAsia="Arial" w:cs="Arial" w:ascii="Arial" w:hAnsi="Arial"/>
          <w:color w:val="00000A"/>
          <w:sz w:val="19"/>
          <w:szCs w:val="19"/>
        </w:rPr>
        <w:t>In this study, we elaborate on a specific aspect - anisotropy - of the spatial prop-erties of taphonomic entities, with implications for the interpretation of taphonomic processes. Anisotropy, as opposed to isotropy, is generally defined as the property of a process of being directionally dependent. Spatial anisotropic patterns can be seen as products of physical anisotropic processes, such as fluvial or eolian processes, which modified at multiple scales and levels of organisation the original spatial properties of taphonomic entities.</w:t>
      </w:r>
    </w:p>
    <w:p>
      <w:pPr>
        <w:pStyle w:val="Normal"/>
        <w:spacing w:lineRule="exact" w:line="6"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417" w:before="0" w:after="0"/>
        <w:ind w:left="1240" w:right="1260" w:firstLine="299"/>
        <w:jc w:val="both"/>
        <w:rPr/>
      </w:pPr>
      <w:r>
        <w:rPr>
          <w:rFonts w:eastAsia="Arial" w:cs="Arial" w:ascii="Arial" w:hAnsi="Arial"/>
          <w:color w:val="00000A"/>
          <w:sz w:val="18"/>
          <w:szCs w:val="18"/>
        </w:rPr>
        <w:t>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w:t>
      </w:r>
      <w:hyperlink w:anchor="page45">
        <w:r>
          <w:rPr>
            <w:rStyle w:val="InternetLink"/>
            <w:rFonts w:eastAsia="Arial" w:cs="Arial" w:ascii="Arial" w:hAnsi="Arial"/>
            <w:color w:val="0000FF"/>
            <w:sz w:val="18"/>
            <w:szCs w:val="18"/>
          </w:rPr>
          <w:t>Petraglia and Nash</w:t>
        </w:r>
      </w:hyperlink>
      <w:r>
        <w:rPr>
          <w:rFonts w:eastAsia="Arial" w:cs="Arial" w:ascii="Arial" w:hAnsi="Arial"/>
          <w:color w:val="00000A"/>
          <w:sz w:val="18"/>
          <w:szCs w:val="18"/>
        </w:rPr>
        <w:t xml:space="preserve">, </w:t>
      </w:r>
      <w:hyperlink w:anchor="page45">
        <w:r>
          <w:rPr>
            <w:rStyle w:val="InternetLink"/>
            <w:rFonts w:eastAsia="Arial" w:cs="Arial" w:ascii="Arial" w:hAnsi="Arial"/>
            <w:color w:val="0000FF"/>
            <w:sz w:val="18"/>
            <w:szCs w:val="18"/>
          </w:rPr>
          <w:t>1987</w:t>
        </w:r>
      </w:hyperlink>
      <w:r>
        <w:rPr>
          <w:rFonts w:eastAsia="Arial" w:cs="Arial" w:ascii="Arial" w:hAnsi="Arial"/>
          <w:color w:val="00000A"/>
          <w:sz w:val="18"/>
          <w:szCs w:val="18"/>
        </w:rPr>
        <w:t xml:space="preserve">; </w:t>
      </w:r>
      <w:hyperlink w:anchor="page45">
        <w:r>
          <w:rPr>
            <w:rStyle w:val="InternetLink"/>
            <w:rFonts w:eastAsia="Arial" w:cs="Arial" w:ascii="Arial" w:hAnsi="Arial"/>
            <w:color w:val="0000FF"/>
            <w:sz w:val="18"/>
            <w:szCs w:val="18"/>
          </w:rPr>
          <w:t>Petraglia and Potts</w:t>
        </w:r>
      </w:hyperlink>
      <w:r>
        <w:rPr>
          <w:rFonts w:eastAsia="Arial" w:cs="Arial" w:ascii="Arial" w:hAnsi="Arial"/>
          <w:color w:val="00000A"/>
          <w:sz w:val="18"/>
          <w:szCs w:val="18"/>
        </w:rPr>
        <w:t xml:space="preserve">, </w:t>
      </w:r>
      <w:hyperlink w:anchor="page45">
        <w:r>
          <w:rPr>
            <w:rStyle w:val="InternetLink"/>
            <w:rFonts w:eastAsia="Arial" w:cs="Arial" w:ascii="Arial" w:hAnsi="Arial"/>
            <w:color w:val="0000FF"/>
            <w:sz w:val="18"/>
            <w:szCs w:val="18"/>
          </w:rPr>
          <w:t>1994</w:t>
        </w:r>
      </w:hyperlink>
      <w:r>
        <w:rPr>
          <w:rFonts w:eastAsia="Arial" w:cs="Arial" w:ascii="Arial" w:hAnsi="Arial"/>
          <w:color w:val="00000A"/>
          <w:sz w:val="18"/>
          <w:szCs w:val="18"/>
        </w:rPr>
        <w:t xml:space="preserve">; </w:t>
      </w:r>
      <w:hyperlink w:anchor="page46">
        <w:r>
          <w:rPr>
            <w:rStyle w:val="InternetLink"/>
            <w:rFonts w:eastAsia="Arial" w:cs="Arial" w:ascii="Arial" w:hAnsi="Arial"/>
            <w:color w:val="0000FF"/>
            <w:sz w:val="18"/>
            <w:szCs w:val="18"/>
          </w:rPr>
          <w:t>Schick</w:t>
        </w:r>
      </w:hyperlink>
      <w:r>
        <w:rPr>
          <w:rFonts w:eastAsia="Arial" w:cs="Arial" w:ascii="Arial" w:hAnsi="Arial"/>
          <w:color w:val="00000A"/>
          <w:sz w:val="18"/>
          <w:szCs w:val="18"/>
        </w:rPr>
        <w:t xml:space="preserve">, </w:t>
      </w:r>
      <w:hyperlink w:anchor="page46">
        <w:r>
          <w:rPr>
            <w:rStyle w:val="InternetLink"/>
            <w:rFonts w:eastAsia="Arial" w:cs="Arial" w:ascii="Arial" w:hAnsi="Arial"/>
            <w:color w:val="0000FF"/>
            <w:sz w:val="18"/>
            <w:szCs w:val="18"/>
          </w:rPr>
          <w:t>1987</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Toots</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1965</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Voorhies</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1969</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among others).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hyperlink w:anchor="page39">
        <w:r>
          <w:rPr>
            <w:rStyle w:val="InternetLink"/>
            <w:rFonts w:eastAsia="Arial" w:cs="Arial" w:ascii="Arial" w:hAnsi="Arial"/>
            <w:color w:val="0000FF"/>
            <w:sz w:val="18"/>
            <w:szCs w:val="18"/>
          </w:rPr>
          <w:t>Cobo-Sánchez et al.</w:t>
        </w:r>
      </w:hyperlink>
      <w:r>
        <w:rPr>
          <w:rFonts w:eastAsia="Arial" w:cs="Arial" w:ascii="Arial" w:hAnsi="Arial"/>
          <w:color w:val="000000"/>
          <w:sz w:val="18"/>
          <w:szCs w:val="18"/>
        </w:rPr>
        <w:t xml:space="preserve">, </w:t>
      </w:r>
      <w:hyperlink w:anchor="page39">
        <w:r>
          <w:rPr>
            <w:rStyle w:val="InternetLink"/>
            <w:rFonts w:eastAsia="Arial" w:cs="Arial" w:ascii="Arial" w:hAnsi="Arial"/>
            <w:color w:val="0000FF"/>
            <w:sz w:val="18"/>
            <w:szCs w:val="18"/>
          </w:rPr>
          <w:t>2014</w:t>
        </w:r>
      </w:hyperlink>
      <w:r>
        <w:rPr>
          <w:rFonts w:eastAsia="Arial" w:cs="Arial" w:ascii="Arial" w:hAnsi="Arial"/>
          <w:color w:val="000000"/>
          <w:sz w:val="18"/>
          <w:szCs w:val="18"/>
        </w:rPr>
        <w:t xml:space="preserve">; </w:t>
      </w:r>
      <w:hyperlink w:anchor="page39">
        <w:r>
          <w:rPr>
            <w:rStyle w:val="InternetLink"/>
            <w:rFonts w:eastAsia="Arial" w:cs="Arial" w:ascii="Arial" w:hAnsi="Arial"/>
            <w:color w:val="0000FF"/>
            <w:sz w:val="18"/>
            <w:szCs w:val="18"/>
          </w:rPr>
          <w:t>Domínguez-Rodrigo et al.</w:t>
        </w:r>
      </w:hyperlink>
      <w:r>
        <w:rPr>
          <w:rFonts w:eastAsia="Arial" w:cs="Arial" w:ascii="Arial" w:hAnsi="Arial"/>
          <w:color w:val="000000"/>
          <w:sz w:val="18"/>
          <w:szCs w:val="18"/>
        </w:rPr>
        <w:t xml:space="preserve">, </w:t>
      </w:r>
      <w:hyperlink w:anchor="page39">
        <w:r>
          <w:rPr>
            <w:rStyle w:val="InternetLink"/>
            <w:rFonts w:eastAsia="Arial" w:cs="Arial" w:ascii="Arial" w:hAnsi="Arial"/>
            <w:color w:val="0000FF"/>
            <w:sz w:val="18"/>
            <w:szCs w:val="18"/>
          </w:rPr>
          <w:t>2012</w:t>
        </w:r>
      </w:hyperlink>
      <w:r>
        <w:rPr>
          <w:rFonts w:eastAsia="Arial" w:cs="Arial" w:ascii="Arial" w:hAnsi="Arial"/>
          <w:color w:val="000000"/>
          <w:sz w:val="18"/>
          <w:szCs w:val="18"/>
        </w:rPr>
        <w:t xml:space="preserve">, </w:t>
      </w:r>
      <w:hyperlink w:anchor="page40">
        <w:r>
          <w:rPr>
            <w:rStyle w:val="InternetLink"/>
            <w:rFonts w:eastAsia="Arial" w:cs="Arial" w:ascii="Arial" w:hAnsi="Arial"/>
            <w:color w:val="0000FF"/>
            <w:sz w:val="18"/>
            <w:szCs w:val="18"/>
          </w:rPr>
          <w:t>2014d</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hence, it can be a necessary but not su cient condition to di erentiate al-lochthony from autochthony (</w:t>
      </w:r>
      <w:hyperlink w:anchor="page43">
        <w:r>
          <w:rPr>
            <w:rStyle w:val="InternetLink"/>
            <w:rFonts w:eastAsia="Arial" w:cs="Arial" w:ascii="Arial" w:hAnsi="Arial"/>
            <w:color w:val="0000FF"/>
            <w:sz w:val="18"/>
            <w:szCs w:val="18"/>
          </w:rPr>
          <w:t>Lenoble and Bertran</w:t>
        </w:r>
      </w:hyperlink>
      <w:r>
        <w:rPr>
          <w:rFonts w:eastAsia="Arial" w:cs="Arial" w:ascii="Arial" w:hAnsi="Arial"/>
          <w:color w:val="000000"/>
          <w:sz w:val="18"/>
          <w:szCs w:val="18"/>
        </w:rPr>
        <w:t xml:space="preserve">, </w:t>
      </w:r>
      <w:hyperlink w:anchor="page43">
        <w:r>
          <w:rPr>
            <w:rStyle w:val="InternetLink"/>
            <w:rFonts w:eastAsia="Arial" w:cs="Arial" w:ascii="Arial" w:hAnsi="Arial"/>
            <w:color w:val="0000FF"/>
            <w:sz w:val="18"/>
            <w:szCs w:val="18"/>
          </w:rPr>
          <w:t>2004</w:t>
        </w:r>
      </w:hyperlink>
      <w:r>
        <w:rPr>
          <w:rFonts w:eastAsia="Arial" w:cs="Arial" w:ascii="Arial" w:hAnsi="Arial"/>
          <w:color w:val="000000"/>
          <w:sz w:val="18"/>
          <w:szCs w:val="18"/>
        </w:rPr>
        <w:t>). Moreover, besides water-flow processes, anisotropy has been as well observed in association with a wide range of other biostratinomic processes, such as slope processes (</w:t>
      </w:r>
      <w:hyperlink w:anchor="page38">
        <w:r>
          <w:rPr>
            <w:rStyle w:val="InternetLink"/>
            <w:rFonts w:eastAsia="Arial" w:cs="Arial" w:ascii="Arial" w:hAnsi="Arial"/>
            <w:color w:val="0000FF"/>
            <w:sz w:val="18"/>
            <w:szCs w:val="18"/>
          </w:rPr>
          <w:t>Bertran and Texier</w:t>
        </w:r>
      </w:hyperlink>
      <w:r>
        <w:rPr>
          <w:rFonts w:eastAsia="Arial" w:cs="Arial" w:ascii="Arial" w:hAnsi="Arial"/>
          <w:color w:val="000000"/>
          <w:sz w:val="18"/>
          <w:szCs w:val="18"/>
        </w:rPr>
        <w:t xml:space="preserve">, </w:t>
      </w:r>
      <w:hyperlink w:anchor="page38">
        <w:r>
          <w:rPr>
            <w:rStyle w:val="InternetLink"/>
            <w:rFonts w:eastAsia="Arial" w:cs="Arial" w:ascii="Arial" w:hAnsi="Arial"/>
            <w:color w:val="0000FF"/>
            <w:sz w:val="18"/>
            <w:szCs w:val="18"/>
          </w:rPr>
          <w:t>1995</w:t>
        </w:r>
      </w:hyperlink>
      <w:r>
        <w:rPr>
          <w:rFonts w:eastAsia="Arial" w:cs="Arial" w:ascii="Arial" w:hAnsi="Arial"/>
          <w:color w:val="000000"/>
          <w:sz w:val="18"/>
          <w:szCs w:val="18"/>
        </w:rPr>
        <w:t>) and trampling (</w:t>
      </w:r>
      <w:hyperlink w:anchor="page38">
        <w:r>
          <w:rPr>
            <w:rStyle w:val="InternetLink"/>
            <w:rFonts w:eastAsia="Arial" w:cs="Arial" w:ascii="Arial" w:hAnsi="Arial"/>
            <w:color w:val="0000FF"/>
            <w:sz w:val="18"/>
            <w:szCs w:val="18"/>
          </w:rPr>
          <w:t>Benito-Calvo et al.</w:t>
        </w:r>
      </w:hyperlink>
      <w:r>
        <w:rPr>
          <w:rFonts w:eastAsia="Arial" w:cs="Arial" w:ascii="Arial" w:hAnsi="Arial"/>
          <w:color w:val="000000"/>
          <w:sz w:val="18"/>
          <w:szCs w:val="18"/>
        </w:rPr>
        <w:t xml:space="preserve">, </w:t>
      </w:r>
      <w:hyperlink w:anchor="page38">
        <w:r>
          <w:rPr>
            <w:rStyle w:val="InternetLink"/>
            <w:rFonts w:eastAsia="Arial" w:cs="Arial" w:ascii="Arial" w:hAnsi="Arial"/>
            <w:color w:val="0000FF"/>
            <w:sz w:val="18"/>
            <w:szCs w:val="18"/>
          </w:rPr>
          <w:t>2011</w:t>
        </w:r>
      </w:hyperlink>
      <w:r>
        <w:rPr>
          <w:rFonts w:eastAsia="Arial" w:cs="Arial" w:ascii="Arial" w:hAnsi="Arial"/>
          <w:color w:val="000000"/>
          <w:sz w:val="18"/>
          <w:szCs w:val="18"/>
        </w:rPr>
        <w:t>).</w:t>
      </w:r>
    </w:p>
    <w:p>
      <w:pPr>
        <w:pStyle w:val="Normal"/>
        <w:spacing w:lineRule="auto" w:line="415" w:before="0" w:after="0"/>
        <w:ind w:left="1240" w:right="1260" w:firstLine="299"/>
        <w:jc w:val="both"/>
        <w:rPr/>
      </w:pPr>
      <w:r>
        <w:rPr>
          <w:rFonts w:eastAsia="Arial" w:cs="Arial" w:ascii="Arial" w:hAnsi="Arial"/>
          <w:color w:val="00000A"/>
          <w:sz w:val="18"/>
          <w:szCs w:val="18"/>
        </w:rPr>
        <w:t xml:space="preserve">Although the anisotropy of basic taphonomic elements have been long studied, the anisotropy of higher level taphonomic entities received by far less attention (see </w:t>
      </w:r>
      <w:hyperlink w:anchor="page44">
        <w:r>
          <w:rPr>
            <w:rStyle w:val="InternetLink"/>
            <w:rFonts w:eastAsia="Arial" w:cs="Arial" w:ascii="Arial" w:hAnsi="Arial"/>
            <w:color w:val="0000FF"/>
            <w:sz w:val="18"/>
            <w:szCs w:val="18"/>
          </w:rPr>
          <w:t>Markofsky and Bevan</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4">
        <w:r>
          <w:rPr>
            <w:rStyle w:val="InternetLink"/>
            <w:rFonts w:eastAsia="Arial" w:cs="Arial" w:ascii="Arial" w:hAnsi="Arial"/>
            <w:color w:val="0000FF"/>
            <w:sz w:val="18"/>
            <w:szCs w:val="18"/>
          </w:rPr>
          <w:t xml:space="preserve">2012 </w:t>
        </w:r>
      </w:hyperlink>
      <w:r>
        <w:rPr>
          <w:rFonts w:eastAsia="Arial" w:cs="Arial" w:ascii="Arial" w:hAnsi="Arial"/>
          <w:color w:val="000000"/>
          <w:sz w:val="18"/>
          <w:szCs w:val="18"/>
        </w:rPr>
        <w:t>for</w:t>
      </w:r>
      <w:r>
        <w:rPr>
          <w:rFonts w:eastAsia="Arial" w:cs="Arial" w:ascii="Arial" w:hAnsi="Arial"/>
          <w:color w:val="0000FF"/>
          <w:sz w:val="18"/>
          <w:szCs w:val="18"/>
        </w:rPr>
        <w:t xml:space="preserve"> </w:t>
      </w:r>
      <w:r>
        <w:rPr>
          <w:rFonts w:eastAsia="Arial" w:cs="Arial" w:ascii="Arial" w:hAnsi="Arial"/>
          <w:color w:val="000000"/>
          <w:sz w:val="18"/>
          <w:szCs w:val="18"/>
        </w:rPr>
        <w:t>a directional analysis of archaeological surface distri-butions). Here we address this research gap and conduct a spatial taphonomic study of anisotropy both at the level of fossil specimens and at the assemblage level. The present study uses a comprehensive set of spatial statistics (fabric analysis, geostatis-tics, wavelet analysis, point pattern analysis) in order to identify directional trends that may not be readily apparent. Indeed, beyond the traditional approach of eye-spotting spatial patterns, spatial statistics allow one to adopt a more formal, quantitative ap-proach.</w:t>
      </w:r>
    </w:p>
    <w:p>
      <w:pPr>
        <w:pStyle w:val="Normal"/>
        <w:spacing w:lineRule="exact" w:line="7" w:before="0" w:after="0"/>
        <w:rPr>
          <w:color w:val="00000A"/>
          <w:sz w:val="20"/>
          <w:szCs w:val="20"/>
        </w:rPr>
      </w:pPr>
      <w:r>
        <w:rPr>
          <w:color w:val="00000A"/>
          <w:sz w:val="20"/>
          <w:szCs w:val="20"/>
        </w:rPr>
      </w:r>
    </w:p>
    <w:p>
      <w:pPr>
        <w:pStyle w:val="Normal"/>
        <w:spacing w:lineRule="auto" w:line="439" w:before="0" w:after="0"/>
        <w:ind w:left="1240" w:right="1260" w:firstLine="299"/>
        <w:jc w:val="both"/>
        <w:rPr/>
      </w:pPr>
      <w:r>
        <w:rPr>
          <w:rFonts w:eastAsia="Arial" w:cs="Arial" w:ascii="Arial" w:hAnsi="Arial"/>
          <w:color w:val="00000A"/>
          <w:sz w:val="17"/>
          <w:szCs w:val="17"/>
        </w:rPr>
        <w:t>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paleoflows in a range of depositional environments, including turbidite systems, contouritic drifts, beaches, deltas and tidal flats (</w:t>
      </w:r>
      <w:hyperlink w:anchor="page41">
        <w:r>
          <w:rPr>
            <w:rStyle w:val="InternetLink"/>
            <w:rFonts w:eastAsia="Arial" w:cs="Arial" w:ascii="Arial" w:hAnsi="Arial"/>
            <w:color w:val="0000FF"/>
            <w:sz w:val="17"/>
            <w:szCs w:val="17"/>
          </w:rPr>
          <w:t>Felletti et al.</w:t>
        </w:r>
      </w:hyperlink>
      <w:r>
        <w:rPr>
          <w:rFonts w:eastAsia="Arial" w:cs="Arial" w:ascii="Arial" w:hAnsi="Arial"/>
          <w:color w:val="00000A"/>
          <w:sz w:val="17"/>
          <w:szCs w:val="17"/>
        </w:rPr>
        <w:t xml:space="preserve">, </w:t>
      </w:r>
      <w:hyperlink w:anchor="page41">
        <w:r>
          <w:rPr>
            <w:rStyle w:val="InternetLink"/>
            <w:rFonts w:eastAsia="Arial" w:cs="Arial" w:ascii="Arial" w:hAnsi="Arial"/>
            <w:color w:val="0000FF"/>
            <w:sz w:val="17"/>
            <w:szCs w:val="17"/>
          </w:rPr>
          <w:t>2016</w:t>
        </w:r>
      </w:hyperlink>
      <w:r>
        <w:rPr>
          <w:rFonts w:eastAsia="Arial" w:cs="Arial" w:ascii="Arial" w:hAnsi="Arial"/>
          <w:color w:val="00000A"/>
          <w:sz w:val="17"/>
          <w:szCs w:val="17"/>
        </w:rPr>
        <w:t xml:space="preserve">; </w:t>
      </w:r>
      <w:hyperlink w:anchor="page44">
        <w:r>
          <w:rPr>
            <w:rStyle w:val="InternetLink"/>
            <w:rFonts w:eastAsia="Arial" w:cs="Arial" w:ascii="Arial" w:hAnsi="Arial"/>
            <w:color w:val="0000FF"/>
            <w:sz w:val="17"/>
            <w:szCs w:val="17"/>
          </w:rPr>
          <w:t>Liu et al.</w:t>
        </w:r>
      </w:hyperlink>
      <w:r>
        <w:rPr>
          <w:rFonts w:eastAsia="Arial" w:cs="Arial" w:ascii="Arial" w:hAnsi="Arial"/>
          <w:color w:val="00000A"/>
          <w:sz w:val="17"/>
          <w:szCs w:val="17"/>
        </w:rPr>
        <w:t xml:space="preserve">, </w:t>
      </w:r>
      <w:hyperlink w:anchor="page44">
        <w:r>
          <w:rPr>
            <w:rStyle w:val="InternetLink"/>
            <w:rFonts w:eastAsia="Arial" w:cs="Arial" w:ascii="Arial" w:hAnsi="Arial"/>
            <w:color w:val="0000FF"/>
            <w:sz w:val="17"/>
            <w:szCs w:val="17"/>
          </w:rPr>
          <w:t>2001</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Lowrie and Hirt</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Novak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2014</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Parés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2007</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among others).</w:t>
      </w:r>
    </w:p>
    <w:p>
      <w:pPr>
        <w:pStyle w:val="Normal"/>
        <w:spacing w:lineRule="exact" w:line="2"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lineRule="auto" w:line="374" w:before="0" w:after="0"/>
        <w:ind w:left="1240" w:right="960" w:firstLine="299"/>
        <w:rPr/>
      </w:pPr>
      <w:r>
        <w:rPr>
          <w:rFonts w:eastAsia="Arial" w:cs="Arial" w:ascii="Arial" w:hAnsi="Arial"/>
          <w:color w:val="00000A"/>
          <w:sz w:val="20"/>
          <w:szCs w:val="20"/>
        </w:rPr>
        <w:t xml:space="preserve">Therefore, integrating the results of our multiscale and multilevel analysis of anisotropy with preliminary remarks about di erential taphonomic preservation, sedimentologi-cal and micromorphological observations, we aim to disentangle the taphonomic his-tory of the fossiliferous locality Tsiotra Vryssi (Mygdonia Basin, Macedonia, Greece; </w:t>
      </w:r>
      <w:hyperlink w:anchor="page43">
        <w:r>
          <w:rPr>
            <w:rStyle w:val="InternetLink"/>
            <w:rFonts w:eastAsia="Arial" w:cs="Arial" w:ascii="Arial" w:hAnsi="Arial"/>
            <w:color w:val="0000FF"/>
            <w:sz w:val="20"/>
            <w:szCs w:val="20"/>
          </w:rPr>
          <w:t>Konidaris et al.</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3">
        <w:r>
          <w:rPr>
            <w:rStyle w:val="InternetLink"/>
            <w:rFonts w:eastAsia="Arial" w:cs="Arial" w:ascii="Arial" w:hAnsi="Arial"/>
            <w:color w:val="0000FF"/>
            <w:sz w:val="20"/>
            <w:szCs w:val="20"/>
          </w:rPr>
          <w:t>2015</w:t>
        </w:r>
      </w:hyperlink>
      <w:r>
        <w:rPr>
          <w:rFonts w:eastAsia="Arial" w:cs="Arial" w:ascii="Arial" w:hAnsi="Arial"/>
          <w:color w:val="000000"/>
          <w:sz w:val="20"/>
          <w:szCs w:val="20"/>
        </w:rPr>
        <w:t>).</w:t>
      </w:r>
    </w:p>
    <w:p>
      <w:pPr>
        <w:pStyle w:val="Normal"/>
        <w:spacing w:lineRule="exact" w:line="1" w:before="0" w:after="0"/>
        <w:rPr>
          <w:color w:val="00000A"/>
          <w:sz w:val="20"/>
          <w:szCs w:val="20"/>
        </w:rPr>
      </w:pPr>
      <w:r>
        <w:rPr>
          <w:color w:val="00000A"/>
          <w:sz w:val="20"/>
          <w:szCs w:val="20"/>
        </w:rPr>
      </w:r>
    </w:p>
    <w:p>
      <w:pPr>
        <w:pStyle w:val="Normal"/>
        <w:spacing w:lineRule="auto" w:line="432" w:before="0" w:after="0"/>
        <w:ind w:left="1240" w:right="1260" w:firstLine="299"/>
        <w:jc w:val="both"/>
        <w:rPr/>
      </w:pPr>
      <w:r>
        <w:rPr>
          <w:rFonts w:eastAsia="Arial" w:cs="Arial" w:ascii="Arial" w:hAnsi="Arial"/>
          <w:color w:val="00000A"/>
          <w:sz w:val="18"/>
          <w:szCs w:val="18"/>
        </w:rPr>
        <w:t>Finally, this study o ers an important contribution to the building of a spatial tapho-nomic referential framework for the interpretation of other fossil vertebrate assem-blages, including archaeo-palaeontological ones (</w:t>
      </w:r>
      <w:hyperlink w:anchor="page40">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A"/>
          <w:sz w:val="18"/>
          <w:szCs w:val="18"/>
        </w:rPr>
        <w:t>).</w:t>
      </w:r>
    </w:p>
    <w:p>
      <w:pPr>
        <w:pStyle w:val="Normal"/>
        <w:spacing w:lineRule="exact" w:line="310"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2. The palaeontological site of Tsiotra Vryssi (TSR)</w:t>
      </w:r>
    </w:p>
    <w:p>
      <w:pPr>
        <w:pStyle w:val="Normal"/>
        <w:spacing w:lineRule="exact" w:line="315" w:before="0" w:after="0"/>
        <w:rPr>
          <w:color w:val="00000A"/>
          <w:sz w:val="20"/>
          <w:szCs w:val="20"/>
        </w:rPr>
      </w:pPr>
      <w:r>
        <w:rPr>
          <w:color w:val="00000A"/>
          <w:sz w:val="20"/>
          <w:szCs w:val="20"/>
        </w:rPr>
      </w:r>
    </w:p>
    <w:p>
      <w:pPr>
        <w:pStyle w:val="Normal"/>
        <w:spacing w:lineRule="auto" w:line="432" w:before="0" w:after="0"/>
        <w:ind w:left="1240" w:right="1260" w:firstLine="299"/>
        <w:jc w:val="both"/>
        <w:rPr/>
      </w:pPr>
      <w:r>
        <w:rPr>
          <w:rFonts w:eastAsia="Arial" w:cs="Arial" w:ascii="Arial" w:hAnsi="Arial"/>
          <w:color w:val="00000A"/>
          <w:sz w:val="18"/>
          <w:szCs w:val="18"/>
        </w:rPr>
        <w:t xml:space="preserve">Tsiotra Vryssi (TSR) is located in the Mygdonia Basin (Macedonia, Greece), about 45 km Southeast of Thessaloniki (Fig. </w:t>
      </w:r>
      <w:hyperlink w:anchor="page5">
        <w:r>
          <w:rPr>
            <w:rStyle w:val="InternetLink"/>
            <w:rFonts w:eastAsia="Arial" w:cs="Arial" w:ascii="Arial" w:hAnsi="Arial"/>
            <w:color w:val="0000FF"/>
            <w:sz w:val="18"/>
            <w:szCs w:val="18"/>
          </w:rPr>
          <w:t>1</w:t>
        </w:r>
      </w:hyperlink>
      <w:r>
        <w:rPr>
          <w:rFonts w:eastAsia="Arial" w:cs="Arial" w:ascii="Arial" w:hAnsi="Arial"/>
          <w:color w:val="00000A"/>
          <w:sz w:val="18"/>
          <w:szCs w:val="18"/>
        </w:rPr>
        <w:t xml:space="preserve">). TSR was discovered in 2014 by a joint research team from the Aristotle University of Thessaloniki and the Eberhard Karls </w:t>
      </w:r>
      <w:r>
        <w:rPr>
          <w:rFonts w:eastAsia="Arial" w:cs="Arial" w:ascii="Arial" w:hAnsi="Arial"/>
          <w:color w:val="00000A"/>
          <w:sz w:val="20"/>
          <w:szCs w:val="20"/>
        </w:rPr>
        <w:t xml:space="preserve">University of Tübingen during systematic field surveys in the basin. After the first collection of fossils from the exposed natural section and the test excavation carried out in 2014, systematic excavation of the site took place in 2015 and is still ongoing (Fig. </w:t>
      </w:r>
      <w:hyperlink w:anchor="page6">
        <w:r>
          <w:rPr>
            <w:rStyle w:val="InternetLink"/>
            <w:rFonts w:eastAsia="Arial" w:cs="Arial" w:ascii="Arial" w:hAnsi="Arial"/>
            <w:color w:val="0000FF"/>
            <w:sz w:val="20"/>
            <w:szCs w:val="20"/>
          </w:rPr>
          <w:t>2</w:t>
        </w:r>
      </w:hyperlink>
      <w:r>
        <w:rPr>
          <w:rFonts w:eastAsia="Arial" w:cs="Arial" w:ascii="Arial" w:hAnsi="Arial"/>
          <w:color w:val="00000A"/>
          <w:sz w:val="20"/>
          <w:szCs w:val="20"/>
        </w:rPr>
        <w:t>a).</w:t>
      </w:r>
    </w:p>
    <w:p>
      <w:pPr>
        <w:pStyle w:val="Normal"/>
        <w:spacing w:lineRule="exact" w:line="1" w:before="0" w:after="0"/>
        <w:rPr>
          <w:color w:val="00000A"/>
          <w:sz w:val="20"/>
          <w:szCs w:val="20"/>
        </w:rPr>
      </w:pPr>
      <w:r>
        <w:rPr>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To date, the excavation covers about a 10 m-thick stratigraphic interval from the upper Gerakarou Formation (Fig. </w:t>
      </w:r>
      <w:hyperlink w:anchor="page5">
        <w:r>
          <w:rPr>
            <w:rStyle w:val="InternetLink"/>
            <w:rFonts w:eastAsia="Arial" w:cs="Arial" w:ascii="Arial" w:hAnsi="Arial"/>
            <w:color w:val="0000FF"/>
            <w:sz w:val="18"/>
            <w:szCs w:val="18"/>
          </w:rPr>
          <w:t>1</w:t>
        </w:r>
      </w:hyperlink>
      <w:r>
        <w:rPr>
          <w:rFonts w:eastAsia="Arial" w:cs="Arial" w:ascii="Arial" w:hAnsi="Arial"/>
          <w:color w:val="00000A"/>
          <w:sz w:val="18"/>
          <w:szCs w:val="18"/>
        </w:rPr>
        <w:t>), a suite of continental clastic deposits of mainly fluvial origin and inter-layered paleosols (</w:t>
      </w:r>
      <w:hyperlink w:anchor="page43">
        <w:r>
          <w:rPr>
            <w:rStyle w:val="InternetLink"/>
            <w:rFonts w:eastAsia="Arial" w:cs="Arial" w:ascii="Arial" w:hAnsi="Arial"/>
            <w:color w:val="0000FF"/>
            <w:sz w:val="18"/>
            <w:szCs w:val="18"/>
          </w:rPr>
          <w:t>Konidaris et al.</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2015</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Koufos et al.</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1995</w:t>
        </w:r>
      </w:hyperlink>
      <w:r>
        <w:rPr>
          <w:rFonts w:eastAsia="Arial" w:cs="Arial" w:ascii="Arial" w:hAnsi="Arial"/>
          <w:color w:val="00000A"/>
          <w:sz w:val="18"/>
          <w:szCs w:val="18"/>
        </w:rPr>
        <w:t xml:space="preserve">). The TSR fauna occurs mainly within a c. 1 m-thick interval of silts (uppermost part of unit Geo2, see Fig </w:t>
      </w:r>
      <w:hyperlink w:anchor="page8">
        <w:r>
          <w:rPr>
            <w:rStyle w:val="InternetLink"/>
            <w:rFonts w:eastAsia="Arial" w:cs="Arial" w:ascii="Arial" w:hAnsi="Arial"/>
            <w:color w:val="0000FF"/>
            <w:sz w:val="18"/>
            <w:szCs w:val="18"/>
          </w:rPr>
          <w:t>3</w:t>
        </w:r>
      </w:hyperlink>
      <w:r>
        <w:rPr>
          <w:rFonts w:eastAsia="Arial" w:cs="Arial" w:ascii="Arial" w:hAnsi="Arial"/>
          <w:color w:val="00000A"/>
          <w:sz w:val="18"/>
          <w:szCs w:val="18"/>
        </w:rPr>
        <w:t>) and comprises several mammalian taxa, as well as some birds and reptiles, whose preliminary biochronological correlation is consistent with a late Villafranchian (Early Pleistocene) age (</w:t>
      </w:r>
      <w:hyperlink w:anchor="page42">
        <w:r>
          <w:rPr>
            <w:rStyle w:val="InternetLink"/>
            <w:rFonts w:eastAsia="Arial" w:cs="Arial" w:ascii="Arial" w:hAnsi="Arial"/>
            <w:color w:val="0000FF"/>
            <w:sz w:val="18"/>
            <w:szCs w:val="18"/>
          </w:rPr>
          <w:t>Konidaris et al.</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2016</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2015</w:t>
        </w:r>
      </w:hyperlink>
      <w:r>
        <w:rPr>
          <w:rFonts w:eastAsia="Arial" w:cs="Arial" w:ascii="Arial" w:hAnsi="Arial"/>
          <w:color w:val="00000A"/>
          <w:sz w:val="18"/>
          <w:szCs w:val="18"/>
        </w:rPr>
        <w:t>).</w:t>
      </w:r>
    </w:p>
    <w:p>
      <w:pPr>
        <w:pStyle w:val="Normal"/>
        <w:spacing w:lineRule="exact" w:line="5"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before="0" w:after="0"/>
        <w:ind w:left="1540" w:hanging="0"/>
        <w:rPr/>
      </w:pPr>
      <w:r>
        <w:rPr>
          <w:rFonts w:eastAsia="Arial" w:cs="Arial" w:ascii="Arial" w:hAnsi="Arial"/>
          <w:color w:val="00000A"/>
          <w:sz w:val="17"/>
          <w:szCs w:val="17"/>
        </w:rPr>
        <w:t>Two main depositional units are identified (Geo 1 and Geo 2, from younger to older;</w:t>
      </w:r>
    </w:p>
    <w:p>
      <w:pPr>
        <w:pStyle w:val="Normal"/>
        <w:spacing w:lineRule="auto" w:line="439" w:before="0" w:after="0"/>
        <w:ind w:left="1240" w:right="1260" w:hanging="0"/>
        <w:jc w:val="both"/>
        <w:rPr/>
      </w:pPr>
      <w:r>
        <w:rPr>
          <w:rFonts w:eastAsia="Arial" w:cs="Arial" w:ascii="Arial" w:hAnsi="Arial"/>
          <w:color w:val="00000A"/>
          <w:sz w:val="17"/>
          <w:szCs w:val="17"/>
        </w:rPr>
        <w:t xml:space="preserve">Fig. </w:t>
      </w:r>
      <w:hyperlink w:anchor="page8">
        <w:r>
          <w:rPr>
            <w:rStyle w:val="InternetLink"/>
            <w:rFonts w:eastAsia="Arial" w:cs="Arial" w:ascii="Arial" w:hAnsi="Arial"/>
            <w:color w:val="0000FF"/>
            <w:sz w:val="17"/>
            <w:szCs w:val="17"/>
          </w:rPr>
          <w:t>3</w:t>
        </w:r>
      </w:hyperlink>
      <w:r>
        <w:rPr>
          <w:rFonts w:eastAsia="Arial" w:cs="Arial" w:ascii="Arial" w:hAnsi="Arial"/>
          <w:color w:val="00000A"/>
          <w:sz w:val="17"/>
          <w:szCs w:val="17"/>
        </w:rPr>
        <w:t xml:space="preserve">). The fossiliferous unit Geo 2 begins with 1.5 m (Geo 2b in Fig. </w:t>
      </w:r>
      <w:hyperlink w:anchor="page8">
        <w:r>
          <w:rPr>
            <w:rStyle w:val="InternetLink"/>
            <w:rFonts w:eastAsia="Arial" w:cs="Arial" w:ascii="Arial" w:hAnsi="Arial"/>
            <w:color w:val="0000FF"/>
            <w:sz w:val="17"/>
            <w:szCs w:val="17"/>
          </w:rPr>
          <w:t>3</w:t>
        </w:r>
      </w:hyperlink>
      <w:r>
        <w:rPr>
          <w:rFonts w:eastAsia="Arial" w:cs="Arial" w:ascii="Arial" w:hAnsi="Arial"/>
          <w:color w:val="00000A"/>
          <w:sz w:val="17"/>
          <w:szCs w:val="17"/>
        </w:rPr>
        <w:t xml:space="preserve">) of cross-stratified gravelly sands organised into dm-thick beds with a range of planar to trough-cross laminations. Noteworthy, Geo 2b can be followed laterally for at least 150m in the E-W direction, suggesting an extensive setting of deposition. Above a sharp contact, a few tens of cm of well-sorted, structure-less fine sands follow, which rapidly grade upward into the deposit forming the matrix of the main TSR fossil assemblage (Geo 2a in Fig. </w:t>
      </w:r>
      <w:hyperlink w:anchor="page8">
        <w:r>
          <w:rPr>
            <w:rStyle w:val="InternetLink"/>
            <w:rFonts w:eastAsia="Arial" w:cs="Arial" w:ascii="Arial" w:hAnsi="Arial"/>
            <w:color w:val="0000FF"/>
            <w:sz w:val="17"/>
            <w:szCs w:val="17"/>
          </w:rPr>
          <w:t>3</w:t>
        </w:r>
      </w:hyperlink>
      <w:r>
        <w:rPr>
          <w:rFonts w:eastAsia="Arial" w:cs="Arial" w:ascii="Arial" w:hAnsi="Arial"/>
          <w:color w:val="00000A"/>
          <w:sz w:val="17"/>
          <w:szCs w:val="17"/>
        </w:rPr>
        <w:t>). This is represented by 1 m of poorly sorted silts (moderately rich in mica grains), locally intercalated by cm-thick lenses of medium-coarse grained sands and relatively more clayey in the uppermost 30 cm of the deposit. Apart for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in Section 4.5).</w:t>
      </w:r>
    </w:p>
    <w:p>
      <w:pPr>
        <w:pStyle w:val="Normal"/>
        <w:spacing w:lineRule="exact" w:line="5"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Geo 1b is represented by an up to 2 m-thick bed set of cross-stratified gravelly sands and gravels, similar to those observed in Geo 2b (Fig. </w:t>
      </w:r>
      <w:hyperlink w:anchor="page8">
        <w:r>
          <w:rPr>
            <w:rStyle w:val="InternetLink"/>
            <w:rFonts w:eastAsia="Arial" w:cs="Arial" w:ascii="Arial" w:hAnsi="Arial"/>
            <w:color w:val="0000FF"/>
            <w:sz w:val="18"/>
            <w:szCs w:val="18"/>
          </w:rPr>
          <w:t>3</w:t>
        </w:r>
      </w:hyperlink>
      <w:r>
        <w:rPr>
          <w:rFonts w:eastAsia="Arial" w:cs="Arial" w:ascii="Arial" w:hAnsi="Arial"/>
          <w:color w:val="00000A"/>
          <w:sz w:val="18"/>
          <w:szCs w:val="18"/>
        </w:rPr>
        <w:t>). It sits on top of a basal erosion,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 m-thick section of poorly silty sands devoid of coarse intercalations, which rapidly grades into clayey silts of a distinctive pale brown colour.</w:t>
      </w:r>
    </w:p>
    <w:p>
      <w:pPr>
        <w:pStyle w:val="Normal"/>
        <w:spacing w:lineRule="exact" w:line="6"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381" w:before="0" w:after="0"/>
        <w:ind w:left="1240" w:right="1260" w:firstLine="299"/>
        <w:jc w:val="both"/>
        <w:rPr/>
      </w:pPr>
      <w:r>
        <w:rPr>
          <w:rFonts w:eastAsia="Arial" w:cs="Arial" w:ascii="Arial" w:hAnsi="Arial"/>
          <w:color w:val="00000A"/>
          <w:sz w:val="19"/>
          <w:szCs w:val="19"/>
        </w:rPr>
        <w:t>Overall, the stratigraphic position of TSR in the fluvioterrestrial Gerakarou Forma-tion (</w:t>
      </w:r>
      <w:hyperlink w:anchor="page43">
        <w:r>
          <w:rPr>
            <w:rStyle w:val="InternetLink"/>
            <w:rFonts w:eastAsia="Arial" w:cs="Arial" w:ascii="Arial" w:hAnsi="Arial"/>
            <w:color w:val="0000FF"/>
            <w:sz w:val="19"/>
            <w:szCs w:val="19"/>
          </w:rPr>
          <w:t>Koufos et al.</w:t>
        </w:r>
      </w:hyperlink>
      <w:r>
        <w:rPr>
          <w:rFonts w:eastAsia="Arial" w:cs="Arial" w:ascii="Arial" w:hAnsi="Arial"/>
          <w:color w:val="00000A"/>
          <w:sz w:val="19"/>
          <w:szCs w:val="19"/>
        </w:rPr>
        <w:t xml:space="preserve">, </w:t>
      </w:r>
      <w:hyperlink w:anchor="page43">
        <w:r>
          <w:rPr>
            <w:rStyle w:val="InternetLink"/>
            <w:rFonts w:eastAsia="Arial" w:cs="Arial" w:ascii="Arial" w:hAnsi="Arial"/>
            <w:color w:val="0000FF"/>
            <w:sz w:val="19"/>
            <w:szCs w:val="19"/>
          </w:rPr>
          <w:t>1995</w:t>
        </w:r>
      </w:hyperlink>
      <w:r>
        <w:rPr>
          <w:rFonts w:eastAsia="Arial" w:cs="Arial" w:ascii="Arial" w:hAnsi="Arial"/>
          <w:color w:val="00000A"/>
          <w:sz w:val="19"/>
          <w:szCs w:val="19"/>
        </w:rPr>
        <w:t xml:space="preserve">) and the specific sedimentary sequence of the site indicate that the TSR assemblage formed in a relatively low energy fluvial environment. A pre-liminary visual inspection of the vertical and horizontal distribution of the fossil finds (Fig. </w:t>
      </w:r>
      <w:hyperlink w:anchor="page9">
        <w:r>
          <w:rPr>
            <w:rStyle w:val="InternetLink"/>
            <w:rFonts w:eastAsia="Arial" w:cs="Arial" w:ascii="Arial" w:hAnsi="Arial"/>
            <w:color w:val="0000FF"/>
            <w:sz w:val="19"/>
            <w:szCs w:val="19"/>
          </w:rPr>
          <w:t>4</w:t>
        </w:r>
      </w:hyperlink>
      <w:r>
        <w:rPr>
          <w:rFonts w:eastAsia="Arial" w:cs="Arial" w:ascii="Arial" w:hAnsi="Arial"/>
          <w:color w:val="00000A"/>
          <w:sz w:val="19"/>
          <w:szCs w:val="19"/>
        </w:rPr>
        <w:t>) suggests a densely preserved association of fossils (about 24 elements/m</w:t>
      </w:r>
      <w:r>
        <w:rPr>
          <w:rFonts w:eastAsia="Arial" w:cs="Arial" w:ascii="Arial" w:hAnsi="Arial"/>
          <w:color w:val="00000A"/>
          <w:sz w:val="26"/>
          <w:szCs w:val="26"/>
          <w:vertAlign w:val="superscript"/>
        </w:rPr>
        <w:t>2</w:t>
      </w:r>
      <w:r>
        <w:rPr>
          <w:rFonts w:eastAsia="Arial" w:cs="Arial" w:ascii="Arial" w:hAnsi="Arial"/>
          <w:color w:val="00000A"/>
          <w:sz w:val="19"/>
          <w:szCs w:val="19"/>
        </w:rPr>
        <w:t>), ho-mogeneously distributed within the study area. Apparent anisotropy is also suggested at assemblage level.</w:t>
      </w:r>
    </w:p>
    <w:p>
      <w:pPr>
        <w:pStyle w:val="Normal"/>
        <w:spacing w:lineRule="auto" w:line="381" w:before="0" w:after="0"/>
        <w:ind w:left="1240" w:right="1260" w:firstLine="299"/>
        <w:jc w:val="both"/>
        <w:rPr/>
      </w:pPr>
      <w:r>
        <w:rPr>
          <w:rFonts w:eastAsia="Arial" w:cs="Arial" w:ascii="Arial" w:hAnsi="Arial"/>
          <w:color w:val="00000A"/>
          <w:sz w:val="20"/>
          <w:szCs w:val="20"/>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Normal"/>
        <w:spacing w:lineRule="exact" w:line="345"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 Material and methods</w:t>
      </w:r>
    </w:p>
    <w:p>
      <w:pPr>
        <w:pStyle w:val="Normal"/>
        <w:spacing w:lineRule="exact" w:line="314"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3.1. Data collection and sub-setting</w:t>
      </w:r>
    </w:p>
    <w:p>
      <w:pPr>
        <w:pStyle w:val="Normal"/>
        <w:spacing w:lineRule="exact" w:line="171" w:before="0" w:after="0"/>
        <w:rPr>
          <w:color w:val="00000A"/>
          <w:sz w:val="20"/>
          <w:szCs w:val="20"/>
        </w:rPr>
      </w:pPr>
      <w:r>
        <w:rPr>
          <w:color w:val="00000A"/>
          <w:sz w:val="20"/>
          <w:szCs w:val="20"/>
        </w:rPr>
      </w:r>
    </w:p>
    <w:p>
      <w:pPr>
        <w:pStyle w:val="Normal"/>
        <w:spacing w:lineRule="auto" w:line="429" w:before="0" w:after="0"/>
        <w:ind w:left="1240" w:right="1260" w:firstLine="299"/>
        <w:jc w:val="both"/>
        <w:rPr/>
      </w:pPr>
      <w:r>
        <w:rPr>
          <w:rFonts w:eastAsia="Arial" w:cs="Arial" w:ascii="Arial" w:hAnsi="Arial"/>
          <w:color w:val="00000A"/>
          <w:sz w:val="17"/>
          <w:szCs w:val="17"/>
        </w:rPr>
        <w:t>Since 2015 a grid of 1 m</w:t>
      </w:r>
      <w:r>
        <w:rPr>
          <w:rFonts w:eastAsia="Arial" w:cs="Arial" w:ascii="Arial" w:hAnsi="Arial"/>
          <w:color w:val="00000A"/>
          <w:sz w:val="23"/>
          <w:szCs w:val="23"/>
          <w:vertAlign w:val="superscript"/>
        </w:rPr>
        <w:t>2</w:t>
      </w:r>
      <w:r>
        <w:rPr>
          <w:rFonts w:eastAsia="Arial" w:cs="Arial" w:ascii="Arial" w:hAnsi="Arial"/>
          <w:color w:val="00000A"/>
          <w:sz w:val="17"/>
          <w:szCs w:val="17"/>
        </w:rPr>
        <w:t xml:space="preserve"> units was set up and a total station was used in or-der to record the spatial provenience of collected (i.e., diagnostic bones and teeth, and carnivore modified bones) and not collected remains (i.e., non-diagnostic bone fragments with length 50 mm; Fig. </w:t>
      </w:r>
      <w:hyperlink w:anchor="page6">
        <w:r>
          <w:rPr>
            <w:rStyle w:val="InternetLink"/>
            <w:rFonts w:eastAsia="Arial" w:cs="Arial" w:ascii="Arial" w:hAnsi="Arial"/>
            <w:color w:val="0000FF"/>
            <w:sz w:val="17"/>
            <w:szCs w:val="17"/>
          </w:rPr>
          <w:t>2</w:t>
        </w:r>
      </w:hyperlink>
      <w:r>
        <w:rPr>
          <w:rFonts w:eastAsia="Arial" w:cs="Arial" w:ascii="Arial" w:hAnsi="Arial"/>
          <w:color w:val="00000A"/>
          <w:sz w:val="17"/>
          <w:szCs w:val="17"/>
        </w:rPr>
        <w:t>a). Non-diagnostic, or non-carnivore modified bone fragments with length &lt;50 mm were not recorded. This dimensional thresh-old was chosen because small bone fragments show more random orientations than longer specimens (</w:t>
      </w:r>
      <w:hyperlink w:anchor="page40">
        <w:r>
          <w:rPr>
            <w:rStyle w:val="InternetLink"/>
            <w:rFonts w:eastAsia="Arial" w:cs="Arial" w:ascii="Arial" w:hAnsi="Arial"/>
            <w:color w:val="0000FF"/>
            <w:sz w:val="17"/>
            <w:szCs w:val="17"/>
          </w:rPr>
          <w:t>Domínguez-Rodrigo et al.</w:t>
        </w:r>
      </w:hyperlink>
      <w:r>
        <w:rPr>
          <w:rFonts w:eastAsia="Arial" w:cs="Arial" w:ascii="Arial" w:hAnsi="Arial"/>
          <w:color w:val="00000A"/>
          <w:sz w:val="17"/>
          <w:szCs w:val="17"/>
        </w:rPr>
        <w:t xml:space="preserve">, </w:t>
      </w:r>
      <w:hyperlink w:anchor="page40">
        <w:r>
          <w:rPr>
            <w:rStyle w:val="InternetLink"/>
            <w:rFonts w:eastAsia="Arial" w:cs="Arial" w:ascii="Arial" w:hAnsi="Arial"/>
            <w:color w:val="0000FF"/>
            <w:sz w:val="17"/>
            <w:szCs w:val="17"/>
          </w:rPr>
          <w:t>2014d</w:t>
        </w:r>
      </w:hyperlink>
      <w:r>
        <w:rPr>
          <w:rFonts w:eastAsia="Arial" w:cs="Arial" w:ascii="Arial" w:hAnsi="Arial"/>
          <w:color w:val="00000A"/>
          <w:sz w:val="17"/>
          <w:szCs w:val="17"/>
        </w:rPr>
        <w:t>). Orientation (plunge and bear-ing) of clearly elongated specimens (i.e., specimens with length at least twice the width) was measured with a 1 degree accuracy, using a compass and inclinometer (</w:t>
      </w:r>
      <w:hyperlink w:anchor="page41">
        <w:r>
          <w:rPr>
            <w:rStyle w:val="InternetLink"/>
            <w:rFonts w:eastAsia="Arial" w:cs="Arial" w:ascii="Arial" w:hAnsi="Arial"/>
            <w:color w:val="0000FF"/>
            <w:sz w:val="17"/>
            <w:szCs w:val="17"/>
          </w:rPr>
          <w:t>Eberth</w:t>
        </w:r>
      </w:hyperlink>
      <w:r>
        <w:rPr>
          <w:rFonts w:eastAsia="Arial" w:cs="Arial" w:ascii="Arial" w:hAnsi="Arial"/>
          <w:color w:val="00000A"/>
          <w:sz w:val="17"/>
          <w:szCs w:val="17"/>
        </w:rPr>
        <w:t xml:space="preserve"> </w:t>
      </w:r>
      <w:hyperlink w:anchor="page41">
        <w:r>
          <w:rPr>
            <w:rStyle w:val="InternetLink"/>
            <w:rFonts w:eastAsia="Arial" w:cs="Arial" w:ascii="Arial" w:hAnsi="Arial"/>
            <w:color w:val="0000FF"/>
            <w:sz w:val="17"/>
            <w:szCs w:val="17"/>
          </w:rPr>
          <w:t>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2007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Fiorillo</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1991</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Voorhies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1969</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among others). Strike and dip measure-ments were taken along the symmetrical longitudinal a-axis (SLA) of the specimens (</w:t>
      </w:r>
      <w:hyperlink w:anchor="page40">
        <w:r>
          <w:rPr>
            <w:rStyle w:val="InternetLink"/>
            <w:rFonts w:eastAsia="Arial" w:cs="Arial" w:ascii="Arial" w:hAnsi="Arial"/>
            <w:color w:val="0000FF"/>
            <w:sz w:val="17"/>
            <w:szCs w:val="17"/>
          </w:rPr>
          <w:t>Domínguez-Rodrigo and García-Pérez</w:t>
        </w:r>
      </w:hyperlink>
      <w:r>
        <w:rPr>
          <w:rFonts w:eastAsia="Arial" w:cs="Arial" w:ascii="Arial" w:hAnsi="Arial"/>
          <w:color w:val="000000"/>
          <w:sz w:val="17"/>
          <w:szCs w:val="17"/>
        </w:rPr>
        <w:t xml:space="preserve">, </w:t>
      </w:r>
      <w:hyperlink w:anchor="page40">
        <w:r>
          <w:rPr>
            <w:rStyle w:val="InternetLink"/>
            <w:rFonts w:eastAsia="Arial" w:cs="Arial" w:ascii="Arial" w:hAnsi="Arial"/>
            <w:color w:val="0000FF"/>
            <w:sz w:val="17"/>
            <w:szCs w:val="17"/>
          </w:rPr>
          <w:t>2013</w:t>
        </w:r>
      </w:hyperlink>
      <w:r>
        <w:rPr>
          <w:rFonts w:eastAsia="Arial" w:cs="Arial" w:ascii="Arial" w:hAnsi="Arial"/>
          <w:color w:val="000000"/>
          <w:sz w:val="17"/>
          <w:szCs w:val="17"/>
        </w:rPr>
        <w:t>), using the lowest endpoint of the a-axis as an indicator of the vector direction. The dimensions (length and maximum width) of the recorded finds were measured on-site with a millimetric measuring tape.</w:t>
      </w:r>
    </w:p>
    <w:p>
      <w:pPr>
        <w:pStyle w:val="Normal"/>
        <w:spacing w:lineRule="exact" w:line="1"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before="0" w:after="0"/>
        <w:ind w:left="1540" w:hanging="0"/>
        <w:rPr>
          <w:color w:val="00000A"/>
          <w:sz w:val="20"/>
          <w:szCs w:val="20"/>
        </w:rPr>
      </w:pPr>
      <w:r>
        <w:rPr>
          <w:rFonts w:eastAsia="Arial" w:cs="Arial" w:ascii="Arial" w:hAnsi="Arial"/>
          <w:color w:val="00000A"/>
          <w:sz w:val="17"/>
          <w:szCs w:val="17"/>
        </w:rPr>
        <w:t>The present spatial taphonomic study analysed a sample of stratified specimens (n</w:t>
      </w:r>
    </w:p>
    <w:p>
      <w:pPr>
        <w:pStyle w:val="Normal"/>
        <w:spacing w:lineRule="exact" w:line="163" w:before="0" w:after="0"/>
        <w:rPr>
          <w:rFonts w:ascii="Arial" w:hAnsi="Arial" w:eastAsia="Arial" w:cs="Arial"/>
          <w:color w:val="0000FF"/>
          <w:sz w:val="17"/>
          <w:szCs w:val="17"/>
        </w:rPr>
      </w:pPr>
      <w:r>
        <w:rPr>
          <w:rFonts w:eastAsia="Arial" w:cs="Arial" w:ascii="Arial" w:hAnsi="Arial"/>
          <w:color w:val="0000FF"/>
          <w:sz w:val="17"/>
          <w:szCs w:val="17"/>
        </w:rPr>
      </w:r>
    </w:p>
    <w:p>
      <w:pPr>
        <w:pStyle w:val="Normal"/>
        <w:numPr>
          <w:ilvl w:val="0"/>
          <w:numId w:val="1"/>
        </w:numPr>
        <w:tabs>
          <w:tab w:val="left" w:pos="1440" w:leader="none"/>
        </w:tabs>
        <w:spacing w:before="0" w:after="0"/>
        <w:ind w:left="1440" w:hanging="0"/>
        <w:rPr>
          <w:rFonts w:ascii="Arial" w:hAnsi="Arial" w:eastAsia="Arial" w:cs="Arial"/>
          <w:color w:val="00000A"/>
          <w:sz w:val="18"/>
          <w:szCs w:val="18"/>
        </w:rPr>
      </w:pPr>
      <w:r>
        <w:rPr>
          <w:rFonts w:eastAsia="Arial" w:cs="Arial" w:ascii="Arial" w:hAnsi="Arial"/>
          <w:color w:val="00000A"/>
          <w:sz w:val="18"/>
          <w:szCs w:val="18"/>
        </w:rPr>
        <w:t>797) from the fossiliferous unit Geo 2a, whose spatial coordinates were recorded</w:t>
      </w:r>
    </w:p>
    <w:p>
      <w:pPr>
        <w:pStyle w:val="Normal"/>
        <w:spacing w:lineRule="exact" w:line="133"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27" w:before="0" w:after="0"/>
        <w:ind w:left="1240" w:right="1260" w:hanging="0"/>
        <w:jc w:val="both"/>
        <w:rPr/>
      </w:pPr>
      <w:r>
        <w:rPr>
          <w:rFonts w:eastAsia="Arial" w:cs="Arial" w:ascii="Arial" w:hAnsi="Arial"/>
          <w:color w:val="00000A"/>
          <w:sz w:val="17"/>
          <w:szCs w:val="17"/>
        </w:rPr>
        <w:t>with the total station. The area of analysis comprises the 34 m</w:t>
      </w:r>
      <w:r>
        <w:rPr>
          <w:rFonts w:eastAsia="Arial" w:cs="Arial" w:ascii="Arial" w:hAnsi="Arial"/>
          <w:color w:val="00000A"/>
          <w:sz w:val="23"/>
          <w:szCs w:val="23"/>
          <w:vertAlign w:val="superscript"/>
        </w:rPr>
        <w:t>2</w:t>
      </w:r>
      <w:r>
        <w:rPr>
          <w:rFonts w:eastAsia="Arial" w:cs="Arial" w:ascii="Arial" w:hAnsi="Arial"/>
          <w:color w:val="00000A"/>
          <w:sz w:val="17"/>
          <w:szCs w:val="17"/>
        </w:rPr>
        <w:t xml:space="preserve">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 preparation were excluded due to the lack of precise spatial coordinates. The very small sample (n </w:t>
      </w:r>
      <w:r>
        <w:rPr>
          <w:rFonts w:eastAsia="Arial" w:cs="Arial" w:ascii="Arial" w:hAnsi="Arial"/>
          <w:color w:val="00000A"/>
          <w:sz w:val="17"/>
          <w:szCs w:val="17"/>
        </w:rPr>
        <w:t xml:space="preserve">= </w:t>
      </w:r>
      <w:r>
        <w:rPr>
          <w:rFonts w:eastAsia="Arial" w:cs="Arial" w:ascii="Arial" w:hAnsi="Arial"/>
          <w:color w:val="00000A"/>
          <w:sz w:val="20"/>
          <w:szCs w:val="20"/>
        </w:rPr>
        <w:t>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Normal"/>
        <w:spacing w:lineRule="exact" w:line="1"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As for the AMS analysis, we collected 18 cylindrical oriented samples (Ø = 2.5 cm) from the middle part of the fossiliferous unit Geo 2a (Fig. </w:t>
      </w:r>
      <w:hyperlink w:anchor="page8">
        <w:r>
          <w:rPr>
            <w:rStyle w:val="InternetLink"/>
            <w:rFonts w:eastAsia="Arial" w:cs="Arial" w:ascii="Arial" w:hAnsi="Arial"/>
            <w:color w:val="0000FF"/>
            <w:sz w:val="18"/>
            <w:szCs w:val="18"/>
          </w:rPr>
          <w:t>3</w:t>
        </w:r>
      </w:hyperlink>
      <w:r>
        <w:rPr>
          <w:rFonts w:eastAsia="Arial" w:cs="Arial" w:ascii="Arial" w:hAnsi="Arial"/>
          <w:color w:val="00000A"/>
          <w:sz w:val="18"/>
          <w:szCs w:val="18"/>
        </w:rPr>
        <w:t>). AMS analysis was performed at the Alpine Laboratory of Paleomagnetism in Peveragno (Italy) using a AGICO KLY-3 Kappabridge susceptibility meter (15-positions, manual oriented).</w:t>
      </w:r>
    </w:p>
    <w:p>
      <w:pPr>
        <w:pStyle w:val="Normal"/>
        <w:spacing w:lineRule="exact" w:line="2"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374" w:before="0" w:after="0"/>
        <w:ind w:left="1240" w:right="1260" w:firstLine="299"/>
        <w:jc w:val="both"/>
        <w:rPr/>
      </w:pPr>
      <w:r>
        <w:rPr>
          <w:rFonts w:eastAsia="Arial" w:cs="Arial" w:ascii="Arial" w:hAnsi="Arial"/>
          <w:color w:val="00000A"/>
          <w:sz w:val="20"/>
          <w:szCs w:val="20"/>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hyperlink w:anchor="page8">
        <w:r>
          <w:rPr>
            <w:rStyle w:val="InternetLink"/>
            <w:rFonts w:eastAsia="Arial" w:cs="Arial" w:ascii="Arial" w:hAnsi="Arial"/>
            <w:color w:val="0000FF"/>
            <w:sz w:val="20"/>
            <w:szCs w:val="20"/>
          </w:rPr>
          <w:t>3</w:t>
        </w:r>
      </w:hyperlink>
      <w:r>
        <w:rPr>
          <w:rFonts w:eastAsia="Arial" w:cs="Arial" w:ascii="Arial" w:hAnsi="Arial"/>
          <w:color w:val="00000A"/>
          <w:sz w:val="20"/>
          <w:szCs w:val="20"/>
        </w:rPr>
        <w:t xml:space="preserve">). The blocks were later consolidated for preparation of thin sections following the methods described in </w:t>
      </w:r>
      <w:hyperlink w:anchor="page44">
        <w:r>
          <w:rPr>
            <w:rStyle w:val="InternetLink"/>
            <w:rFonts w:eastAsia="Arial" w:cs="Arial" w:ascii="Arial" w:hAnsi="Arial"/>
            <w:color w:val="0000FF"/>
            <w:sz w:val="20"/>
            <w:szCs w:val="20"/>
          </w:rPr>
          <w:t xml:space="preserve">Murphy </w:t>
        </w:r>
      </w:hyperlink>
      <w:r>
        <w:rPr>
          <w:rFonts w:eastAsia="Arial" w:cs="Arial" w:ascii="Arial" w:hAnsi="Arial"/>
          <w:color w:val="000000"/>
          <w:sz w:val="20"/>
          <w:szCs w:val="20"/>
        </w:rPr>
        <w:t>(</w:t>
      </w:r>
      <w:hyperlink w:anchor="page44">
        <w:r>
          <w:rPr>
            <w:rStyle w:val="InternetLink"/>
            <w:rFonts w:eastAsia="Arial" w:cs="Arial" w:ascii="Arial" w:hAnsi="Arial"/>
            <w:color w:val="0000FF"/>
            <w:sz w:val="20"/>
            <w:szCs w:val="20"/>
          </w:rPr>
          <w:t>1986</w:t>
        </w:r>
      </w:hyperlink>
      <w:r>
        <w:rPr>
          <w:rFonts w:eastAsia="Arial" w:cs="Arial" w:ascii="Arial" w:hAnsi="Arial"/>
          <w:color w:val="000000"/>
          <w:sz w:val="20"/>
          <w:szCs w:val="20"/>
        </w:rPr>
        <w:t>)).</w:t>
      </w:r>
    </w:p>
    <w:p>
      <w:pPr>
        <w:pStyle w:val="Normal"/>
        <w:spacing w:lineRule="exact" w:line="234"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3.2. Spatial anisotropy</w:t>
      </w:r>
    </w:p>
    <w:p>
      <w:pPr>
        <w:pStyle w:val="Normal"/>
        <w:spacing w:lineRule="exact" w:line="189"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398" w:before="0" w:after="0"/>
        <w:ind w:left="1240" w:right="1260" w:firstLine="299"/>
        <w:jc w:val="both"/>
        <w:rPr>
          <w:color w:val="00000A"/>
          <w:sz w:val="20"/>
          <w:szCs w:val="20"/>
        </w:rPr>
      </w:pPr>
      <w:r>
        <w:rPr>
          <w:rFonts w:eastAsia="Arial" w:cs="Arial" w:ascii="Arial" w:hAnsi="Arial"/>
          <w:color w:val="00000A"/>
          <w:sz w:val="19"/>
          <w:szCs w:val="19"/>
        </w:rPr>
        <w:t>Di 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Normal"/>
        <w:spacing w:lineRule="exact" w:line="217"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3.2.1. Fabric analysis</w:t>
      </w:r>
    </w:p>
    <w:p>
      <w:pPr>
        <w:pStyle w:val="Normal"/>
        <w:spacing w:lineRule="exact" w:line="149"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420" w:before="0" w:after="0"/>
        <w:ind w:left="1240" w:right="1260" w:firstLine="299"/>
        <w:jc w:val="both"/>
        <w:rPr/>
      </w:pPr>
      <w:r>
        <w:rPr>
          <w:rFonts w:eastAsia="Arial" w:cs="Arial" w:ascii="Arial" w:hAnsi="Arial"/>
          <w:color w:val="00000A"/>
          <w:sz w:val="18"/>
          <w:szCs w:val="18"/>
        </w:rPr>
        <w:t xml:space="preserve">The first controlled experiments and analyses of the orientation and dispersal of disarticulated mammal bones as indicators of the depositional context, carried out by </w:t>
      </w:r>
      <w:hyperlink w:anchor="page46">
        <w:r>
          <w:rPr>
            <w:rStyle w:val="InternetLink"/>
            <w:rFonts w:eastAsia="Arial" w:cs="Arial" w:ascii="Arial" w:hAnsi="Arial"/>
            <w:color w:val="0000FF"/>
            <w:sz w:val="18"/>
            <w:szCs w:val="18"/>
          </w:rPr>
          <w:t xml:space="preserve">Toots </w:t>
        </w:r>
      </w:hyperlink>
      <w:r>
        <w:rPr>
          <w:rFonts w:eastAsia="Arial" w:cs="Arial" w:ascii="Arial" w:hAnsi="Arial"/>
          <w:color w:val="000000"/>
          <w:sz w:val="18"/>
          <w:szCs w:val="18"/>
        </w:rPr>
        <w:t>(</w:t>
      </w:r>
      <w:hyperlink w:anchor="page46">
        <w:r>
          <w:rPr>
            <w:rStyle w:val="InternetLink"/>
            <w:rFonts w:eastAsia="Arial" w:cs="Arial" w:ascii="Arial" w:hAnsi="Arial"/>
            <w:color w:val="0000FF"/>
            <w:sz w:val="18"/>
            <w:szCs w:val="18"/>
          </w:rPr>
          <w:t>1965</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and</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 xml:space="preserve">Voorhies </w:t>
        </w:r>
      </w:hyperlink>
      <w:r>
        <w:rPr>
          <w:rFonts w:eastAsia="Arial" w:cs="Arial" w:ascii="Arial" w:hAnsi="Arial"/>
          <w:color w:val="000000"/>
          <w:sz w:val="18"/>
          <w:szCs w:val="18"/>
        </w:rPr>
        <w:t>(</w:t>
      </w:r>
      <w:hyperlink w:anchor="page46">
        <w:r>
          <w:rPr>
            <w:rStyle w:val="InternetLink"/>
            <w:rFonts w:eastAsia="Arial" w:cs="Arial" w:ascii="Arial" w:hAnsi="Arial"/>
            <w:color w:val="0000FF"/>
            <w:sz w:val="18"/>
            <w:szCs w:val="18"/>
          </w:rPr>
          <w:t>1969</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led to an increasing number of studies on the e ects</w:t>
      </w:r>
      <w:r>
        <w:rPr>
          <w:rFonts w:eastAsia="Arial" w:cs="Arial" w:ascii="Arial" w:hAnsi="Arial"/>
          <w:color w:val="0000FF"/>
          <w:sz w:val="18"/>
          <w:szCs w:val="18"/>
        </w:rPr>
        <w:t xml:space="preserve"> </w:t>
      </w:r>
      <w:r>
        <w:rPr>
          <w:rFonts w:eastAsia="Arial" w:cs="Arial" w:ascii="Arial" w:hAnsi="Arial"/>
          <w:color w:val="000000"/>
          <w:sz w:val="18"/>
          <w:szCs w:val="18"/>
        </w:rPr>
        <w:t>of water flows on natural and anthropogenic faunal assemblages (</w:t>
      </w:r>
      <w:hyperlink w:anchor="page37">
        <w:r>
          <w:rPr>
            <w:rStyle w:val="InternetLink"/>
            <w:rFonts w:eastAsia="Arial" w:cs="Arial" w:ascii="Arial" w:hAnsi="Arial"/>
            <w:color w:val="0000FF"/>
            <w:sz w:val="18"/>
            <w:szCs w:val="18"/>
          </w:rPr>
          <w:t>Aramendi et al.</w:t>
        </w:r>
      </w:hyperlink>
      <w:r>
        <w:rPr>
          <w:rFonts w:eastAsia="Arial" w:cs="Arial" w:ascii="Arial" w:hAnsi="Arial"/>
          <w:color w:val="000000"/>
          <w:sz w:val="18"/>
          <w:szCs w:val="18"/>
        </w:rPr>
        <w:t xml:space="preserve">, </w:t>
      </w:r>
      <w:hyperlink w:anchor="page37">
        <w:r>
          <w:rPr>
            <w:rStyle w:val="InternetLink"/>
            <w:rFonts w:eastAsia="Arial" w:cs="Arial" w:ascii="Arial" w:hAnsi="Arial"/>
            <w:color w:val="0000FF"/>
            <w:sz w:val="18"/>
            <w:szCs w:val="18"/>
          </w:rPr>
          <w:t>2017</w:t>
        </w:r>
      </w:hyperlink>
      <w:r>
        <w:rPr>
          <w:rFonts w:eastAsia="Arial" w:cs="Arial" w:ascii="Arial" w:hAnsi="Arial"/>
          <w:color w:val="000000"/>
          <w:sz w:val="18"/>
          <w:szCs w:val="18"/>
        </w:rPr>
        <w:t xml:space="preserve">; </w:t>
      </w:r>
      <w:hyperlink w:anchor="page38">
        <w:r>
          <w:rPr>
            <w:rStyle w:val="InternetLink"/>
            <w:rFonts w:eastAsia="Arial" w:cs="Arial" w:ascii="Arial" w:hAnsi="Arial"/>
            <w:color w:val="0000FF"/>
            <w:sz w:val="18"/>
            <w:szCs w:val="18"/>
          </w:rPr>
          <w:t>Benito-Calvo and de la Torre</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8">
        <w:r>
          <w:rPr>
            <w:rStyle w:val="InternetLink"/>
            <w:rFonts w:eastAsia="Arial" w:cs="Arial" w:ascii="Arial" w:hAnsi="Arial"/>
            <w:color w:val="0000FF"/>
            <w:sz w:val="18"/>
            <w:szCs w:val="18"/>
          </w:rPr>
          <w:t>2011</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Cobo-Sánchez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2014</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de la Torre and Benito-</w:t>
        </w:r>
      </w:hyperlink>
      <w:hyperlink w:anchor="page39">
        <w:r>
          <w:rPr>
            <w:rStyle w:val="InternetLink"/>
            <w:rFonts w:eastAsia="Arial" w:cs="Arial" w:ascii="Arial" w:hAnsi="Arial"/>
            <w:color w:val="0000FF"/>
            <w:sz w:val="18"/>
            <w:szCs w:val="18"/>
          </w:rPr>
          <w:t>Calvo</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2013</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Domínguez-Rodrigo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2014a</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39">
        <w:r>
          <w:rPr>
            <w:rStyle w:val="InternetLink"/>
            <w:rFonts w:eastAsia="Arial" w:cs="Arial" w:ascii="Arial" w:hAnsi="Arial"/>
            <w:color w:val="0000FF"/>
            <w:sz w:val="18"/>
            <w:szCs w:val="18"/>
          </w:rPr>
          <w:t>2012</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0">
        <w:r>
          <w:rPr>
            <w:rStyle w:val="InternetLink"/>
            <w:rFonts w:eastAsia="Arial" w:cs="Arial" w:ascii="Arial" w:hAnsi="Arial"/>
            <w:color w:val="0000FF"/>
            <w:sz w:val="18"/>
            <w:szCs w:val="18"/>
          </w:rPr>
          <w:t>2014d</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1">
        <w:r>
          <w:rPr>
            <w:rStyle w:val="InternetLink"/>
            <w:rFonts w:eastAsia="Arial" w:cs="Arial" w:ascii="Arial" w:hAnsi="Arial"/>
            <w:color w:val="0000FF"/>
            <w:sz w:val="18"/>
            <w:szCs w:val="18"/>
          </w:rPr>
          <w:t>Fiorillo</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1">
        <w:r>
          <w:rPr>
            <w:rStyle w:val="InternetLink"/>
            <w:rFonts w:eastAsia="Arial" w:cs="Arial" w:ascii="Arial" w:hAnsi="Arial"/>
            <w:color w:val="0000FF"/>
            <w:sz w:val="18"/>
            <w:szCs w:val="18"/>
          </w:rPr>
          <w:t>1991</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4">
        <w:r>
          <w:rPr>
            <w:rStyle w:val="InternetLink"/>
            <w:rFonts w:eastAsia="Arial" w:cs="Arial" w:ascii="Arial" w:hAnsi="Arial"/>
            <w:color w:val="0000FF"/>
            <w:sz w:val="18"/>
            <w:szCs w:val="18"/>
          </w:rPr>
          <w:t>Nash and</w:t>
        </w:r>
      </w:hyperlink>
      <w:r>
        <w:rPr>
          <w:rFonts w:eastAsia="Arial" w:cs="Arial" w:ascii="Arial" w:hAnsi="Arial"/>
          <w:color w:val="0000FF"/>
          <w:sz w:val="18"/>
          <w:szCs w:val="18"/>
        </w:rPr>
        <w:t xml:space="preserve"> </w:t>
      </w:r>
      <w:hyperlink w:anchor="page44">
        <w:r>
          <w:rPr>
            <w:rStyle w:val="InternetLink"/>
            <w:rFonts w:eastAsia="Arial" w:cs="Arial" w:ascii="Arial" w:hAnsi="Arial"/>
            <w:color w:val="0000FF"/>
            <w:sz w:val="18"/>
            <w:szCs w:val="18"/>
          </w:rPr>
          <w:t>Petraglia</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4">
        <w:r>
          <w:rPr>
            <w:rStyle w:val="InternetLink"/>
            <w:rFonts w:eastAsia="Arial" w:cs="Arial" w:ascii="Arial" w:hAnsi="Arial"/>
            <w:color w:val="0000FF"/>
            <w:sz w:val="18"/>
            <w:szCs w:val="18"/>
          </w:rPr>
          <w:t>1987</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Organista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2017</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Petraglia and Nash</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1987</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Petraglia and Potts</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1994</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Schick</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1987</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among others).</w:t>
      </w:r>
    </w:p>
    <w:p>
      <w:pPr>
        <w:pStyle w:val="Normal"/>
        <w:spacing w:lineRule="auto" w:line="415" w:before="0" w:after="0"/>
        <w:ind w:left="1240" w:right="1260" w:firstLine="299"/>
        <w:jc w:val="both"/>
        <w:rPr/>
      </w:pPr>
      <w:r>
        <w:rPr>
          <w:rFonts w:eastAsia="Arial" w:cs="Arial" w:ascii="Arial" w:hAnsi="Arial"/>
          <w:color w:val="00000A"/>
          <w:sz w:val="18"/>
          <w:szCs w:val="18"/>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hyperlink w:anchor="page39">
        <w:r>
          <w:rPr>
            <w:rStyle w:val="InternetLink"/>
            <w:rFonts w:eastAsia="Arial" w:cs="Arial" w:ascii="Arial" w:hAnsi="Arial"/>
            <w:color w:val="0000FF"/>
            <w:sz w:val="18"/>
            <w:szCs w:val="18"/>
          </w:rPr>
          <w:t>Coard</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 xml:space="preserve">and Dennell </w:t>
        </w:r>
      </w:hyperlink>
      <w:r>
        <w:rPr>
          <w:rFonts w:eastAsia="Arial" w:cs="Arial" w:ascii="Arial" w:hAnsi="Arial"/>
          <w:color w:val="000000"/>
          <w:sz w:val="18"/>
          <w:szCs w:val="18"/>
        </w:rPr>
        <w:t>(</w:t>
      </w:r>
      <w:hyperlink w:anchor="page39">
        <w:r>
          <w:rPr>
            <w:rStyle w:val="InternetLink"/>
            <w:rFonts w:eastAsia="Arial" w:cs="Arial" w:ascii="Arial" w:hAnsi="Arial"/>
            <w:color w:val="0000FF"/>
            <w:sz w:val="18"/>
            <w:szCs w:val="18"/>
          </w:rPr>
          <w:t>1995</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and</w:t>
      </w:r>
      <w:r>
        <w:rPr>
          <w:rFonts w:eastAsia="Arial" w:cs="Arial" w:ascii="Arial" w:hAnsi="Arial"/>
          <w:color w:val="0000FF"/>
          <w:sz w:val="18"/>
          <w:szCs w:val="18"/>
        </w:rPr>
        <w:t xml:space="preserve"> </w:t>
      </w:r>
      <w:hyperlink w:anchor="page38">
        <w:r>
          <w:rPr>
            <w:rStyle w:val="InternetLink"/>
            <w:rFonts w:eastAsia="Arial" w:cs="Arial" w:ascii="Arial" w:hAnsi="Arial"/>
            <w:color w:val="0000FF"/>
            <w:sz w:val="18"/>
            <w:szCs w:val="18"/>
          </w:rPr>
          <w:t xml:space="preserve">Coard </w:t>
        </w:r>
      </w:hyperlink>
      <w:r>
        <w:rPr>
          <w:rFonts w:eastAsia="Arial" w:cs="Arial" w:ascii="Arial" w:hAnsi="Arial"/>
          <w:color w:val="000000"/>
          <w:sz w:val="18"/>
          <w:szCs w:val="18"/>
        </w:rPr>
        <w:t>(</w:t>
      </w:r>
      <w:hyperlink w:anchor="page38">
        <w:r>
          <w:rPr>
            <w:rStyle w:val="InternetLink"/>
            <w:rFonts w:eastAsia="Arial" w:cs="Arial" w:ascii="Arial" w:hAnsi="Arial"/>
            <w:color w:val="0000FF"/>
            <w:sz w:val="18"/>
            <w:szCs w:val="18"/>
          </w:rPr>
          <w:t>1999</w:t>
        </w:r>
      </w:hyperlink>
      <w:r>
        <w:rPr>
          <w:rFonts w:eastAsia="Arial" w:cs="Arial" w:ascii="Arial" w:hAnsi="Arial"/>
          <w:color w:val="000000"/>
          <w:sz w:val="18"/>
          <w:szCs w:val="18"/>
        </w:rPr>
        <w:t>)</w:t>
      </w:r>
      <w:r>
        <w:rPr>
          <w:rFonts w:eastAsia="Arial" w:cs="Arial" w:ascii="Arial" w:hAnsi="Arial"/>
          <w:color w:val="0000FF"/>
          <w:sz w:val="18"/>
          <w:szCs w:val="18"/>
        </w:rPr>
        <w:t xml:space="preserve"> </w:t>
      </w:r>
      <w:r>
        <w:rPr>
          <w:rFonts w:eastAsia="Arial" w:cs="Arial" w:ascii="Arial" w:hAnsi="Arial"/>
          <w:color w:val="000000"/>
          <w:sz w:val="18"/>
          <w:szCs w:val="18"/>
        </w:rPr>
        <w:t>demonstrated that articulated bones display a</w:t>
      </w:r>
      <w:r>
        <w:rPr>
          <w:rFonts w:eastAsia="Arial" w:cs="Arial" w:ascii="Arial" w:hAnsi="Arial"/>
          <w:color w:val="0000FF"/>
          <w:sz w:val="18"/>
          <w:szCs w:val="18"/>
        </w:rPr>
        <w:t xml:space="preserve"> </w:t>
      </w:r>
      <w:r>
        <w:rPr>
          <w:rFonts w:eastAsia="Arial" w:cs="Arial" w:ascii="Arial" w:hAnsi="Arial"/>
          <w:color w:val="000000"/>
          <w:sz w:val="18"/>
          <w:szCs w:val="18"/>
        </w:rPr>
        <w:t xml:space="preserve">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hyperlink w:anchor="page6">
        <w:r>
          <w:rPr>
            <w:rStyle w:val="InternetLink"/>
            <w:rFonts w:eastAsia="Arial" w:cs="Arial" w:ascii="Arial" w:hAnsi="Arial"/>
            <w:color w:val="0000FF"/>
            <w:sz w:val="18"/>
            <w:szCs w:val="18"/>
          </w:rPr>
          <w:t>2</w:t>
        </w:r>
      </w:hyperlink>
      <w:r>
        <w:rPr>
          <w:rFonts w:eastAsia="Arial" w:cs="Arial" w:ascii="Arial" w:hAnsi="Arial"/>
          <w:color w:val="000000"/>
          <w:sz w:val="18"/>
          <w:szCs w:val="18"/>
        </w:rPr>
        <w:t>a,b,c,d), were not included in the fabric analysis.</w:t>
      </w:r>
    </w:p>
    <w:p>
      <w:pPr>
        <w:pStyle w:val="Normal"/>
        <w:spacing w:lineRule="exact" w:line="8"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415" w:before="0" w:after="0"/>
        <w:ind w:left="1240" w:right="1260" w:firstLine="299"/>
        <w:jc w:val="both"/>
        <w:rPr/>
      </w:pPr>
      <w:r>
        <w:rPr>
          <w:rFonts w:eastAsia="Arial" w:cs="Arial" w:ascii="Arial" w:hAnsi="Arial"/>
          <w:color w:val="00000A"/>
          <w:sz w:val="18"/>
          <w:szCs w:val="18"/>
        </w:rPr>
        <w:t>In this study we applied circular statistics to a subset of 249 non-articulated, elon-gated bone specimens, having length &gt;= 20mm (</w:t>
      </w:r>
      <w:hyperlink w:anchor="page40">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2014d</w:t>
        </w:r>
      </w:hyperlink>
      <w:r>
        <w:rPr>
          <w:rFonts w:eastAsia="Arial" w:cs="Arial" w:ascii="Arial" w:hAnsi="Arial"/>
          <w:color w:val="00000A"/>
          <w:sz w:val="18"/>
          <w:szCs w:val="18"/>
        </w:rPr>
        <w:t>). No distinction of skeletal elements was made, due to the high percentage (91%, n =</w:t>
      </w:r>
    </w:p>
    <w:p>
      <w:pPr>
        <w:pStyle w:val="Normal"/>
        <w:spacing w:lineRule="exact" w:line="2" w:before="0" w:after="0"/>
        <w:rPr>
          <w:color w:val="00000A"/>
          <w:sz w:val="20"/>
          <w:szCs w:val="20"/>
        </w:rPr>
      </w:pPr>
      <w:r>
        <w:rPr>
          <w:color w:val="00000A"/>
          <w:sz w:val="20"/>
          <w:szCs w:val="20"/>
        </w:rPr>
      </w:r>
    </w:p>
    <w:p>
      <w:pPr>
        <w:pStyle w:val="Normal"/>
        <w:numPr>
          <w:ilvl w:val="0"/>
          <w:numId w:val="2"/>
        </w:numPr>
        <w:tabs>
          <w:tab w:val="left" w:pos="1667" w:leader="none"/>
        </w:tabs>
        <w:spacing w:lineRule="auto" w:line="415" w:before="0" w:after="0"/>
        <w:ind w:left="1240" w:right="1260" w:hanging="0"/>
        <w:jc w:val="both"/>
        <w:rPr>
          <w:rFonts w:ascii="Arial" w:hAnsi="Arial" w:eastAsia="Arial" w:cs="Arial"/>
          <w:color w:val="00000A"/>
          <w:sz w:val="18"/>
          <w:szCs w:val="18"/>
        </w:rPr>
      </w:pPr>
      <w:r>
        <w:rPr>
          <w:rFonts w:eastAsia="Arial" w:cs="Arial" w:ascii="Arial" w:hAnsi="Arial"/>
          <w:color w:val="00000A"/>
          <w:sz w:val="18"/>
          <w:szCs w:val="18"/>
        </w:rPr>
        <w:t>of fragmented remains in the analysed sample - mostly appendicular (n = 122), undetermined (n = 93), axial and cranial (n = 12) fragments - and due to the low per-centage (9%, n = 22) of complete bones - 17 limb bones, 4 scapulae and a rib.</w:t>
      </w:r>
    </w:p>
    <w:p>
      <w:pPr>
        <w:pStyle w:val="Normal"/>
        <w:spacing w:lineRule="exact" w:line="2"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15" w:before="0" w:after="0"/>
        <w:ind w:left="1240" w:right="1260" w:firstLine="299"/>
        <w:jc w:val="both"/>
        <w:rPr/>
      </w:pPr>
      <w:r>
        <w:rPr>
          <w:rFonts w:eastAsia="Arial" w:cs="Arial" w:ascii="Arial" w:hAnsi="Arial"/>
          <w:color w:val="00000A"/>
          <w:sz w:val="18"/>
          <w:szCs w:val="18"/>
        </w:rPr>
        <w:t>We applied Rayleigh and omnibus tests of uniformity, such as Kuiper, Watson and Rao (</w:t>
      </w:r>
      <w:hyperlink w:anchor="page42">
        <w:r>
          <w:rPr>
            <w:rStyle w:val="InternetLink"/>
            <w:rFonts w:eastAsia="Arial" w:cs="Arial" w:ascii="Arial" w:hAnsi="Arial"/>
            <w:color w:val="0000FF"/>
            <w:sz w:val="18"/>
            <w:szCs w:val="18"/>
          </w:rPr>
          <w:t>Jammalamadaka et al.</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2001</w:t>
        </w:r>
      </w:hyperlink>
      <w:r>
        <w:rPr>
          <w:rFonts w:eastAsia="Arial" w:cs="Arial" w:ascii="Arial" w:hAnsi="Arial"/>
          <w:color w:val="00000A"/>
          <w:sz w:val="18"/>
          <w:szCs w:val="18"/>
        </w:rPr>
        <w:t>), to test the isotropic orientation of the fossil speci-</w:t>
      </w:r>
    </w:p>
    <w:p>
      <w:pPr>
        <w:pStyle w:val="Normal"/>
        <w:spacing w:lineRule="exact" w:line="1"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before="0" w:after="0"/>
        <w:ind w:left="1240" w:hanging="0"/>
        <w:rPr>
          <w:color w:val="00000A"/>
          <w:sz w:val="20"/>
          <w:szCs w:val="20"/>
        </w:rPr>
      </w:pPr>
      <w:r>
        <w:rPr>
          <w:rFonts w:eastAsia="Arial" w:cs="Arial" w:ascii="Arial" w:hAnsi="Arial"/>
          <w:color w:val="00000A"/>
          <w:sz w:val="17"/>
          <w:szCs w:val="17"/>
        </w:rPr>
        <w:t>mens. Whereas the Rayleigh test assumes a unimodal distribution and assess the sig-</w:t>
      </w:r>
    </w:p>
    <w:p>
      <w:pPr>
        <w:pStyle w:val="Normal"/>
        <w:spacing w:lineRule="auto" w:line="218" w:before="0" w:after="0"/>
        <w:ind w:left="5000" w:hanging="0"/>
        <w:rPr>
          <w:color w:val="00000A"/>
          <w:sz w:val="20"/>
          <w:szCs w:val="20"/>
        </w:rPr>
      </w:pPr>
      <w:r>
        <w:rPr>
          <w:rFonts w:eastAsia="Arial" w:cs="Arial" w:ascii="Arial" w:hAnsi="Arial"/>
          <w:color w:val="00000A"/>
          <w:sz w:val="20"/>
          <w:szCs w:val="20"/>
        </w:rPr>
        <w:t>¯</w:t>
      </w:r>
    </w:p>
    <w:p>
      <w:pPr>
        <w:pStyle w:val="Normal"/>
        <w:spacing w:lineRule="auto" w:line="328" w:before="0" w:after="0"/>
        <w:ind w:left="1240" w:right="1260" w:hanging="0"/>
        <w:jc w:val="both"/>
        <w:rPr>
          <w:color w:val="00000A"/>
          <w:sz w:val="20"/>
          <w:szCs w:val="20"/>
        </w:rPr>
      </w:pPr>
      <w:r>
        <w:rPr>
          <w:rFonts w:eastAsia="Arial" w:cs="Arial" w:ascii="Arial" w:hAnsi="Arial"/>
          <w:color w:val="00000A"/>
          <w:sz w:val="20"/>
          <w:szCs w:val="20"/>
        </w:rPr>
        <w:t>nificance of the sample mean resultant length (R), the omnibus tests detect multimodal departures from the null hypothesis of circular isotropy.</w:t>
      </w:r>
    </w:p>
    <w:p>
      <w:pPr>
        <w:pStyle w:val="Normal"/>
        <w:spacing w:lineRule="exact" w:line="37"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15" w:before="0" w:after="0"/>
        <w:ind w:left="1240" w:right="1260" w:firstLine="299"/>
        <w:jc w:val="both"/>
        <w:rPr/>
      </w:pPr>
      <w:r>
        <w:rPr>
          <w:rFonts w:eastAsia="Arial" w:cs="Arial" w:ascii="Arial" w:hAnsi="Arial"/>
          <w:color w:val="00000A"/>
          <w:sz w:val="18"/>
          <w:szCs w:val="18"/>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hyperlink w:anchor="page41">
        <w:r>
          <w:rPr>
            <w:rStyle w:val="InternetLink"/>
            <w:rFonts w:eastAsia="Arial" w:cs="Arial" w:ascii="Arial" w:hAnsi="Arial"/>
            <w:color w:val="0000FF"/>
            <w:sz w:val="18"/>
            <w:szCs w:val="18"/>
          </w:rPr>
          <w:t>Fiorillo</w:t>
        </w:r>
      </w:hyperlink>
      <w:r>
        <w:rPr>
          <w:rFonts w:eastAsia="Arial" w:cs="Arial" w:ascii="Arial" w:hAnsi="Arial"/>
          <w:color w:val="00000A"/>
          <w:sz w:val="18"/>
          <w:szCs w:val="18"/>
        </w:rPr>
        <w:t xml:space="preserve">, </w:t>
      </w:r>
      <w:hyperlink w:anchor="page41">
        <w:r>
          <w:rPr>
            <w:rStyle w:val="InternetLink"/>
            <w:rFonts w:eastAsia="Arial" w:cs="Arial" w:ascii="Arial" w:hAnsi="Arial"/>
            <w:color w:val="0000FF"/>
            <w:sz w:val="18"/>
            <w:szCs w:val="18"/>
          </w:rPr>
          <w:t>1988</w:t>
        </w:r>
      </w:hyperlink>
      <w:r>
        <w:rPr>
          <w:rFonts w:eastAsia="Arial" w:cs="Arial" w:ascii="Arial" w:hAnsi="Arial"/>
          <w:color w:val="00000A"/>
          <w:sz w:val="18"/>
          <w:szCs w:val="18"/>
        </w:rPr>
        <w:t>). Points plotting at the margin of the globe indicate planar fabric, whereas points towards the centre have higher dip angles.</w:t>
      </w:r>
    </w:p>
    <w:p>
      <w:pPr>
        <w:pStyle w:val="Normal"/>
        <w:spacing w:lineRule="exact" w:line="4" w:before="0" w:after="0"/>
        <w:rPr>
          <w:color w:val="00000A"/>
          <w:sz w:val="20"/>
          <w:szCs w:val="20"/>
        </w:rPr>
      </w:pPr>
      <w:r>
        <w:rPr>
          <w:color w:val="00000A"/>
          <w:sz w:val="20"/>
          <w:szCs w:val="20"/>
        </w:rPr>
      </w:r>
    </w:p>
    <w:p>
      <w:pPr>
        <w:pStyle w:val="Normal"/>
        <w:spacing w:lineRule="auto" w:line="422" w:before="0" w:after="0"/>
        <w:ind w:left="1240" w:right="1260" w:firstLine="299"/>
        <w:jc w:val="both"/>
        <w:rPr/>
      </w:pPr>
      <w:r>
        <w:rPr>
          <w:rFonts w:eastAsia="Arial" w:cs="Arial" w:ascii="Arial" w:hAnsi="Arial"/>
          <w:color w:val="00000A"/>
          <w:sz w:val="17"/>
          <w:szCs w:val="17"/>
        </w:rPr>
        <w:t>The Woodcock diagram (</w:t>
      </w:r>
      <w:hyperlink w:anchor="page46">
        <w:r>
          <w:rPr>
            <w:rStyle w:val="InternetLink"/>
            <w:rFonts w:eastAsia="Arial" w:cs="Arial" w:ascii="Arial" w:hAnsi="Arial"/>
            <w:color w:val="0000FF"/>
            <w:sz w:val="17"/>
            <w:szCs w:val="17"/>
          </w:rPr>
          <w:t>Woodcock and Naylor</w:t>
        </w:r>
      </w:hyperlink>
      <w:r>
        <w:rPr>
          <w:rFonts w:eastAsia="Arial" w:cs="Arial" w:ascii="Arial" w:hAnsi="Arial"/>
          <w:color w:val="00000A"/>
          <w:sz w:val="17"/>
          <w:szCs w:val="17"/>
        </w:rPr>
        <w:t xml:space="preserve">, </w:t>
      </w:r>
      <w:hyperlink w:anchor="page46">
        <w:r>
          <w:rPr>
            <w:rStyle w:val="InternetLink"/>
            <w:rFonts w:eastAsia="Arial" w:cs="Arial" w:ascii="Arial" w:hAnsi="Arial"/>
            <w:color w:val="0000FF"/>
            <w:sz w:val="17"/>
            <w:szCs w:val="17"/>
          </w:rPr>
          <w:t>1983</w:t>
        </w:r>
      </w:hyperlink>
      <w:r>
        <w:rPr>
          <w:rFonts w:eastAsia="Arial" w:cs="Arial" w:ascii="Arial" w:hAnsi="Arial"/>
          <w:color w:val="00000A"/>
          <w:sz w:val="17"/>
          <w:szCs w:val="17"/>
        </w:rPr>
        <w:t xml:space="preserve">), based on three ordered normalised eigenvalues (S </w:t>
      </w:r>
      <w:r>
        <w:rPr>
          <w:rFonts w:eastAsia="Arial" w:cs="Arial" w:ascii="Arial" w:hAnsi="Arial"/>
          <w:color w:val="00000A"/>
          <w:sz w:val="23"/>
          <w:szCs w:val="23"/>
          <w:vertAlign w:val="subscript"/>
        </w:rPr>
        <w:t>1</w:t>
      </w:r>
      <w:r>
        <w:rPr>
          <w:rFonts w:eastAsia="Arial" w:cs="Arial" w:ascii="Arial" w:hAnsi="Arial"/>
          <w:color w:val="00000A"/>
          <w:sz w:val="17"/>
          <w:szCs w:val="17"/>
        </w:rPr>
        <w:t xml:space="preserve">, S </w:t>
      </w:r>
      <w:r>
        <w:rPr>
          <w:rFonts w:eastAsia="Arial" w:cs="Arial" w:ascii="Arial" w:hAnsi="Arial"/>
          <w:color w:val="00000A"/>
          <w:sz w:val="23"/>
          <w:szCs w:val="23"/>
          <w:vertAlign w:val="subscript"/>
        </w:rPr>
        <w:t>2</w:t>
      </w:r>
      <w:r>
        <w:rPr>
          <w:rFonts w:eastAsia="Arial" w:cs="Arial" w:ascii="Arial" w:hAnsi="Arial"/>
          <w:color w:val="00000A"/>
          <w:sz w:val="17"/>
          <w:szCs w:val="17"/>
        </w:rPr>
        <w:t xml:space="preserve">, S </w:t>
      </w:r>
      <w:r>
        <w:rPr>
          <w:rFonts w:eastAsia="Arial" w:cs="Arial" w:ascii="Arial" w:hAnsi="Arial"/>
          <w:color w:val="00000A"/>
          <w:sz w:val="23"/>
          <w:szCs w:val="23"/>
          <w:vertAlign w:val="subscript"/>
        </w:rPr>
        <w:t>3</w:t>
      </w:r>
      <w:r>
        <w:rPr>
          <w:rFonts w:eastAsia="Arial" w:cs="Arial" w:ascii="Arial" w:hAnsi="Arial"/>
          <w:color w:val="00000A"/>
          <w:sz w:val="17"/>
          <w:szCs w:val="17"/>
        </w:rPr>
        <w:t xml:space="preserve">), was used to discriminate between linear (cluster), planar (girdle) and isotropic distributions. In the Woodcock diagram, the C parameter </w:t>
      </w:r>
      <w:r>
        <w:rPr>
          <w:rFonts w:eastAsia="Arial" w:cs="Arial" w:ascii="Arial" w:hAnsi="Arial"/>
          <w:color w:val="00000A"/>
          <w:sz w:val="18"/>
          <w:szCs w:val="18"/>
        </w:rPr>
        <w:t xml:space="preserve">(C = ln(S </w:t>
      </w:r>
      <w:r>
        <w:rPr>
          <w:rFonts w:eastAsia="Arial" w:cs="Arial" w:ascii="Arial" w:hAnsi="Arial"/>
          <w:color w:val="00000A"/>
          <w:sz w:val="24"/>
          <w:szCs w:val="24"/>
          <w:vertAlign w:val="subscript"/>
        </w:rPr>
        <w:t>1</w:t>
      </w:r>
      <w:r>
        <w:rPr>
          <w:rFonts w:eastAsia="Arial" w:cs="Arial" w:ascii="Arial" w:hAnsi="Arial"/>
          <w:color w:val="00000A"/>
          <w:sz w:val="18"/>
          <w:szCs w:val="18"/>
        </w:rPr>
        <w:t xml:space="preserve">=S </w:t>
      </w:r>
      <w:r>
        <w:rPr>
          <w:rFonts w:eastAsia="Arial" w:cs="Arial" w:ascii="Arial" w:hAnsi="Arial"/>
          <w:color w:val="00000A"/>
          <w:sz w:val="24"/>
          <w:szCs w:val="24"/>
          <w:vertAlign w:val="subscript"/>
        </w:rPr>
        <w:t>3</w:t>
      </w:r>
      <w:r>
        <w:rPr>
          <w:rFonts w:eastAsia="Arial" w:cs="Arial" w:ascii="Arial" w:hAnsi="Arial"/>
          <w:color w:val="00000A"/>
          <w:sz w:val="18"/>
          <w:szCs w:val="18"/>
        </w:rPr>
        <w:t>)) expresses the strength of the preferential orientation, and its signifi-cance is evaluated against critical values from simulated random samples of di erent sizes. A perfect isotropic distribution would plot at the origin, with equal eigenvalues</w:t>
      </w:r>
    </w:p>
    <w:p>
      <w:pPr>
        <w:pStyle w:val="Normal"/>
        <w:spacing w:lineRule="auto" w:line="180" w:before="0" w:after="0"/>
        <w:ind w:right="20" w:hanging="0"/>
        <w:jc w:val="center"/>
        <w:rPr>
          <w:color w:val="00000A"/>
          <w:sz w:val="20"/>
          <w:szCs w:val="20"/>
        </w:rPr>
      </w:pPr>
      <w:r>
        <w:rPr>
          <w:rFonts w:eastAsia="Arial" w:cs="Arial" w:ascii="Arial" w:hAnsi="Arial"/>
          <w:color w:val="00000A"/>
          <w:sz w:val="17"/>
          <w:szCs w:val="17"/>
        </w:rPr>
        <w:t xml:space="preserve">(S </w:t>
      </w:r>
      <w:r>
        <w:rPr>
          <w:rFonts w:eastAsia="Arial" w:cs="Arial" w:ascii="Arial" w:hAnsi="Arial"/>
          <w:color w:val="00000A"/>
          <w:sz w:val="12"/>
          <w:szCs w:val="12"/>
        </w:rPr>
        <w:t>1</w:t>
      </w:r>
      <w:r>
        <w:rPr>
          <w:rFonts w:eastAsia="Arial" w:cs="Arial" w:ascii="Arial" w:hAnsi="Arial"/>
          <w:color w:val="00000A"/>
          <w:sz w:val="17"/>
          <w:szCs w:val="17"/>
        </w:rPr>
        <w:t xml:space="preserve"> = S </w:t>
      </w:r>
      <w:r>
        <w:rPr>
          <w:rFonts w:eastAsia="Arial" w:cs="Arial" w:ascii="Arial" w:hAnsi="Arial"/>
          <w:color w:val="00000A"/>
          <w:sz w:val="12"/>
          <w:szCs w:val="12"/>
        </w:rPr>
        <w:t>2</w:t>
      </w:r>
      <w:r>
        <w:rPr>
          <w:rFonts w:eastAsia="Arial" w:cs="Arial" w:ascii="Arial" w:hAnsi="Arial"/>
          <w:color w:val="00000A"/>
          <w:sz w:val="17"/>
          <w:szCs w:val="17"/>
        </w:rPr>
        <w:t xml:space="preserve"> = S </w:t>
      </w:r>
      <w:r>
        <w:rPr>
          <w:rFonts w:eastAsia="Arial" w:cs="Arial" w:ascii="Arial" w:hAnsi="Arial"/>
          <w:color w:val="00000A"/>
          <w:sz w:val="12"/>
          <w:szCs w:val="12"/>
        </w:rPr>
        <w:t>3</w:t>
      </w:r>
      <w:r>
        <w:rPr>
          <w:rFonts w:eastAsia="Arial" w:cs="Arial" w:ascii="Arial" w:hAnsi="Arial"/>
          <w:color w:val="00000A"/>
          <w:sz w:val="17"/>
          <w:szCs w:val="17"/>
        </w:rPr>
        <w:t xml:space="preserve"> = 1=3). On the other hand, the K parameter (K = </w:t>
      </w:r>
      <w:r>
        <w:rPr>
          <w:rFonts w:eastAsia="Arial" w:cs="Arial" w:ascii="Arial" w:hAnsi="Arial"/>
          <w:color w:val="00000A"/>
          <w:sz w:val="23"/>
          <w:szCs w:val="23"/>
          <w:u w:val="single" w:color="00000A"/>
          <w:vertAlign w:val="superscript"/>
        </w:rPr>
        <w:t>ln(S</w:t>
      </w:r>
      <w:r>
        <w:rPr>
          <w:rFonts w:eastAsia="Arial" w:cs="Arial" w:ascii="Arial" w:hAnsi="Arial"/>
          <w:color w:val="00000A"/>
          <w:sz w:val="17"/>
          <w:szCs w:val="17"/>
        </w:rPr>
        <w:t xml:space="preserve"> </w:t>
      </w:r>
      <w:r>
        <w:rPr>
          <w:rFonts w:eastAsia="Arial" w:cs="Arial" w:ascii="Arial" w:hAnsi="Arial"/>
          <w:color w:val="00000A"/>
          <w:sz w:val="17"/>
          <w:szCs w:val="17"/>
          <w:u w:val="single" w:color="00000A"/>
          <w:vertAlign w:val="superscript"/>
        </w:rPr>
        <w:t>1</w:t>
      </w:r>
      <w:r>
        <w:rPr>
          <w:rFonts w:eastAsia="Arial" w:cs="Arial" w:ascii="Arial" w:hAnsi="Arial"/>
          <w:color w:val="00000A"/>
          <w:sz w:val="23"/>
          <w:szCs w:val="23"/>
          <w:u w:val="single" w:color="00000A"/>
          <w:vertAlign w:val="superscript"/>
        </w:rPr>
        <w:t>=S</w:t>
      </w:r>
      <w:r>
        <w:rPr>
          <w:rFonts w:eastAsia="Arial" w:cs="Arial" w:ascii="Arial" w:hAnsi="Arial"/>
          <w:color w:val="00000A"/>
          <w:sz w:val="17"/>
          <w:szCs w:val="17"/>
        </w:rPr>
        <w:t xml:space="preserve"> </w:t>
      </w:r>
      <w:r>
        <w:rPr>
          <w:rFonts w:eastAsia="Arial" w:cs="Arial" w:ascii="Arial" w:hAnsi="Arial"/>
          <w:color w:val="00000A"/>
          <w:sz w:val="17"/>
          <w:szCs w:val="17"/>
          <w:u w:val="single" w:color="00000A"/>
          <w:vertAlign w:val="superscript"/>
        </w:rPr>
        <w:t>2</w:t>
      </w:r>
      <w:r>
        <w:rPr>
          <w:rFonts w:eastAsia="Arial" w:cs="Arial" w:ascii="Arial" w:hAnsi="Arial"/>
          <w:color w:val="00000A"/>
          <w:sz w:val="23"/>
          <w:szCs w:val="23"/>
          <w:u w:val="single" w:color="00000A"/>
          <w:vertAlign w:val="superscript"/>
        </w:rPr>
        <w:t>)</w:t>
      </w:r>
      <w:r>
        <w:rPr>
          <w:rFonts w:eastAsia="Arial" w:cs="Arial" w:ascii="Arial" w:hAnsi="Arial"/>
          <w:color w:val="00000A"/>
          <w:sz w:val="17"/>
          <w:szCs w:val="17"/>
        </w:rPr>
        <w:t xml:space="preserve"> ) expresses</w:t>
      </w:r>
    </w:p>
    <w:p>
      <w:pPr>
        <w:pStyle w:val="Normal"/>
        <w:spacing w:lineRule="auto" w:line="182" w:before="0" w:after="0"/>
        <w:ind w:left="6640" w:hanging="0"/>
        <w:rPr>
          <w:color w:val="00000A"/>
          <w:sz w:val="20"/>
          <w:szCs w:val="20"/>
        </w:rPr>
      </w:pPr>
      <w:r>
        <w:rPr>
          <w:rFonts w:eastAsia="Arial" w:cs="Arial" w:ascii="Arial" w:hAnsi="Arial"/>
          <w:color w:val="00000A"/>
          <w:sz w:val="12"/>
          <w:szCs w:val="12"/>
        </w:rPr>
        <w:t xml:space="preserve">ln(S </w:t>
      </w:r>
      <w:r>
        <w:rPr>
          <w:rFonts w:eastAsia="Arial" w:cs="Arial" w:ascii="Arial" w:hAnsi="Arial"/>
          <w:color w:val="00000A"/>
          <w:sz w:val="16"/>
          <w:szCs w:val="16"/>
          <w:vertAlign w:val="subscript"/>
        </w:rPr>
        <w:t>2</w:t>
      </w:r>
      <w:r>
        <w:rPr>
          <w:rFonts w:eastAsia="Arial" w:cs="Arial" w:ascii="Arial" w:hAnsi="Arial"/>
          <w:color w:val="00000A"/>
          <w:sz w:val="12"/>
          <w:szCs w:val="12"/>
        </w:rPr>
        <w:t xml:space="preserve">=S </w:t>
      </w:r>
      <w:r>
        <w:rPr>
          <w:rFonts w:eastAsia="Arial" w:cs="Arial" w:ascii="Arial" w:hAnsi="Arial"/>
          <w:color w:val="00000A"/>
          <w:sz w:val="16"/>
          <w:szCs w:val="16"/>
          <w:vertAlign w:val="subscript"/>
        </w:rPr>
        <w:t>3</w:t>
      </w:r>
      <w:r>
        <w:rPr>
          <w:rFonts w:eastAsia="Arial" w:cs="Arial" w:ascii="Arial" w:hAnsi="Arial"/>
          <w:color w:val="00000A"/>
          <w:sz w:val="12"/>
          <w:szCs w:val="12"/>
        </w:rPr>
        <w:t>)</w:t>
      </w:r>
    </w:p>
    <w:p>
      <w:pPr>
        <w:pStyle w:val="Normal"/>
        <w:spacing w:lineRule="exact" w:line="61" w:before="0" w:after="0"/>
        <w:rPr>
          <w:color w:val="00000A"/>
          <w:sz w:val="20"/>
          <w:szCs w:val="20"/>
        </w:rPr>
      </w:pPr>
      <w:r>
        <w:rPr>
          <w:color w:val="00000A"/>
          <w:sz w:val="20"/>
          <w:szCs w:val="20"/>
        </w:rPr>
      </w:r>
    </w:p>
    <w:p>
      <w:pPr>
        <w:pStyle w:val="Normal"/>
        <w:spacing w:lineRule="auto" w:line="374" w:before="0" w:after="0"/>
        <w:ind w:left="1240" w:right="1260" w:hanging="0"/>
        <w:jc w:val="both"/>
        <w:rPr>
          <w:color w:val="00000A"/>
          <w:sz w:val="20"/>
          <w:szCs w:val="20"/>
        </w:rPr>
      </w:pPr>
      <w:r>
        <w:rPr>
          <w:rFonts w:eastAsia="Arial" w:cs="Arial" w:ascii="Arial" w:hAnsi="Arial"/>
          <w:color w:val="00000A"/>
          <w:sz w:val="20"/>
          <w:szCs w:val="20"/>
        </w:rPr>
        <w:t>the shape of the distribution, and it ranges from zero (uni-axial girdles) to infinite (uni-axial clusters).</w:t>
      </w:r>
    </w:p>
    <w:p>
      <w:pPr>
        <w:pStyle w:val="Normal"/>
        <w:spacing w:lineRule="exact" w:line="1" w:before="0" w:after="0"/>
        <w:rPr>
          <w:color w:val="00000A"/>
          <w:sz w:val="20"/>
          <w:szCs w:val="20"/>
        </w:rPr>
      </w:pPr>
      <w:r>
        <w:rPr>
          <w:color w:val="00000A"/>
          <w:sz w:val="20"/>
          <w:szCs w:val="20"/>
        </w:rPr>
      </w:r>
    </w:p>
    <w:p>
      <w:pPr>
        <w:pStyle w:val="Normal"/>
        <w:spacing w:lineRule="auto" w:line="444" w:before="0" w:after="0"/>
        <w:ind w:left="1240" w:right="1260" w:firstLine="299"/>
        <w:jc w:val="both"/>
        <w:rPr/>
      </w:pPr>
      <w:r>
        <w:rPr>
          <w:rFonts w:eastAsia="Arial" w:cs="Arial" w:ascii="Arial" w:hAnsi="Arial"/>
          <w:color w:val="00000A"/>
          <w:sz w:val="17"/>
          <w:szCs w:val="17"/>
        </w:rPr>
        <w:t>In a fluvio-lacustrine environment a cluster distribution would suggest a strong preferential orientation of the sample, such as in the case of channelised water flows (</w:t>
      </w:r>
      <w:hyperlink w:anchor="page45">
        <w:r>
          <w:rPr>
            <w:rStyle w:val="InternetLink"/>
            <w:rFonts w:eastAsia="Arial" w:cs="Arial" w:ascii="Arial" w:hAnsi="Arial"/>
            <w:color w:val="0000FF"/>
            <w:sz w:val="17"/>
            <w:szCs w:val="17"/>
          </w:rPr>
          <w:t>Petraglia and Potts</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1994</w:t>
        </w:r>
      </w:hyperlink>
      <w:r>
        <w:rPr>
          <w:rFonts w:eastAsia="Arial" w:cs="Arial" w:ascii="Arial" w:hAnsi="Arial"/>
          <w:color w:val="00000A"/>
          <w:sz w:val="17"/>
          <w:szCs w:val="17"/>
        </w:rPr>
        <w:t>), whereas a girdle distribution a weaker preferential orienta-tion, spread over a wider range of directions. Overland flows have been interpreted to produce such a pattern (</w:t>
      </w:r>
      <w:hyperlink w:anchor="page45">
        <w:r>
          <w:rPr>
            <w:rStyle w:val="InternetLink"/>
            <w:rFonts w:eastAsia="Arial" w:cs="Arial" w:ascii="Arial" w:hAnsi="Arial"/>
            <w:color w:val="0000FF"/>
            <w:sz w:val="17"/>
            <w:szCs w:val="17"/>
          </w:rPr>
          <w:t>Organista et al.</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2017</w:t>
        </w:r>
      </w:hyperlink>
      <w:r>
        <w:rPr>
          <w:rFonts w:eastAsia="Arial" w:cs="Arial" w:ascii="Arial" w:hAnsi="Arial"/>
          <w:color w:val="00000A"/>
          <w:sz w:val="17"/>
          <w:szCs w:val="17"/>
        </w:rPr>
        <w:t>). On the other hand, a isotropic distribu-tion would suggest that post-depositional disturbance by water flows was not strong enough to preferentially orient the assemblage (</w:t>
      </w:r>
      <w:hyperlink w:anchor="page39">
        <w:r>
          <w:rPr>
            <w:rStyle w:val="InternetLink"/>
            <w:rFonts w:eastAsia="Arial" w:cs="Arial" w:ascii="Arial" w:hAnsi="Arial"/>
            <w:color w:val="0000FF"/>
            <w:sz w:val="17"/>
            <w:szCs w:val="17"/>
          </w:rPr>
          <w:t>Domínguez-Rodrigo et al.</w:t>
        </w:r>
      </w:hyperlink>
      <w:r>
        <w:rPr>
          <w:rFonts w:eastAsia="Arial" w:cs="Arial" w:ascii="Arial" w:hAnsi="Arial"/>
          <w:color w:val="00000A"/>
          <w:sz w:val="17"/>
          <w:szCs w:val="17"/>
        </w:rPr>
        <w:t xml:space="preserve">, </w:t>
      </w:r>
      <w:hyperlink w:anchor="page39">
        <w:r>
          <w:rPr>
            <w:rStyle w:val="InternetLink"/>
            <w:rFonts w:eastAsia="Arial" w:cs="Arial" w:ascii="Arial" w:hAnsi="Arial"/>
            <w:color w:val="0000FF"/>
            <w:sz w:val="17"/>
            <w:szCs w:val="17"/>
          </w:rPr>
          <w:t>2014a</w:t>
        </w:r>
      </w:hyperlink>
      <w:r>
        <w:rPr>
          <w:rFonts w:eastAsia="Arial" w:cs="Arial" w:ascii="Arial" w:hAnsi="Arial"/>
          <w:color w:val="00000A"/>
          <w:sz w:val="17"/>
          <w:szCs w:val="17"/>
        </w:rPr>
        <w:t>). However, a variety of taphonomic processes can produce similar patterns. Fabric anal-ysis, although very informative, has low power by itself. In order to overcome the intrinsic limitations of the fabric analysis, a multivariate approach to site formation and modification processes should be employed (</w:t>
      </w:r>
      <w:hyperlink w:anchor="page43">
        <w:r>
          <w:rPr>
            <w:rStyle w:val="InternetLink"/>
            <w:rFonts w:eastAsia="Arial" w:cs="Arial" w:ascii="Arial" w:hAnsi="Arial"/>
            <w:color w:val="0000FF"/>
            <w:sz w:val="17"/>
            <w:szCs w:val="17"/>
          </w:rPr>
          <w:t>Lenoble and Bertran</w:t>
        </w:r>
      </w:hyperlink>
      <w:r>
        <w:rPr>
          <w:rFonts w:eastAsia="Arial" w:cs="Arial" w:ascii="Arial" w:hAnsi="Arial"/>
          <w:color w:val="00000A"/>
          <w:sz w:val="17"/>
          <w:szCs w:val="17"/>
        </w:rPr>
        <w:t xml:space="preserve">, </w:t>
      </w:r>
      <w:hyperlink w:anchor="page43">
        <w:r>
          <w:rPr>
            <w:rStyle w:val="InternetLink"/>
            <w:rFonts w:eastAsia="Arial" w:cs="Arial" w:ascii="Arial" w:hAnsi="Arial"/>
            <w:color w:val="0000FF"/>
            <w:sz w:val="17"/>
            <w:szCs w:val="17"/>
          </w:rPr>
          <w:t>2004</w:t>
        </w:r>
      </w:hyperlink>
      <w:r>
        <w:rPr>
          <w:rFonts w:eastAsia="Arial" w:cs="Arial" w:ascii="Arial" w:hAnsi="Arial"/>
          <w:color w:val="00000A"/>
          <w:sz w:val="17"/>
          <w:szCs w:val="17"/>
        </w:rPr>
        <w:t>).</w:t>
      </w:r>
    </w:p>
    <w:p>
      <w:pPr>
        <w:pStyle w:val="Normal"/>
        <w:spacing w:lineRule="exact" w:line="197"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before="0" w:after="0"/>
        <w:ind w:left="1240" w:hanging="0"/>
        <w:rPr>
          <w:color w:val="00000A"/>
          <w:sz w:val="20"/>
          <w:szCs w:val="20"/>
        </w:rPr>
      </w:pPr>
      <w:r>
        <w:rPr>
          <w:rFonts w:eastAsia="Arial" w:cs="Arial" w:ascii="Arial" w:hAnsi="Arial"/>
          <w:color w:val="00000A"/>
          <w:sz w:val="20"/>
          <w:szCs w:val="20"/>
        </w:rPr>
        <w:t>3.2.2. Geostatistics</w:t>
      </w:r>
    </w:p>
    <w:p>
      <w:pPr>
        <w:pStyle w:val="Normal"/>
        <w:spacing w:lineRule="exact" w:line="149"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15" w:before="0" w:after="0"/>
        <w:ind w:left="1240" w:right="1260" w:firstLine="299"/>
        <w:jc w:val="both"/>
        <w:rPr>
          <w:color w:val="00000A"/>
          <w:sz w:val="20"/>
          <w:szCs w:val="20"/>
        </w:rPr>
      </w:pPr>
      <w:r>
        <w:rPr>
          <w:rFonts w:eastAsia="Arial" w:cs="Arial" w:ascii="Arial" w:hAnsi="Arial"/>
          <w:color w:val="00000A"/>
          <w:sz w:val="18"/>
          <w:szCs w:val="18"/>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Normal"/>
        <w:spacing w:lineRule="exact" w:line="7"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32" w:before="0" w:after="0"/>
        <w:ind w:left="1240" w:right="1260" w:firstLine="299"/>
        <w:jc w:val="both"/>
        <w:rPr/>
      </w:pPr>
      <w:r>
        <w:rPr>
          <w:rFonts w:eastAsia="Arial" w:cs="Arial" w:ascii="Arial" w:hAnsi="Arial"/>
          <w:color w:val="00000A"/>
          <w:sz w:val="18"/>
          <w:szCs w:val="18"/>
        </w:rPr>
        <w:t>Although well known in ecological studies, only a relatively small number of stud-ies have explicitly applied geostatistics to the study of site formation and modifica-tion processes, using directional variograms to investigate the specimens size spa</w:t>
      </w:r>
      <w:r>
        <w:rPr>
          <w:rFonts w:eastAsia="Arial" w:cs="Arial" w:ascii="Arial" w:hAnsi="Arial"/>
          <w:color w:val="00000A"/>
          <w:sz w:val="20"/>
          <w:szCs w:val="20"/>
        </w:rPr>
        <w:t>tial distributions (</w:t>
      </w:r>
      <w:hyperlink w:anchor="page39">
        <w:r>
          <w:rPr>
            <w:rStyle w:val="InternetLink"/>
            <w:rFonts w:eastAsia="Arial" w:cs="Arial" w:ascii="Arial" w:hAnsi="Arial"/>
            <w:color w:val="0000FF"/>
            <w:sz w:val="20"/>
            <w:szCs w:val="20"/>
          </w:rPr>
          <w:t>Domínguez-Rodrigo et al.</w:t>
        </w:r>
      </w:hyperlink>
      <w:r>
        <w:rPr>
          <w:rFonts w:eastAsia="Arial" w:cs="Arial" w:ascii="Arial" w:hAnsi="Arial"/>
          <w:color w:val="00000A"/>
          <w:sz w:val="20"/>
          <w:szCs w:val="20"/>
        </w:rPr>
        <w:t xml:space="preserve">, </w:t>
      </w:r>
      <w:hyperlink w:anchor="page39">
        <w:r>
          <w:rPr>
            <w:rStyle w:val="InternetLink"/>
            <w:rFonts w:eastAsia="Arial" w:cs="Arial" w:ascii="Arial" w:hAnsi="Arial"/>
            <w:color w:val="0000FF"/>
            <w:sz w:val="20"/>
            <w:szCs w:val="20"/>
          </w:rPr>
          <w:t>2014a</w:t>
        </w:r>
      </w:hyperlink>
      <w:r>
        <w:rPr>
          <w:rFonts w:eastAsia="Arial" w:cs="Arial" w:ascii="Arial" w:hAnsi="Arial"/>
          <w:color w:val="00000A"/>
          <w:sz w:val="20"/>
          <w:szCs w:val="20"/>
        </w:rPr>
        <w:t>,</w:t>
      </w:r>
      <w:hyperlink w:anchor="page40">
        <w:r>
          <w:rPr>
            <w:rStyle w:val="InternetLink"/>
            <w:rFonts w:eastAsia="Arial" w:cs="Arial" w:ascii="Arial" w:hAnsi="Arial"/>
            <w:color w:val="0000FF"/>
            <w:sz w:val="20"/>
            <w:szCs w:val="20"/>
          </w:rPr>
          <w:t>c</w:t>
        </w:r>
      </w:hyperlink>
      <w:r>
        <w:rPr>
          <w:rFonts w:eastAsia="Arial" w:cs="Arial" w:ascii="Arial" w:hAnsi="Arial"/>
          <w:color w:val="00000A"/>
          <w:sz w:val="20"/>
          <w:szCs w:val="20"/>
        </w:rPr>
        <w:t>), or to specifically detect spatial anisotropy of archaeological assemblages (</w:t>
      </w:r>
      <w:hyperlink w:anchor="page38">
        <w:r>
          <w:rPr>
            <w:rStyle w:val="InternetLink"/>
            <w:rFonts w:eastAsia="Arial" w:cs="Arial" w:ascii="Arial" w:hAnsi="Arial"/>
            <w:color w:val="0000FF"/>
            <w:sz w:val="20"/>
            <w:szCs w:val="20"/>
          </w:rPr>
          <w:t>Bevan and Conolly</w:t>
        </w:r>
      </w:hyperlink>
      <w:r>
        <w:rPr>
          <w:rFonts w:eastAsia="Arial" w:cs="Arial" w:ascii="Arial" w:hAnsi="Arial"/>
          <w:color w:val="00000A"/>
          <w:sz w:val="20"/>
          <w:szCs w:val="20"/>
        </w:rPr>
        <w:t xml:space="preserve">, </w:t>
      </w:r>
      <w:hyperlink w:anchor="page38">
        <w:r>
          <w:rPr>
            <w:rStyle w:val="InternetLink"/>
            <w:rFonts w:eastAsia="Arial" w:cs="Arial" w:ascii="Arial" w:hAnsi="Arial"/>
            <w:color w:val="0000FF"/>
            <w:sz w:val="20"/>
            <w:szCs w:val="20"/>
          </w:rPr>
          <w:t>2009</w:t>
        </w:r>
      </w:hyperlink>
      <w:r>
        <w:rPr>
          <w:rFonts w:eastAsia="Arial" w:cs="Arial" w:ascii="Arial" w:hAnsi="Arial"/>
          <w:color w:val="00000A"/>
          <w:sz w:val="20"/>
          <w:szCs w:val="20"/>
        </w:rPr>
        <w:t xml:space="preserve">; </w:t>
      </w:r>
      <w:hyperlink w:anchor="page44">
        <w:r>
          <w:rPr>
            <w:rStyle w:val="InternetLink"/>
            <w:rFonts w:eastAsia="Arial" w:cs="Arial" w:ascii="Arial" w:hAnsi="Arial"/>
            <w:color w:val="0000FF"/>
            <w:sz w:val="20"/>
            <w:szCs w:val="20"/>
          </w:rPr>
          <w:t>Markofsky and</w:t>
        </w:r>
      </w:hyperlink>
      <w:r>
        <w:rPr>
          <w:rFonts w:eastAsia="Arial" w:cs="Arial" w:ascii="Arial" w:hAnsi="Arial"/>
          <w:color w:val="00000A"/>
          <w:sz w:val="20"/>
          <w:szCs w:val="20"/>
        </w:rPr>
        <w:t xml:space="preserve"> </w:t>
      </w:r>
      <w:hyperlink w:anchor="page44">
        <w:r>
          <w:rPr>
            <w:rStyle w:val="InternetLink"/>
            <w:rFonts w:eastAsia="Arial" w:cs="Arial" w:ascii="Arial" w:hAnsi="Arial"/>
            <w:color w:val="0000FF"/>
            <w:sz w:val="20"/>
            <w:szCs w:val="20"/>
          </w:rPr>
          <w:t>Bevan</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4">
        <w:r>
          <w:rPr>
            <w:rStyle w:val="InternetLink"/>
            <w:rFonts w:eastAsia="Arial" w:cs="Arial" w:ascii="Arial" w:hAnsi="Arial"/>
            <w:color w:val="0000FF"/>
            <w:sz w:val="20"/>
            <w:szCs w:val="20"/>
          </w:rPr>
          <w:t>2012</w:t>
        </w:r>
      </w:hyperlink>
      <w:r>
        <w:rPr>
          <w:rFonts w:eastAsia="Arial" w:cs="Arial" w:ascii="Arial" w:hAnsi="Arial"/>
          <w:color w:val="000000"/>
          <w:sz w:val="20"/>
          <w:szCs w:val="20"/>
        </w:rPr>
        <w:t>).</w:t>
      </w:r>
    </w:p>
    <w:p>
      <w:pPr>
        <w:pStyle w:val="Normal"/>
        <w:spacing w:lineRule="exact" w:line="1"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391" w:before="0" w:after="0"/>
        <w:ind w:left="1240" w:right="1260" w:firstLine="299"/>
        <w:jc w:val="both"/>
        <w:rPr/>
      </w:pPr>
      <w:r>
        <w:rPr>
          <w:rFonts w:eastAsia="Arial" w:cs="Arial" w:ascii="Arial" w:hAnsi="Arial"/>
          <w:color w:val="00000A"/>
          <w:sz w:val="18"/>
          <w:szCs w:val="18"/>
        </w:rPr>
        <w:t>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w:t>
      </w:r>
      <w:r>
        <w:rPr>
          <w:rFonts w:eastAsia="Arial" w:cs="Arial" w:ascii="Arial" w:hAnsi="Arial"/>
          <w:color w:val="00000A"/>
          <w:sz w:val="24"/>
          <w:szCs w:val="24"/>
          <w:vertAlign w:val="superscript"/>
        </w:rPr>
        <w:t>2</w:t>
      </w:r>
      <w:r>
        <w:rPr>
          <w:rFonts w:eastAsia="Arial" w:cs="Arial" w:ascii="Arial" w:hAnsi="Arial"/>
          <w:color w:val="00000A"/>
          <w:sz w:val="18"/>
          <w:szCs w:val="18"/>
        </w:rPr>
        <w:t xml:space="preserve"> window of analysis (Fig. </w:t>
      </w:r>
      <w:hyperlink w:anchor="page9">
        <w:r>
          <w:rPr>
            <w:rStyle w:val="InternetLink"/>
            <w:rFonts w:eastAsia="Arial" w:cs="Arial" w:ascii="Arial" w:hAnsi="Arial"/>
            <w:color w:val="0000FF"/>
            <w:sz w:val="18"/>
            <w:szCs w:val="18"/>
          </w:rPr>
          <w:t>4</w:t>
        </w:r>
      </w:hyperlink>
      <w:r>
        <w:rPr>
          <w:rFonts w:eastAsia="Arial" w:cs="Arial" w:ascii="Arial" w:hAnsi="Arial"/>
          <w:color w:val="00000A"/>
          <w:sz w:val="18"/>
          <w:szCs w:val="18"/>
        </w:rPr>
        <w:t>). The same sample was used for the wavelet and point pattern analyses.</w:t>
      </w:r>
    </w:p>
    <w:p>
      <w:pPr>
        <w:pStyle w:val="Normal"/>
        <w:spacing w:lineRule="exact" w:line="5"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441" w:before="0" w:after="0"/>
        <w:ind w:left="1240" w:right="1260" w:firstLine="299"/>
        <w:jc w:val="both"/>
        <w:rPr/>
      </w:pPr>
      <w:r>
        <w:rPr>
          <w:rFonts w:eastAsia="Arial" w:cs="Arial" w:ascii="Arial" w:hAnsi="Arial"/>
          <w:color w:val="00000A"/>
          <w:sz w:val="17"/>
          <w:szCs w:val="17"/>
        </w:rPr>
        <w:t>Specifically, plotting the semi-variance between the variable values of sampled point pairs as a function of distance (spatial lag) between these pairs, directional var-iograms are used to model the spatial variation at multiple scales and di erent direc-tions. Three parameters (nugget, range and sill) are estimated from an experimental variogram to fit a theoretical omnidirectional variogram. The nugget is used to account for spatial variability at very short distances. The range indicates the maximal dis-tance up to which there is spatial correlation. At longer distances the semi-variance levels o forming the sill, indicating independence between pairs of sample separated by that minimum distance (</w:t>
      </w:r>
      <w:hyperlink w:anchor="page39">
        <w:r>
          <w:rPr>
            <w:rStyle w:val="InternetLink"/>
            <w:rFonts w:eastAsia="Arial" w:cs="Arial" w:ascii="Arial" w:hAnsi="Arial"/>
            <w:color w:val="0000FF"/>
            <w:sz w:val="17"/>
            <w:szCs w:val="17"/>
          </w:rPr>
          <w:t>Dale and Fortin</w:t>
        </w:r>
      </w:hyperlink>
      <w:r>
        <w:rPr>
          <w:rFonts w:eastAsia="Arial" w:cs="Arial" w:ascii="Arial" w:hAnsi="Arial"/>
          <w:color w:val="00000A"/>
          <w:sz w:val="17"/>
          <w:szCs w:val="17"/>
        </w:rPr>
        <w:t xml:space="preserve">, </w:t>
      </w:r>
      <w:hyperlink w:anchor="page39">
        <w:r>
          <w:rPr>
            <w:rStyle w:val="InternetLink"/>
            <w:rFonts w:eastAsia="Arial" w:cs="Arial" w:ascii="Arial" w:hAnsi="Arial"/>
            <w:color w:val="0000FF"/>
            <w:sz w:val="17"/>
            <w:szCs w:val="17"/>
          </w:rPr>
          <w:t>2014</w:t>
        </w:r>
      </w:hyperlink>
      <w:r>
        <w:rPr>
          <w:rFonts w:eastAsia="Arial" w:cs="Arial" w:ascii="Arial" w:hAnsi="Arial"/>
          <w:color w:val="00000A"/>
          <w:sz w:val="17"/>
          <w:szCs w:val="17"/>
        </w:rPr>
        <w:t xml:space="preserve">; </w:t>
      </w:r>
      <w:hyperlink w:anchor="page44">
        <w:r>
          <w:rPr>
            <w:rStyle w:val="InternetLink"/>
            <w:rFonts w:eastAsia="Arial" w:cs="Arial" w:ascii="Arial" w:hAnsi="Arial"/>
            <w:color w:val="0000FF"/>
            <w:sz w:val="17"/>
            <w:szCs w:val="17"/>
          </w:rPr>
          <w:t>Lloyd and Atkinson</w:t>
        </w:r>
      </w:hyperlink>
      <w:r>
        <w:rPr>
          <w:rFonts w:eastAsia="Arial" w:cs="Arial" w:ascii="Arial" w:hAnsi="Arial"/>
          <w:color w:val="00000A"/>
          <w:sz w:val="17"/>
          <w:szCs w:val="17"/>
        </w:rPr>
        <w:t xml:space="preserve">, </w:t>
      </w:r>
      <w:hyperlink w:anchor="page44">
        <w:r>
          <w:rPr>
            <w:rStyle w:val="InternetLink"/>
            <w:rFonts w:eastAsia="Arial" w:cs="Arial" w:ascii="Arial" w:hAnsi="Arial"/>
            <w:color w:val="0000FF"/>
            <w:sz w:val="17"/>
            <w:szCs w:val="17"/>
          </w:rPr>
          <w:t>2004</w:t>
        </w:r>
      </w:hyperlink>
      <w:r>
        <w:rPr>
          <w:rFonts w:eastAsia="Arial" w:cs="Arial" w:ascii="Arial" w:hAnsi="Arial"/>
          <w:color w:val="00000A"/>
          <w:sz w:val="17"/>
          <w:szCs w:val="17"/>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hyperlink w:anchor="page43">
        <w:r>
          <w:rPr>
            <w:rStyle w:val="InternetLink"/>
            <w:rFonts w:eastAsia="Arial" w:cs="Arial" w:ascii="Arial" w:hAnsi="Arial"/>
            <w:color w:val="0000FF"/>
            <w:sz w:val="17"/>
            <w:szCs w:val="17"/>
          </w:rPr>
          <w:t>Legendre and Legendre</w:t>
        </w:r>
      </w:hyperlink>
      <w:r>
        <w:rPr>
          <w:rFonts w:eastAsia="Arial" w:cs="Arial" w:ascii="Arial" w:hAnsi="Arial"/>
          <w:color w:val="00000A"/>
          <w:sz w:val="17"/>
          <w:szCs w:val="17"/>
        </w:rPr>
        <w:t xml:space="preserve">, </w:t>
      </w:r>
      <w:hyperlink w:anchor="page43">
        <w:r>
          <w:rPr>
            <w:rStyle w:val="InternetLink"/>
            <w:rFonts w:eastAsia="Arial" w:cs="Arial" w:ascii="Arial" w:hAnsi="Arial"/>
            <w:color w:val="0000FF"/>
            <w:sz w:val="17"/>
            <w:szCs w:val="17"/>
          </w:rPr>
          <w:t>2012</w:t>
        </w:r>
      </w:hyperlink>
      <w:r>
        <w:rPr>
          <w:rFonts w:eastAsia="Arial" w:cs="Arial" w:ascii="Arial" w:hAnsi="Arial"/>
          <w:color w:val="00000A"/>
          <w:sz w:val="17"/>
          <w:szCs w:val="17"/>
        </w:rPr>
        <w:t>).</w:t>
      </w:r>
    </w:p>
    <w:p>
      <w:pPr>
        <w:pStyle w:val="Normal"/>
        <w:spacing w:lineRule="exact" w:line="202"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before="0" w:after="0"/>
        <w:ind w:left="1240" w:hanging="0"/>
        <w:rPr>
          <w:color w:val="00000A"/>
          <w:sz w:val="20"/>
          <w:szCs w:val="20"/>
        </w:rPr>
      </w:pPr>
      <w:r>
        <w:rPr>
          <w:rFonts w:eastAsia="Arial" w:cs="Arial" w:ascii="Arial" w:hAnsi="Arial"/>
          <w:color w:val="00000A"/>
          <w:sz w:val="20"/>
          <w:szCs w:val="20"/>
        </w:rPr>
        <w:t>3.2.3. Wavelet analysis</w:t>
      </w:r>
    </w:p>
    <w:p>
      <w:pPr>
        <w:pStyle w:val="Normal"/>
        <w:spacing w:lineRule="exact" w:line="149"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63" w:before="0" w:after="0"/>
        <w:ind w:left="1240" w:right="1260" w:firstLine="299"/>
        <w:jc w:val="both"/>
        <w:rPr/>
      </w:pPr>
      <w:r>
        <w:rPr>
          <w:rFonts w:eastAsia="Arial" w:cs="Arial" w:ascii="Arial" w:hAnsi="Arial"/>
          <w:color w:val="00000A"/>
          <w:sz w:val="17"/>
          <w:szCs w:val="17"/>
        </w:rPr>
        <w:t>As a second method for the detection of spatial anisotropy at the assemblage level we used the wavelet analysis. Wavelet analysis, commonly applied in mathematics for signal processing, has relatively wide application in palaeoclimatology and palaeoecol</w:t>
      </w:r>
      <w:r>
        <w:rPr>
          <w:rFonts w:eastAsia="Arial" w:cs="Arial" w:ascii="Arial" w:hAnsi="Arial"/>
          <w:color w:val="00000A"/>
          <w:sz w:val="20"/>
          <w:szCs w:val="20"/>
        </w:rPr>
        <w:t>ogy, but is seldom used in studies on site formation processes (</w:t>
      </w:r>
      <w:hyperlink w:anchor="page44">
        <w:r>
          <w:rPr>
            <w:rStyle w:val="InternetLink"/>
            <w:rFonts w:eastAsia="Arial" w:cs="Arial" w:ascii="Arial" w:hAnsi="Arial"/>
            <w:color w:val="0000FF"/>
            <w:sz w:val="20"/>
            <w:szCs w:val="20"/>
          </w:rPr>
          <w:t>Markofsky and Bevan</w:t>
        </w:r>
      </w:hyperlink>
      <w:r>
        <w:rPr>
          <w:rFonts w:eastAsia="Arial" w:cs="Arial" w:ascii="Arial" w:hAnsi="Arial"/>
          <w:color w:val="00000A"/>
          <w:sz w:val="20"/>
          <w:szCs w:val="20"/>
        </w:rPr>
        <w:t xml:space="preserve">, </w:t>
      </w:r>
      <w:hyperlink w:anchor="page44">
        <w:r>
          <w:rPr>
            <w:rStyle w:val="InternetLink"/>
            <w:rFonts w:eastAsia="Arial" w:cs="Arial" w:ascii="Arial" w:hAnsi="Arial"/>
            <w:color w:val="0000FF"/>
            <w:sz w:val="20"/>
            <w:szCs w:val="20"/>
          </w:rPr>
          <w:t>2012</w:t>
        </w:r>
      </w:hyperlink>
      <w:r>
        <w:rPr>
          <w:rFonts w:eastAsia="Arial" w:cs="Arial" w:ascii="Arial" w:hAnsi="Arial"/>
          <w:color w:val="000000"/>
          <w:sz w:val="20"/>
          <w:szCs w:val="20"/>
        </w:rPr>
        <w:t>).</w:t>
      </w:r>
    </w:p>
    <w:p>
      <w:pPr>
        <w:pStyle w:val="Normal"/>
        <w:spacing w:lineRule="exact" w:line="1" w:before="0" w:after="0"/>
        <w:rPr>
          <w:color w:val="00000A"/>
          <w:sz w:val="20"/>
          <w:szCs w:val="20"/>
        </w:rPr>
      </w:pPr>
      <w:r>
        <w:rPr>
          <w:color w:val="00000A"/>
          <w:sz w:val="20"/>
          <w:szCs w:val="20"/>
        </w:rPr>
      </w:r>
    </w:p>
    <w:p>
      <w:pPr>
        <w:pStyle w:val="Normal"/>
        <w:spacing w:lineRule="auto" w:line="439" w:before="0" w:after="0"/>
        <w:ind w:left="1240" w:right="1260" w:firstLine="299"/>
        <w:jc w:val="both"/>
        <w:rPr>
          <w:color w:val="00000A"/>
          <w:sz w:val="20"/>
          <w:szCs w:val="20"/>
        </w:rPr>
      </w:pPr>
      <w:r>
        <w:rPr>
          <w:rFonts w:eastAsia="Arial" w:cs="Arial" w:ascii="Arial" w:hAnsi="Arial"/>
          <w:color w:val="00000A"/>
          <w:sz w:val="17"/>
          <w:szCs w:val="17"/>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 er from the arbitrary choice of a surface smooth parameter, as in the case of geostatistics.</w:t>
      </w:r>
    </w:p>
    <w:p>
      <w:pPr>
        <w:pStyle w:val="Normal"/>
        <w:spacing w:lineRule="exact" w:line="1" w:before="0" w:after="0"/>
        <w:rPr>
          <w:color w:val="00000A"/>
          <w:sz w:val="20"/>
          <w:szCs w:val="20"/>
        </w:rPr>
      </w:pPr>
      <w:r>
        <w:rPr>
          <w:color w:val="00000A"/>
          <w:sz w:val="20"/>
          <w:szCs w:val="20"/>
        </w:rPr>
      </w:r>
    </w:p>
    <w:p>
      <w:pPr>
        <w:pStyle w:val="Normal"/>
        <w:spacing w:lineRule="auto" w:line="420" w:before="0" w:after="0"/>
        <w:ind w:left="1240" w:right="1260" w:firstLine="299"/>
        <w:jc w:val="both"/>
        <w:rPr/>
      </w:pPr>
      <w:r>
        <w:rPr>
          <w:rFonts w:eastAsia="Arial" w:cs="Arial" w:ascii="Arial" w:hAnsi="Arial"/>
          <w:color w:val="00000A"/>
          <w:sz w:val="18"/>
          <w:szCs w:val="18"/>
        </w:rPr>
        <w:t>For each specific point of the pattern, a wheel of 360 sectors of 1° is used to measure the average variance in the angles between point pairs (</w:t>
      </w:r>
      <w:hyperlink w:anchor="page46">
        <w:r>
          <w:rPr>
            <w:rStyle w:val="InternetLink"/>
            <w:rFonts w:eastAsia="Arial" w:cs="Arial" w:ascii="Arial" w:hAnsi="Arial"/>
            <w:color w:val="0000FF"/>
            <w:sz w:val="18"/>
            <w:szCs w:val="18"/>
          </w:rPr>
          <w:t>Rosenberg</w:t>
        </w:r>
      </w:hyperlink>
      <w:r>
        <w:rPr>
          <w:rFonts w:eastAsia="Arial" w:cs="Arial" w:ascii="Arial" w:hAnsi="Arial"/>
          <w:color w:val="00000A"/>
          <w:sz w:val="18"/>
          <w:szCs w:val="18"/>
        </w:rPr>
        <w:t xml:space="preserve">, </w:t>
      </w:r>
      <w:hyperlink w:anchor="page46">
        <w:r>
          <w:rPr>
            <w:rStyle w:val="InternetLink"/>
            <w:rFonts w:eastAsia="Arial" w:cs="Arial" w:ascii="Arial" w:hAnsi="Arial"/>
            <w:color w:val="0000FF"/>
            <w:sz w:val="18"/>
            <w:szCs w:val="18"/>
          </w:rPr>
          <w:t>2004</w:t>
        </w:r>
      </w:hyperlink>
      <w:r>
        <w:rPr>
          <w:rFonts w:eastAsia="Arial" w:cs="Arial" w:ascii="Arial" w:hAnsi="Arial"/>
          <w:color w:val="00000A"/>
          <w:sz w:val="18"/>
          <w:szCs w:val="18"/>
        </w:rPr>
        <w:t>). The signif-icance of the wavelet analysis is evaluated against 199 Monte Carlo simulations of the observed pattern under the null hypothesis of randomness. The variance is plotted as a function of angle measurements. Direction is measured anti-clockwise from East (i.e., 0° is East, 90° is North). When the distribution of the observed values (dashed line) wanders above the simulated values (continuous line), the pattern shows significant anisotropy in that direction.</w:t>
      </w:r>
    </w:p>
    <w:p>
      <w:pPr>
        <w:pStyle w:val="Normal"/>
        <w:spacing w:lineRule="exact" w:line="210"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3.2.4. Point pattern analysis</w:t>
      </w:r>
    </w:p>
    <w:p>
      <w:pPr>
        <w:pStyle w:val="Normal"/>
        <w:spacing w:lineRule="exact" w:line="149" w:before="0" w:after="0"/>
        <w:rPr>
          <w:color w:val="00000A"/>
          <w:sz w:val="20"/>
          <w:szCs w:val="20"/>
        </w:rPr>
      </w:pPr>
      <w:r>
        <w:rPr>
          <w:color w:val="00000A"/>
          <w:sz w:val="20"/>
          <w:szCs w:val="20"/>
        </w:rPr>
      </w:r>
    </w:p>
    <w:p>
      <w:pPr>
        <w:pStyle w:val="Normal"/>
        <w:spacing w:lineRule="auto" w:line="417" w:before="0" w:after="0"/>
        <w:ind w:left="1240" w:right="1260" w:firstLine="299"/>
        <w:jc w:val="both"/>
        <w:rPr/>
      </w:pPr>
      <w:r>
        <w:rPr>
          <w:rFonts w:eastAsia="Arial" w:cs="Arial" w:ascii="Arial" w:hAnsi="Arial"/>
          <w:color w:val="00000A"/>
          <w:sz w:val="18"/>
          <w:szCs w:val="18"/>
        </w:rPr>
        <w:t>A spatial point pattern is the outcome of a random spatial point process. Any nat-ural phenomenon which results in a spatial point pattern, such as a distribution pattern of fossils, can be viewed as a point process (</w:t>
      </w:r>
      <w:hyperlink w:anchor="page37">
        <w:r>
          <w:rPr>
            <w:rStyle w:val="InternetLink"/>
            <w:rFonts w:eastAsia="Arial" w:cs="Arial" w:ascii="Arial" w:hAnsi="Arial"/>
            <w:color w:val="0000FF"/>
            <w:sz w:val="18"/>
            <w:szCs w:val="18"/>
          </w:rPr>
          <w:t>Baddeley et al.</w:t>
        </w:r>
      </w:hyperlink>
      <w:r>
        <w:rPr>
          <w:rFonts w:eastAsia="Arial" w:cs="Arial" w:ascii="Arial" w:hAnsi="Arial"/>
          <w:color w:val="00000A"/>
          <w:sz w:val="18"/>
          <w:szCs w:val="18"/>
        </w:rPr>
        <w:t xml:space="preserve">, </w:t>
      </w:r>
      <w:hyperlink w:anchor="page37">
        <w:r>
          <w:rPr>
            <w:rStyle w:val="InternetLink"/>
            <w:rFonts w:eastAsia="Arial" w:cs="Arial" w:ascii="Arial" w:hAnsi="Arial"/>
            <w:color w:val="0000FF"/>
            <w:sz w:val="18"/>
            <w:szCs w:val="18"/>
          </w:rPr>
          <w:t>2015</w:t>
        </w:r>
      </w:hyperlink>
      <w:r>
        <w:rPr>
          <w:rFonts w:eastAsia="Arial" w:cs="Arial" w:ascii="Arial" w:hAnsi="Arial"/>
          <w:color w:val="00000A"/>
          <w:sz w:val="18"/>
          <w:szCs w:val="18"/>
        </w:rPr>
        <w:t>). Therefore, the analysis of a spatial point pattern ultimately addresses the nature of the point process that generated the pattern. Point pattern analysis has been specifically applied to the study of site formation and modification processes by a relatively small number of studies (</w:t>
      </w:r>
      <w:hyperlink w:anchor="page39">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2014a</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2014c</w:t>
        </w:r>
      </w:hyperlink>
      <w:r>
        <w:rPr>
          <w:rFonts w:eastAsia="Arial" w:cs="Arial" w:ascii="Arial" w:hAnsi="Arial"/>
          <w:color w:val="00000A"/>
          <w:sz w:val="18"/>
          <w:szCs w:val="18"/>
        </w:rPr>
        <w:t xml:space="preserve">; </w:t>
      </w:r>
      <w:hyperlink w:anchor="page41">
        <w:r>
          <w:rPr>
            <w:rStyle w:val="InternetLink"/>
            <w:rFonts w:eastAsia="Arial" w:cs="Arial" w:ascii="Arial" w:hAnsi="Arial"/>
            <w:color w:val="0000FF"/>
            <w:sz w:val="18"/>
            <w:szCs w:val="18"/>
          </w:rPr>
          <w:t>Giusti and Arzarello</w:t>
        </w:r>
      </w:hyperlink>
      <w:r>
        <w:rPr>
          <w:rFonts w:eastAsia="Arial" w:cs="Arial" w:ascii="Arial" w:hAnsi="Arial"/>
          <w:color w:val="00000A"/>
          <w:sz w:val="18"/>
          <w:szCs w:val="18"/>
        </w:rPr>
        <w:t xml:space="preserve">, </w:t>
      </w:r>
      <w:hyperlink w:anchor="page41">
        <w:r>
          <w:rPr>
            <w:rStyle w:val="InternetLink"/>
            <w:rFonts w:eastAsia="Arial" w:cs="Arial" w:ascii="Arial" w:hAnsi="Arial"/>
            <w:color w:val="0000FF"/>
            <w:sz w:val="18"/>
            <w:szCs w:val="18"/>
          </w:rPr>
          <w:t>2016</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Giusti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2">
        <w:r>
          <w:rPr>
            <w:rStyle w:val="InternetLink"/>
            <w:rFonts w:eastAsia="Arial" w:cs="Arial" w:ascii="Arial" w:hAnsi="Arial"/>
            <w:color w:val="0000FF"/>
            <w:sz w:val="18"/>
            <w:szCs w:val="18"/>
          </w:rPr>
          <w:t>in press</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3">
        <w:r>
          <w:rPr>
            <w:rStyle w:val="InternetLink"/>
            <w:rFonts w:eastAsia="Arial" w:cs="Arial" w:ascii="Arial" w:hAnsi="Arial"/>
            <w:color w:val="0000FF"/>
            <w:sz w:val="18"/>
            <w:szCs w:val="18"/>
          </w:rPr>
          <w:t>Lenoble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3">
        <w:r>
          <w:rPr>
            <w:rStyle w:val="InternetLink"/>
            <w:rFonts w:eastAsia="Arial" w:cs="Arial" w:ascii="Arial" w:hAnsi="Arial"/>
            <w:color w:val="0000FF"/>
            <w:sz w:val="18"/>
            <w:szCs w:val="18"/>
          </w:rPr>
          <w:t>2008</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Organista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2017</w:t>
        </w:r>
      </w:hyperlink>
      <w:r>
        <w:rPr>
          <w:rFonts w:eastAsia="Arial" w:cs="Arial" w:ascii="Arial" w:hAnsi="Arial"/>
          <w:color w:val="000000"/>
          <w:sz w:val="18"/>
          <w:szCs w:val="18"/>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 ected by shifting and/or rotating the point process.</w:t>
      </w:r>
    </w:p>
    <w:p>
      <w:pPr>
        <w:pStyle w:val="Normal"/>
        <w:spacing w:lineRule="auto" w:line="374" w:before="0" w:after="0"/>
        <w:ind w:left="1240" w:right="1260" w:firstLine="299"/>
        <w:jc w:val="both"/>
        <w:rPr/>
      </w:pPr>
      <w:r>
        <w:rPr>
          <w:rFonts w:eastAsia="Arial" w:cs="Arial" w:ascii="Arial" w:hAnsi="Arial"/>
          <w:color w:val="00000A"/>
          <w:sz w:val="19"/>
          <w:szCs w:val="19"/>
        </w:rPr>
        <w:t>In order to further assess the presence of anisotropy in the distribution pattern of the TSR assemblage, we specifically applied the point pair distribution function (O</w:t>
      </w:r>
      <w:r>
        <w:rPr>
          <w:rFonts w:eastAsia="Arial" w:cs="Arial" w:ascii="Arial" w:hAnsi="Arial"/>
          <w:color w:val="00000A"/>
          <w:sz w:val="26"/>
          <w:szCs w:val="26"/>
          <w:vertAlign w:val="subscript"/>
        </w:rPr>
        <w:t>r1;r2</w:t>
      </w:r>
      <w:r>
        <w:rPr>
          <w:rFonts w:eastAsia="Arial" w:cs="Arial" w:ascii="Arial" w:hAnsi="Arial"/>
          <w:color w:val="00000A"/>
          <w:sz w:val="19"/>
          <w:szCs w:val="19"/>
        </w:rPr>
        <w:t xml:space="preserve">( ); </w:t>
      </w:r>
      <w:hyperlink w:anchor="page37">
        <w:r>
          <w:rPr>
            <w:rStyle w:val="InternetLink"/>
            <w:rFonts w:eastAsia="Arial" w:cs="Arial" w:ascii="Arial" w:hAnsi="Arial"/>
            <w:color w:val="0000FF"/>
            <w:sz w:val="19"/>
            <w:szCs w:val="19"/>
          </w:rPr>
          <w:t>Baddeley et al.</w:t>
        </w:r>
      </w:hyperlink>
      <w:r>
        <w:rPr>
          <w:rFonts w:eastAsia="Arial" w:cs="Arial" w:ascii="Arial" w:hAnsi="Arial"/>
          <w:color w:val="000000"/>
          <w:sz w:val="19"/>
          <w:szCs w:val="19"/>
        </w:rPr>
        <w:t>,</w:t>
      </w:r>
      <w:r>
        <w:rPr>
          <w:rFonts w:eastAsia="Arial" w:cs="Arial" w:ascii="Arial" w:hAnsi="Arial"/>
          <w:color w:val="0000FF"/>
          <w:sz w:val="19"/>
          <w:szCs w:val="19"/>
        </w:rPr>
        <w:t xml:space="preserve"> </w:t>
      </w:r>
      <w:hyperlink w:anchor="page37">
        <w:r>
          <w:rPr>
            <w:rStyle w:val="InternetLink"/>
            <w:rFonts w:eastAsia="Arial" w:cs="Arial" w:ascii="Arial" w:hAnsi="Arial"/>
            <w:color w:val="0000FF"/>
            <w:sz w:val="19"/>
            <w:szCs w:val="19"/>
          </w:rPr>
          <w:t>2015</w:t>
        </w:r>
      </w:hyperlink>
      <w:r>
        <w:rPr>
          <w:rFonts w:eastAsia="Arial" w:cs="Arial" w:ascii="Arial" w:hAnsi="Arial"/>
          <w:color w:val="000000"/>
          <w:sz w:val="19"/>
          <w:szCs w:val="19"/>
        </w:rPr>
        <w:t>). The function estimates the probability distribution of the direc-tions of vectors joining pairs of points that lie more than r1 and less than r2 units apart. With selected di erent distances r1 and r2, the function estimates the multiscale variation of anisotropy. Results are visualised in rose diagrams, where the direction is measured counter-clockwise from East (0°).</w:t>
      </w:r>
    </w:p>
    <w:p>
      <w:pPr>
        <w:pStyle w:val="Normal"/>
        <w:spacing w:lineRule="exact" w:line="2" w:before="0" w:after="0"/>
        <w:rPr>
          <w:color w:val="00000A"/>
          <w:sz w:val="20"/>
          <w:szCs w:val="20"/>
        </w:rPr>
      </w:pPr>
      <w:r>
        <w:rPr>
          <w:color w:val="00000A"/>
          <w:sz w:val="20"/>
          <w:szCs w:val="20"/>
        </w:rPr>
      </w:r>
    </w:p>
    <w:p>
      <w:pPr>
        <w:pStyle w:val="Normal"/>
        <w:spacing w:lineRule="auto" w:line="451" w:before="0" w:after="0"/>
        <w:ind w:left="1240" w:right="1260" w:firstLine="299"/>
        <w:jc w:val="both"/>
        <w:rPr/>
      </w:pPr>
      <w:r>
        <w:rPr>
          <w:rFonts w:eastAsia="Arial" w:cs="Arial" w:ascii="Arial" w:hAnsi="Arial"/>
          <w:color w:val="00000A"/>
          <w:sz w:val="17"/>
          <w:szCs w:val="17"/>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hyperlink w:anchor="page39">
        <w:r>
          <w:rPr>
            <w:rStyle w:val="InternetLink"/>
            <w:rFonts w:eastAsia="Arial" w:cs="Arial" w:ascii="Arial" w:hAnsi="Arial"/>
            <w:color w:val="0000FF"/>
            <w:sz w:val="17"/>
            <w:szCs w:val="17"/>
          </w:rPr>
          <w:t>Domínguez-Rodrigo et al.</w:t>
        </w:r>
      </w:hyperlink>
      <w:r>
        <w:rPr>
          <w:rFonts w:eastAsia="Arial" w:cs="Arial" w:ascii="Arial" w:hAnsi="Arial"/>
          <w:color w:val="00000A"/>
          <w:sz w:val="17"/>
          <w:szCs w:val="17"/>
        </w:rPr>
        <w:t xml:space="preserve">, </w:t>
      </w:r>
      <w:hyperlink w:anchor="page39">
        <w:r>
          <w:rPr>
            <w:rStyle w:val="InternetLink"/>
            <w:rFonts w:eastAsia="Arial" w:cs="Arial" w:ascii="Arial" w:hAnsi="Arial"/>
            <w:color w:val="0000FF"/>
            <w:sz w:val="17"/>
            <w:szCs w:val="17"/>
          </w:rPr>
          <w:t>2012</w:t>
        </w:r>
      </w:hyperlink>
      <w:r>
        <w:rPr>
          <w:rFonts w:eastAsia="Arial" w:cs="Arial" w:ascii="Arial" w:hAnsi="Arial"/>
          <w:color w:val="00000A"/>
          <w:sz w:val="17"/>
          <w:szCs w:val="17"/>
        </w:rPr>
        <w:t>).</w:t>
      </w:r>
    </w:p>
    <w:p>
      <w:pPr>
        <w:pStyle w:val="Normal"/>
        <w:spacing w:lineRule="exact" w:line="191"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3.3. Anisotropy of magnetic susceptibility (AMS)</w:t>
      </w:r>
    </w:p>
    <w:p>
      <w:pPr>
        <w:pStyle w:val="Normal"/>
        <w:spacing w:lineRule="exact" w:line="189" w:before="0" w:after="0"/>
        <w:rPr>
          <w:color w:val="00000A"/>
          <w:sz w:val="20"/>
          <w:szCs w:val="20"/>
        </w:rPr>
      </w:pPr>
      <w:r>
        <w:rPr>
          <w:color w:val="00000A"/>
          <w:sz w:val="20"/>
          <w:szCs w:val="20"/>
        </w:rPr>
      </w:r>
    </w:p>
    <w:p>
      <w:pPr>
        <w:pStyle w:val="Normal"/>
        <w:spacing w:lineRule="auto" w:line="391" w:before="0" w:after="0"/>
        <w:ind w:left="1240" w:right="980" w:firstLine="299"/>
        <w:rPr/>
      </w:pPr>
      <w:r>
        <w:rPr>
          <w:rFonts w:eastAsia="Arial" w:cs="Arial" w:ascii="Arial" w:hAnsi="Arial"/>
          <w:color w:val="00000A"/>
          <w:sz w:val="19"/>
          <w:szCs w:val="19"/>
        </w:rPr>
        <w:t>The anisotropy of magnetic susceptibility (AMS) is a technique used to identify preferred orientation of magnetic minerals in rocks and unconsolidated sediments (</w:t>
      </w:r>
      <w:hyperlink w:anchor="page42">
        <w:r>
          <w:rPr>
            <w:rStyle w:val="InternetLink"/>
            <w:rFonts w:eastAsia="Arial" w:cs="Arial" w:ascii="Arial" w:hAnsi="Arial"/>
            <w:color w:val="0000FF"/>
            <w:sz w:val="19"/>
            <w:szCs w:val="19"/>
          </w:rPr>
          <w:t>Hrouda</w:t>
        </w:r>
      </w:hyperlink>
      <w:r>
        <w:rPr>
          <w:rFonts w:eastAsia="Arial" w:cs="Arial" w:ascii="Arial" w:hAnsi="Arial"/>
          <w:color w:val="00000A"/>
          <w:sz w:val="19"/>
          <w:szCs w:val="19"/>
        </w:rPr>
        <w:t xml:space="preserve">, </w:t>
      </w:r>
      <w:hyperlink w:anchor="page42">
        <w:r>
          <w:rPr>
            <w:rStyle w:val="InternetLink"/>
            <w:rFonts w:eastAsia="Arial" w:cs="Arial" w:ascii="Arial" w:hAnsi="Arial"/>
            <w:color w:val="0000FF"/>
            <w:sz w:val="19"/>
            <w:szCs w:val="19"/>
          </w:rPr>
          <w:t>1982</w:t>
        </w:r>
      </w:hyperlink>
      <w:r>
        <w:rPr>
          <w:rFonts w:eastAsia="Arial" w:cs="Arial" w:ascii="Arial" w:hAnsi="Arial"/>
          <w:color w:val="000000"/>
          <w:sz w:val="19"/>
          <w:szCs w:val="19"/>
        </w:rPr>
        <w:t>;</w:t>
      </w:r>
      <w:r>
        <w:rPr>
          <w:rFonts w:eastAsia="Arial" w:cs="Arial" w:ascii="Arial" w:hAnsi="Arial"/>
          <w:color w:val="0000FF"/>
          <w:sz w:val="19"/>
          <w:szCs w:val="19"/>
        </w:rPr>
        <w:t xml:space="preserve"> </w:t>
      </w:r>
      <w:hyperlink w:anchor="page46">
        <w:r>
          <w:rPr>
            <w:rStyle w:val="InternetLink"/>
            <w:rFonts w:eastAsia="Arial" w:cs="Arial" w:ascii="Arial" w:hAnsi="Arial"/>
            <w:color w:val="0000FF"/>
            <w:sz w:val="19"/>
            <w:szCs w:val="19"/>
          </w:rPr>
          <w:t>Tarling and Hrouda</w:t>
        </w:r>
      </w:hyperlink>
      <w:r>
        <w:rPr>
          <w:rFonts w:eastAsia="Arial" w:cs="Arial" w:ascii="Arial" w:hAnsi="Arial"/>
          <w:color w:val="000000"/>
          <w:sz w:val="19"/>
          <w:szCs w:val="19"/>
        </w:rPr>
        <w:t>,</w:t>
      </w:r>
      <w:r>
        <w:rPr>
          <w:rFonts w:eastAsia="Arial" w:cs="Arial" w:ascii="Arial" w:hAnsi="Arial"/>
          <w:color w:val="0000FF"/>
          <w:sz w:val="19"/>
          <w:szCs w:val="19"/>
        </w:rPr>
        <w:t xml:space="preserve"> </w:t>
      </w:r>
      <w:hyperlink w:anchor="page46">
        <w:r>
          <w:rPr>
            <w:rStyle w:val="InternetLink"/>
            <w:rFonts w:eastAsia="Arial" w:cs="Arial" w:ascii="Arial" w:hAnsi="Arial"/>
            <w:color w:val="0000FF"/>
            <w:sz w:val="19"/>
            <w:szCs w:val="19"/>
          </w:rPr>
          <w:t>1993</w:t>
        </w:r>
      </w:hyperlink>
      <w:r>
        <w:rPr>
          <w:rFonts w:eastAsia="Arial" w:cs="Arial" w:ascii="Arial" w:hAnsi="Arial"/>
          <w:color w:val="000000"/>
          <w:sz w:val="19"/>
          <w:szCs w:val="19"/>
        </w:rPr>
        <w:t>). It is based on the principle that, when a magnetic</w:t>
      </w:r>
      <w:r>
        <w:rPr>
          <w:rFonts w:eastAsia="Arial" w:cs="Arial" w:ascii="Arial" w:hAnsi="Arial"/>
          <w:color w:val="0000FF"/>
          <w:sz w:val="19"/>
          <w:szCs w:val="19"/>
        </w:rPr>
        <w:t xml:space="preserve"> </w:t>
      </w:r>
      <w:r>
        <w:rPr>
          <w:rFonts w:eastAsia="Arial" w:cs="Arial" w:ascii="Arial" w:hAnsi="Arial"/>
          <w:color w:val="000000"/>
          <w:sz w:val="19"/>
          <w:szCs w:val="19"/>
        </w:rPr>
        <w:t>field is applied to a sample, the induced magnetisation depends on the bulk orienta-tion of its magnetic constituents. In turn, the AMS magnitude depends on both the anisotropy of individual magnetic particles and the degree of their alignment. Particle anisotropy can be related to either crystalline (anisotropy along a specific crystal plane or axis) or shape (anisotropy along the long axis of the particle) characteristics. Since in most magnetic minerals forming sedimentary particles the long crystallographic axis is the easiest to magnetise (e.g., magnetite), the shape anisotropy is generally dominant, with few exceptions (e.g., haematite).</w:t>
      </w:r>
    </w:p>
    <w:p>
      <w:pPr>
        <w:pStyle w:val="Normal"/>
        <w:spacing w:lineRule="exact" w:line="10" w:before="0" w:after="0"/>
        <w:rPr>
          <w:rFonts w:ascii="Arial" w:hAnsi="Arial" w:eastAsia="Arial" w:cs="Arial"/>
          <w:color w:val="0000FF"/>
          <w:sz w:val="19"/>
          <w:szCs w:val="19"/>
        </w:rPr>
      </w:pPr>
      <w:r>
        <w:rPr>
          <w:rFonts w:eastAsia="Arial" w:cs="Arial" w:ascii="Arial" w:hAnsi="Arial"/>
          <w:color w:val="0000FF"/>
          <w:sz w:val="19"/>
          <w:szCs w:val="19"/>
        </w:rPr>
      </w:r>
    </w:p>
    <w:p>
      <w:pPr>
        <w:pStyle w:val="Normal"/>
        <w:spacing w:lineRule="auto" w:line="420" w:before="0" w:after="0"/>
        <w:ind w:left="1240" w:right="1260" w:firstLine="299"/>
        <w:jc w:val="both"/>
        <w:rPr/>
      </w:pPr>
      <w:r>
        <w:rPr>
          <w:rFonts w:eastAsia="Arial" w:cs="Arial" w:ascii="Arial" w:hAnsi="Arial"/>
          <w:color w:val="00000A"/>
          <w:sz w:val="18"/>
          <w:szCs w:val="18"/>
        </w:rPr>
        <w:t xml:space="preserve">The magnetic susceptibility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hyperlink w:anchor="page46">
        <w:r>
          <w:rPr>
            <w:rStyle w:val="InternetLink"/>
            <w:rFonts w:eastAsia="Arial" w:cs="Arial" w:ascii="Arial" w:hAnsi="Arial"/>
            <w:color w:val="0000FF"/>
            <w:sz w:val="18"/>
            <w:szCs w:val="18"/>
          </w:rPr>
          <w:t>Stacey et al.</w:t>
        </w:r>
      </w:hyperlink>
      <w:r>
        <w:rPr>
          <w:rFonts w:eastAsia="Arial" w:cs="Arial" w:ascii="Arial" w:hAnsi="Arial"/>
          <w:color w:val="00000A"/>
          <w:sz w:val="18"/>
          <w:szCs w:val="18"/>
        </w:rPr>
        <w:t xml:space="preserve">, </w:t>
      </w:r>
      <w:hyperlink w:anchor="page46">
        <w:r>
          <w:rPr>
            <w:rStyle w:val="InternetLink"/>
            <w:rFonts w:eastAsia="Arial" w:cs="Arial" w:ascii="Arial" w:hAnsi="Arial"/>
            <w:color w:val="0000FF"/>
            <w:sz w:val="18"/>
            <w:szCs w:val="18"/>
          </w:rPr>
          <w:t>1960</w:t>
        </w:r>
      </w:hyperlink>
      <w:r>
        <w:rPr>
          <w:rFonts w:eastAsia="Arial" w:cs="Arial" w:ascii="Arial" w:hAnsi="Arial"/>
          <w:color w:val="00000A"/>
          <w:sz w:val="18"/>
          <w:szCs w:val="18"/>
        </w:rPr>
        <w:t xml:space="preserve">) is plotted against the lineation </w:t>
      </w:r>
      <w:r>
        <w:rPr>
          <w:rFonts w:eastAsia="Arial" w:cs="Arial" w:ascii="Arial" w:hAnsi="Arial"/>
          <w:color w:val="00000A"/>
          <w:sz w:val="19"/>
          <w:szCs w:val="19"/>
        </w:rPr>
        <w:t xml:space="preserve">along the vertical axis (L = K1/K2; </w:t>
      </w:r>
      <w:hyperlink w:anchor="page37">
        <w:r>
          <w:rPr>
            <w:rStyle w:val="InternetLink"/>
            <w:rFonts w:eastAsia="Arial" w:cs="Arial" w:ascii="Arial" w:hAnsi="Arial"/>
            <w:color w:val="0000FF"/>
            <w:sz w:val="19"/>
            <w:szCs w:val="19"/>
          </w:rPr>
          <w:t>Balsey and Buddington</w:t>
        </w:r>
      </w:hyperlink>
      <w:r>
        <w:rPr>
          <w:rFonts w:eastAsia="Arial" w:cs="Arial" w:ascii="Arial" w:hAnsi="Arial"/>
          <w:color w:val="00000A"/>
          <w:sz w:val="19"/>
          <w:szCs w:val="19"/>
        </w:rPr>
        <w:t xml:space="preserve">, </w:t>
      </w:r>
      <w:hyperlink w:anchor="page37">
        <w:r>
          <w:rPr>
            <w:rStyle w:val="InternetLink"/>
            <w:rFonts w:eastAsia="Arial" w:cs="Arial" w:ascii="Arial" w:hAnsi="Arial"/>
            <w:color w:val="0000FF"/>
            <w:sz w:val="19"/>
            <w:szCs w:val="19"/>
          </w:rPr>
          <w:t>1960</w:t>
        </w:r>
      </w:hyperlink>
      <w:r>
        <w:rPr>
          <w:rFonts w:eastAsia="Arial" w:cs="Arial" w:ascii="Arial" w:hAnsi="Arial"/>
          <w:color w:val="00000A"/>
          <w:sz w:val="19"/>
          <w:szCs w:val="19"/>
        </w:rPr>
        <w:t>). Values of F/L &lt; 1 indicate oblate ellipsoids (i.e., disc-shaped), whereas values of F/L &gt; 1 indicate prolate ellipsoids (i.e., cigar-shaped) with the axial ratios increasing with distance from the origin. Alternatively, the AMS magnitude and shape can be visualised on the Jelinek shape plot (</w:t>
      </w:r>
      <w:hyperlink w:anchor="page42">
        <w:r>
          <w:rPr>
            <w:rStyle w:val="InternetLink"/>
            <w:rFonts w:eastAsia="Arial" w:cs="Arial" w:ascii="Arial" w:hAnsi="Arial"/>
            <w:color w:val="0000FF"/>
            <w:sz w:val="19"/>
            <w:szCs w:val="19"/>
          </w:rPr>
          <w:t>Jelinek</w:t>
        </w:r>
      </w:hyperlink>
      <w:r>
        <w:rPr>
          <w:rFonts w:eastAsia="Arial" w:cs="Arial" w:ascii="Arial" w:hAnsi="Arial"/>
          <w:color w:val="00000A"/>
          <w:sz w:val="19"/>
          <w:szCs w:val="19"/>
        </w:rPr>
        <w:t xml:space="preserve">, </w:t>
      </w:r>
      <w:hyperlink w:anchor="page42">
        <w:r>
          <w:rPr>
            <w:rStyle w:val="InternetLink"/>
            <w:rFonts w:eastAsia="Arial" w:cs="Arial" w:ascii="Arial" w:hAnsi="Arial"/>
            <w:color w:val="0000FF"/>
            <w:sz w:val="19"/>
            <w:szCs w:val="19"/>
          </w:rPr>
          <w:t>1981</w:t>
        </w:r>
      </w:hyperlink>
      <w:r>
        <w:rPr>
          <w:rFonts w:eastAsia="Arial" w:cs="Arial" w:ascii="Arial" w:hAnsi="Arial"/>
          <w:color w:val="00000A"/>
          <w:sz w:val="19"/>
          <w:szCs w:val="19"/>
        </w:rPr>
        <w:t>), by using the corrected anisotropy degree</w:t>
      </w:r>
    </w:p>
    <w:p>
      <w:pPr>
        <w:pStyle w:val="Normal"/>
        <w:spacing w:lineRule="exact" w:line="141"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before="0" w:after="0"/>
        <w:ind w:left="3220" w:hanging="0"/>
        <w:rPr>
          <w:color w:val="00000A"/>
          <w:sz w:val="20"/>
          <w:szCs w:val="20"/>
        </w:rPr>
      </w:pPr>
      <w:r>
        <w:rPr>
          <w:rFonts w:eastAsia="Arial" w:cs="Arial" w:ascii="Arial" w:hAnsi="Arial"/>
          <w:b/>
          <w:bCs/>
          <w:color w:val="00000A"/>
          <w:sz w:val="20"/>
          <w:szCs w:val="20"/>
        </w:rPr>
        <w:t>p</w:t>
      </w:r>
    </w:p>
    <w:p>
      <w:pPr>
        <w:pStyle w:val="Normal"/>
        <w:spacing w:lineRule="exact" w:line="20" w:before="0" w:after="0"/>
        <w:rPr>
          <w:rFonts w:ascii="Arial" w:hAnsi="Arial" w:eastAsia="Arial" w:cs="Arial"/>
          <w:color w:val="00000A"/>
          <w:sz w:val="19"/>
          <w:szCs w:val="19"/>
        </w:rPr>
      </w:pPr>
      <w:r>
        <w:rPr>
          <w:rFonts w:eastAsia="Arial" w:cs="Arial" w:ascii="Arial" w:hAnsi="Arial"/>
          <w:color w:val="00000A"/>
          <w:sz w:val="19"/>
          <w:szCs w:val="19"/>
        </w:rPr>
        <mc:AlternateContent>
          <mc:Choice Requires="wps">
            <w:drawing>
              <wp:anchor behindDoc="1" distT="0" distB="0" distL="114935" distR="114935" simplePos="0" locked="0" layoutInCell="1" allowOverlap="1" relativeHeight="4">
                <wp:simplePos x="0" y="0"/>
                <wp:positionH relativeFrom="column">
                  <wp:posOffset>2130425</wp:posOffset>
                </wp:positionH>
                <wp:positionV relativeFrom="paragraph">
                  <wp:posOffset>-24130</wp:posOffset>
                </wp:positionV>
                <wp:extent cx="2263140" cy="1270"/>
                <wp:effectExtent l="0" t="0" r="0" b="0"/>
                <wp:wrapNone/>
                <wp:docPr id="1" name="Shape 9"/>
                <a:graphic xmlns:a="http://schemas.openxmlformats.org/drawingml/2006/main">
                  <a:graphicData uri="http://schemas.microsoft.com/office/word/2010/wordprocessingShape">
                    <wps:wsp>
                      <wps:cNvSpPr/>
                      <wps:spPr>
                        <a:xfrm>
                          <a:off x="0" y="0"/>
                          <a:ext cx="226260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167.8pt,-2.15pt" to="345.9pt,-1.8pt" ID="Shape 9" stroked="t" style="position:absolute">
                <v:stroke color="black" weight="6840" joinstyle="miter" endcap="flat"/>
                <v:fill o:detectmouseclick="t" on="false"/>
              </v:line>
            </w:pict>
          </mc:Fallback>
        </mc:AlternateContent>
      </w:r>
    </w:p>
    <w:p>
      <w:pPr>
        <w:pStyle w:val="Normal"/>
        <w:tabs>
          <w:tab w:val="left" w:pos="160" w:leader="none"/>
          <w:tab w:val="left" w:pos="180" w:leader="none"/>
          <w:tab w:val="left" w:pos="200" w:leader="none"/>
        </w:tabs>
        <w:spacing w:before="0" w:after="0"/>
        <w:jc w:val="center"/>
        <w:rPr>
          <w:color w:val="00000A"/>
          <w:sz w:val="20"/>
          <w:szCs w:val="20"/>
        </w:rPr>
      </w:pPr>
      <w:r>
        <w:rPr>
          <w:rFonts w:eastAsia="Arial" w:cs="Arial" w:ascii="Arial" w:hAnsi="Arial"/>
          <w:color w:val="00000A"/>
          <w:sz w:val="20"/>
          <w:szCs w:val="20"/>
        </w:rPr>
        <w:t>P j = exp</w:t>
      </w:r>
      <w:r>
        <w:rPr>
          <w:color w:val="00000A"/>
          <w:sz w:val="20"/>
          <w:szCs w:val="20"/>
        </w:rPr>
        <w:tab/>
      </w:r>
      <w:r>
        <w:rPr>
          <w:rFonts w:eastAsia="Arial" w:cs="Arial" w:ascii="Arial" w:hAnsi="Arial"/>
          <w:color w:val="00000A"/>
          <w:sz w:val="20"/>
          <w:szCs w:val="20"/>
        </w:rPr>
        <w:t>f2[(lnK1</w:t>
      </w:r>
      <w:r>
        <w:rPr>
          <w:color w:val="00000A"/>
          <w:sz w:val="20"/>
          <w:szCs w:val="20"/>
        </w:rPr>
        <w:tab/>
      </w:r>
      <w:r>
        <w:rPr>
          <w:rFonts w:eastAsia="Arial" w:cs="Arial" w:ascii="Arial" w:hAnsi="Arial"/>
          <w:color w:val="00000A"/>
          <w:sz w:val="20"/>
          <w:szCs w:val="20"/>
        </w:rPr>
        <w:t>k)</w:t>
      </w:r>
      <w:r>
        <w:rPr>
          <w:rFonts w:eastAsia="Arial" w:cs="Arial" w:ascii="Arial" w:hAnsi="Arial"/>
          <w:color w:val="00000A"/>
          <w:sz w:val="27"/>
          <w:szCs w:val="27"/>
          <w:vertAlign w:val="superscript"/>
        </w:rPr>
        <w:t>2</w:t>
      </w:r>
      <w:r>
        <w:rPr>
          <w:rFonts w:eastAsia="Arial" w:cs="Arial" w:ascii="Arial" w:hAnsi="Arial"/>
          <w:color w:val="00000A"/>
          <w:sz w:val="20"/>
          <w:szCs w:val="20"/>
        </w:rPr>
        <w:t xml:space="preserve"> + (lnK2</w:t>
        <w:tab/>
        <w:t>k)</w:t>
      </w:r>
      <w:r>
        <w:rPr>
          <w:rFonts w:eastAsia="Arial" w:cs="Arial" w:ascii="Arial" w:hAnsi="Arial"/>
          <w:color w:val="00000A"/>
          <w:sz w:val="27"/>
          <w:szCs w:val="27"/>
          <w:vertAlign w:val="superscript"/>
        </w:rPr>
        <w:t>2</w:t>
      </w:r>
      <w:r>
        <w:rPr>
          <w:rFonts w:eastAsia="Arial" w:cs="Arial" w:ascii="Arial" w:hAnsi="Arial"/>
          <w:color w:val="00000A"/>
          <w:sz w:val="20"/>
          <w:szCs w:val="20"/>
        </w:rPr>
        <w:t xml:space="preserve"> + (lnK3</w:t>
      </w:r>
      <w:r>
        <w:rPr>
          <w:color w:val="00000A"/>
          <w:sz w:val="20"/>
          <w:szCs w:val="20"/>
        </w:rPr>
        <w:tab/>
      </w:r>
      <w:r>
        <w:rPr>
          <w:rFonts w:eastAsia="Arial" w:cs="Arial" w:ascii="Arial" w:hAnsi="Arial"/>
          <w:color w:val="00000A"/>
          <w:sz w:val="17"/>
          <w:szCs w:val="17"/>
        </w:rPr>
        <w:t>k)</w:t>
      </w:r>
      <w:r>
        <w:rPr>
          <w:rFonts w:eastAsia="Arial" w:cs="Arial" w:ascii="Arial" w:hAnsi="Arial"/>
          <w:color w:val="00000A"/>
          <w:sz w:val="23"/>
          <w:szCs w:val="23"/>
          <w:vertAlign w:val="superscript"/>
        </w:rPr>
        <w:t>2</w:t>
      </w:r>
      <w:r>
        <w:rPr>
          <w:rFonts w:eastAsia="Arial" w:cs="Arial" w:ascii="Arial" w:hAnsi="Arial"/>
          <w:color w:val="00000A"/>
          <w:sz w:val="17"/>
          <w:szCs w:val="17"/>
        </w:rPr>
        <w:t>]g</w:t>
      </w:r>
    </w:p>
    <w:p>
      <w:pPr>
        <w:pStyle w:val="Normal"/>
        <w:spacing w:lineRule="exact" w:line="174"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before="0" w:after="0"/>
        <w:ind w:left="1540" w:hanging="0"/>
        <w:rPr>
          <w:color w:val="00000A"/>
          <w:sz w:val="20"/>
          <w:szCs w:val="20"/>
        </w:rPr>
      </w:pPr>
      <w:r>
        <w:rPr>
          <w:rFonts w:eastAsia="Arial" w:cs="Arial" w:ascii="Arial" w:hAnsi="Arial"/>
          <w:color w:val="00000A"/>
          <w:sz w:val="20"/>
          <w:szCs w:val="20"/>
        </w:rPr>
        <w:t>where</w:t>
      </w:r>
    </w:p>
    <w:p>
      <w:pPr>
        <w:pStyle w:val="Normal"/>
        <w:spacing w:lineRule="exact" w:line="330"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0"/>
          <w:numId w:val="3"/>
        </w:numPr>
        <w:tabs>
          <w:tab w:val="left" w:pos="3803" w:leader="none"/>
        </w:tabs>
        <w:spacing w:lineRule="auto" w:line="182" w:before="0" w:after="0"/>
        <w:ind w:left="4780" w:right="3700" w:hanging="0"/>
        <w:rPr>
          <w:rFonts w:ascii="Arial" w:hAnsi="Arial" w:eastAsia="Arial" w:cs="Arial"/>
          <w:color w:val="00000A"/>
          <w:sz w:val="40"/>
          <w:szCs w:val="40"/>
          <w:vertAlign w:val="subscript"/>
        </w:rPr>
      </w:pPr>
      <w:r>
        <w:rPr>
          <w:rFonts w:eastAsia="Arial" w:cs="Arial" w:ascii="Arial" w:hAnsi="Arial"/>
          <w:color w:val="00000A"/>
          <w:sz w:val="39"/>
          <w:szCs w:val="39"/>
          <w:vertAlign w:val="subscript"/>
        </w:rPr>
        <w:t>=</w:t>
      </w:r>
      <w:r>
        <w:rPr>
          <w:rFonts w:eastAsia="Arial" w:cs="Arial" w:ascii="Arial" w:hAnsi="Arial"/>
          <w:color w:val="00000A"/>
          <w:sz w:val="20"/>
          <w:szCs w:val="20"/>
        </w:rPr>
        <w:t xml:space="preserve"> lnK1 + lnK2 + lnK3 3</w:t>
      </w:r>
    </w:p>
    <w:p>
      <w:pPr>
        <w:pStyle w:val="Normal"/>
        <w:spacing w:lineRule="exact" w:line="20" w:before="0" w:after="0"/>
        <w:rPr>
          <w:rFonts w:ascii="Arial" w:hAnsi="Arial" w:eastAsia="Arial" w:cs="Arial"/>
          <w:color w:val="00000A"/>
          <w:sz w:val="19"/>
          <w:szCs w:val="19"/>
        </w:rPr>
      </w:pPr>
      <w:r>
        <w:rPr>
          <w:rFonts w:eastAsia="Arial" w:cs="Arial" w:ascii="Arial" w:hAnsi="Arial"/>
          <w:color w:val="00000A"/>
          <w:sz w:val="19"/>
          <w:szCs w:val="19"/>
        </w:rPr>
        <mc:AlternateContent>
          <mc:Choice Requires="wps">
            <w:drawing>
              <wp:anchor behindDoc="1" distT="0" distB="0" distL="114935" distR="114935" simplePos="0" locked="0" layoutInCell="1" allowOverlap="1" relativeHeight="3">
                <wp:simplePos x="0" y="0"/>
                <wp:positionH relativeFrom="column">
                  <wp:posOffset>2549525</wp:posOffset>
                </wp:positionH>
                <wp:positionV relativeFrom="paragraph">
                  <wp:posOffset>-150495</wp:posOffset>
                </wp:positionV>
                <wp:extent cx="1042670" cy="1270"/>
                <wp:effectExtent l="0" t="0" r="0" b="0"/>
                <wp:wrapNone/>
                <wp:docPr id="2" name="Shape 10"/>
                <a:graphic xmlns:a="http://schemas.openxmlformats.org/drawingml/2006/main">
                  <a:graphicData uri="http://schemas.microsoft.com/office/word/2010/wordprocessingShape">
                    <wps:wsp>
                      <wps:cNvSpPr/>
                      <wps:spPr>
                        <a:xfrm>
                          <a:off x="0" y="0"/>
                          <a:ext cx="104220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00.8pt,-12.1pt" to="282.8pt,-11.75pt" ID="Shape 10" stroked="t" style="position:absolute">
                <v:stroke color="black" weight="6840" joinstyle="miter" endcap="flat"/>
                <v:fill o:detectmouseclick="t" on="false"/>
              </v:line>
            </w:pict>
          </mc:Fallback>
        </mc:AlternateContent>
      </w:r>
    </w:p>
    <w:p>
      <w:pPr>
        <w:pStyle w:val="Normal"/>
        <w:spacing w:lineRule="exact" w:line="87"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before="0" w:after="0"/>
        <w:ind w:left="1540" w:hanging="0"/>
        <w:rPr>
          <w:color w:val="00000A"/>
          <w:sz w:val="20"/>
          <w:szCs w:val="20"/>
        </w:rPr>
      </w:pPr>
      <w:r>
        <w:rPr>
          <w:rFonts w:eastAsia="Arial" w:cs="Arial" w:ascii="Arial" w:hAnsi="Arial"/>
          <w:color w:val="00000A"/>
          <w:sz w:val="20"/>
          <w:szCs w:val="20"/>
        </w:rPr>
        <w:t>and the shape parameter</w:t>
      </w:r>
    </w:p>
    <w:p>
      <w:pPr>
        <w:pStyle w:val="Normal"/>
        <w:spacing w:lineRule="exact" w:line="330"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0"/>
          <w:numId w:val="4"/>
        </w:numPr>
        <w:tabs>
          <w:tab w:val="left" w:pos="4254" w:leader="none"/>
        </w:tabs>
        <w:spacing w:lineRule="auto" w:line="182" w:before="0" w:after="0"/>
        <w:ind w:left="4460" w:right="4120" w:hanging="0"/>
        <w:jc w:val="right"/>
        <w:rPr>
          <w:rFonts w:ascii="Arial" w:hAnsi="Arial" w:eastAsia="Arial" w:cs="Arial"/>
          <w:color w:val="00000A"/>
          <w:sz w:val="40"/>
          <w:szCs w:val="40"/>
          <w:vertAlign w:val="subscript"/>
        </w:rPr>
      </w:pPr>
      <w:r>
        <w:rPr>
          <w:rFonts w:eastAsia="Arial" w:cs="Arial" w:ascii="Arial" w:hAnsi="Arial"/>
          <w:color w:val="00000A"/>
          <w:sz w:val="39"/>
          <w:szCs w:val="39"/>
          <w:vertAlign w:val="subscript"/>
        </w:rPr>
        <w:t>=</w:t>
      </w:r>
      <w:r>
        <w:rPr>
          <w:rFonts w:eastAsia="Arial" w:cs="Arial" w:ascii="Arial" w:hAnsi="Arial"/>
          <w:color w:val="00000A"/>
          <w:sz w:val="20"/>
          <w:szCs w:val="20"/>
        </w:rPr>
        <w:t xml:space="preserve"> lnL  lnF lnL + lnF</w:t>
      </w:r>
    </w:p>
    <w:p>
      <w:pPr>
        <w:pStyle w:val="Normal"/>
        <w:spacing w:lineRule="exact" w:line="20" w:before="0" w:after="0"/>
        <w:rPr>
          <w:rFonts w:ascii="Arial" w:hAnsi="Arial" w:eastAsia="Arial" w:cs="Arial"/>
          <w:color w:val="00000A"/>
          <w:sz w:val="19"/>
          <w:szCs w:val="19"/>
        </w:rPr>
      </w:pPr>
      <w:r>
        <w:rPr>
          <w:rFonts w:eastAsia="Arial" w:cs="Arial" w:ascii="Arial" w:hAnsi="Arial"/>
          <w:color w:val="00000A"/>
          <w:sz w:val="19"/>
          <w:szCs w:val="19"/>
        </w:rPr>
        <mc:AlternateContent>
          <mc:Choice Requires="wps">
            <w:drawing>
              <wp:anchor behindDoc="1" distT="0" distB="0" distL="114935" distR="114935" simplePos="0" locked="0" layoutInCell="1" allowOverlap="1" relativeHeight="2">
                <wp:simplePos x="0" y="0"/>
                <wp:positionH relativeFrom="column">
                  <wp:posOffset>2836545</wp:posOffset>
                </wp:positionH>
                <wp:positionV relativeFrom="paragraph">
                  <wp:posOffset>-149860</wp:posOffset>
                </wp:positionV>
                <wp:extent cx="495935" cy="1270"/>
                <wp:effectExtent l="0" t="0" r="0" b="0"/>
                <wp:wrapNone/>
                <wp:docPr id="3" name="Shape 11"/>
                <a:graphic xmlns:a="http://schemas.openxmlformats.org/drawingml/2006/main">
                  <a:graphicData uri="http://schemas.microsoft.com/office/word/2010/wordprocessingShape">
                    <wps:wsp>
                      <wps:cNvSpPr/>
                      <wps:spPr>
                        <a:xfrm>
                          <a:off x="0" y="0"/>
                          <a:ext cx="49536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23.4pt,-12pt" to="262.35pt,-11.65pt" ID="Shape 11" stroked="t" style="position:absolute">
                <v:stroke color="black" weight="6840" joinstyle="miter" endcap="flat"/>
                <v:fill o:detectmouseclick="t" on="false"/>
              </v:line>
            </w:pict>
          </mc:Fallback>
        </mc:AlternateContent>
      </w:r>
    </w:p>
    <w:p>
      <w:pPr>
        <w:pStyle w:val="Normal"/>
        <w:spacing w:lineRule="exact" w:line="90"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before="0" w:after="0"/>
        <w:ind w:left="1540" w:hanging="0"/>
        <w:rPr>
          <w:color w:val="00000A"/>
          <w:sz w:val="20"/>
          <w:szCs w:val="20"/>
        </w:rPr>
      </w:pPr>
      <w:r>
        <w:rPr>
          <w:rFonts w:eastAsia="Arial" w:cs="Arial" w:ascii="Arial" w:hAnsi="Arial"/>
          <w:color w:val="00000A"/>
          <w:sz w:val="20"/>
          <w:szCs w:val="20"/>
        </w:rPr>
        <w:t>where samples are prolate for -1 &lt; T &lt; 0 or oblate for 0 &lt; T &lt; 1.</w:t>
      </w:r>
    </w:p>
    <w:p>
      <w:pPr>
        <w:pStyle w:val="Normal"/>
        <w:spacing w:lineRule="exact" w:line="129"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auto" w:line="374" w:before="0" w:after="0"/>
        <w:ind w:left="1240" w:right="1260" w:firstLine="299"/>
        <w:jc w:val="both"/>
        <w:rPr/>
      </w:pPr>
      <w:r>
        <w:rPr>
          <w:rFonts w:eastAsia="Arial" w:cs="Arial" w:ascii="Arial" w:hAnsi="Arial"/>
          <w:color w:val="00000A"/>
          <w:sz w:val="20"/>
          <w:szCs w:val="20"/>
        </w:rPr>
        <w:t>In sediments, oblate ellipsoids with imbrication angles less than 20° are considered diagnostic of primary depositional processes (</w:t>
      </w:r>
      <w:hyperlink w:anchor="page42">
        <w:r>
          <w:rPr>
            <w:rStyle w:val="InternetLink"/>
            <w:rFonts w:eastAsia="Arial" w:cs="Arial" w:ascii="Arial" w:hAnsi="Arial"/>
            <w:color w:val="0000FF"/>
            <w:sz w:val="20"/>
            <w:szCs w:val="20"/>
          </w:rPr>
          <w:t>Hamilton and Rees</w:t>
        </w:r>
      </w:hyperlink>
      <w:r>
        <w:rPr>
          <w:rFonts w:eastAsia="Arial" w:cs="Arial" w:ascii="Arial" w:hAnsi="Arial"/>
          <w:color w:val="00000A"/>
          <w:sz w:val="20"/>
          <w:szCs w:val="20"/>
        </w:rPr>
        <w:t xml:space="preserve">, </w:t>
      </w:r>
      <w:hyperlink w:anchor="page42">
        <w:r>
          <w:rPr>
            <w:rStyle w:val="InternetLink"/>
            <w:rFonts w:eastAsia="Arial" w:cs="Arial" w:ascii="Arial" w:hAnsi="Arial"/>
            <w:color w:val="0000FF"/>
            <w:sz w:val="20"/>
            <w:szCs w:val="20"/>
          </w:rPr>
          <w:t>1970</w:t>
        </w:r>
      </w:hyperlink>
      <w:r>
        <w:rPr>
          <w:rFonts w:eastAsia="Arial" w:cs="Arial" w:ascii="Arial" w:hAnsi="Arial"/>
          <w:color w:val="00000A"/>
          <w:sz w:val="20"/>
          <w:szCs w:val="20"/>
        </w:rPr>
        <w:t xml:space="preserve">; </w:t>
      </w:r>
      <w:hyperlink w:anchor="page42">
        <w:r>
          <w:rPr>
            <w:rStyle w:val="InternetLink"/>
            <w:rFonts w:eastAsia="Arial" w:cs="Arial" w:ascii="Arial" w:hAnsi="Arial"/>
            <w:color w:val="0000FF"/>
            <w:sz w:val="20"/>
            <w:szCs w:val="20"/>
          </w:rPr>
          <w:t>Hrouda</w:t>
        </w:r>
      </w:hyperlink>
      <w:r>
        <w:rPr>
          <w:rFonts w:eastAsia="Arial" w:cs="Arial" w:ascii="Arial" w:hAnsi="Arial"/>
          <w:color w:val="00000A"/>
          <w:sz w:val="20"/>
          <w:szCs w:val="20"/>
        </w:rPr>
        <w:t xml:space="preserve">, </w:t>
      </w:r>
      <w:hyperlink w:anchor="page42">
        <w:r>
          <w:rPr>
            <w:rStyle w:val="InternetLink"/>
            <w:rFonts w:eastAsia="Arial" w:cs="Arial" w:ascii="Arial" w:hAnsi="Arial"/>
            <w:color w:val="0000FF"/>
            <w:sz w:val="20"/>
            <w:szCs w:val="20"/>
          </w:rPr>
          <w:t>1982</w:t>
        </w:r>
      </w:hyperlink>
      <w:r>
        <w:rPr>
          <w:rFonts w:eastAsia="Arial" w:cs="Arial" w:ascii="Arial" w:hAnsi="Arial"/>
          <w:color w:val="00000A"/>
          <w:sz w:val="20"/>
          <w:szCs w:val="20"/>
        </w:rPr>
        <w:t xml:space="preserve">; </w:t>
      </w:r>
      <w:hyperlink w:anchor="page43">
        <w:r>
          <w:rPr>
            <w:rStyle w:val="InternetLink"/>
            <w:rFonts w:eastAsia="Arial" w:cs="Arial" w:ascii="Arial" w:hAnsi="Arial"/>
            <w:color w:val="0000FF"/>
            <w:sz w:val="20"/>
            <w:szCs w:val="20"/>
          </w:rPr>
          <w:t>Lanza and Meloni</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3">
        <w:r>
          <w:rPr>
            <w:rStyle w:val="InternetLink"/>
            <w:rFonts w:eastAsia="Arial" w:cs="Arial" w:ascii="Arial" w:hAnsi="Arial"/>
            <w:color w:val="0000FF"/>
            <w:sz w:val="20"/>
            <w:szCs w:val="20"/>
          </w:rPr>
          <w:t>2006</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4">
        <w:r>
          <w:rPr>
            <w:rStyle w:val="InternetLink"/>
            <w:rFonts w:eastAsia="Arial" w:cs="Arial" w:ascii="Arial" w:hAnsi="Arial"/>
            <w:color w:val="0000FF"/>
            <w:sz w:val="20"/>
            <w:szCs w:val="20"/>
          </w:rPr>
          <w:t>Liu et al.</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4">
        <w:r>
          <w:rPr>
            <w:rStyle w:val="InternetLink"/>
            <w:rFonts w:eastAsia="Arial" w:cs="Arial" w:ascii="Arial" w:hAnsi="Arial"/>
            <w:color w:val="0000FF"/>
            <w:sz w:val="20"/>
            <w:szCs w:val="20"/>
          </w:rPr>
          <w:t>2001</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6">
        <w:r>
          <w:rPr>
            <w:rStyle w:val="InternetLink"/>
            <w:rFonts w:eastAsia="Arial" w:cs="Arial" w:ascii="Arial" w:hAnsi="Arial"/>
            <w:color w:val="0000FF"/>
            <w:sz w:val="20"/>
            <w:szCs w:val="20"/>
          </w:rPr>
          <w:t>Tarling and Hrouda</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6">
        <w:r>
          <w:rPr>
            <w:rStyle w:val="InternetLink"/>
            <w:rFonts w:eastAsia="Arial" w:cs="Arial" w:ascii="Arial" w:hAnsi="Arial"/>
            <w:color w:val="0000FF"/>
            <w:sz w:val="20"/>
            <w:szCs w:val="20"/>
          </w:rPr>
          <w:t>1993</w:t>
        </w:r>
      </w:hyperlink>
      <w:r>
        <w:rPr>
          <w:rFonts w:eastAsia="Arial" w:cs="Arial" w:ascii="Arial" w:hAnsi="Arial"/>
          <w:color w:val="000000"/>
          <w:sz w:val="20"/>
          <w:szCs w:val="20"/>
        </w:rPr>
        <w:t>). In turn, prolate</w:t>
      </w:r>
      <w:r>
        <w:rPr>
          <w:rFonts w:eastAsia="Arial" w:cs="Arial" w:ascii="Arial" w:hAnsi="Arial"/>
          <w:color w:val="0000FF"/>
          <w:sz w:val="20"/>
          <w:szCs w:val="20"/>
        </w:rPr>
        <w:t xml:space="preserve"> </w:t>
      </w:r>
      <w:r>
        <w:rPr>
          <w:rFonts w:eastAsia="Arial" w:cs="Arial" w:ascii="Arial" w:hAnsi="Arial"/>
          <w:color w:val="000000"/>
          <w:sz w:val="20"/>
          <w:szCs w:val="20"/>
        </w:rPr>
        <w:t>ellipsoids mostly relate to post-depositional deformation (e.g., rocks recording tectonic or metamorphic strain), especially when the magnetic anisotropy is high (</w:t>
      </w:r>
      <w:hyperlink w:anchor="page42">
        <w:r>
          <w:rPr>
            <w:rStyle w:val="InternetLink"/>
            <w:rFonts w:eastAsia="Arial" w:cs="Arial" w:ascii="Arial" w:hAnsi="Arial"/>
            <w:color w:val="0000FF"/>
            <w:sz w:val="20"/>
            <w:szCs w:val="20"/>
          </w:rPr>
          <w:t>Hrouda and</w:t>
        </w:r>
      </w:hyperlink>
      <w:r>
        <w:rPr>
          <w:rFonts w:eastAsia="Arial" w:cs="Arial" w:ascii="Arial" w:hAnsi="Arial"/>
          <w:color w:val="000000"/>
          <w:sz w:val="20"/>
          <w:szCs w:val="20"/>
        </w:rPr>
        <w:t xml:space="preserve"> </w:t>
      </w:r>
      <w:hyperlink w:anchor="page42">
        <w:r>
          <w:rPr>
            <w:rStyle w:val="InternetLink"/>
            <w:rFonts w:eastAsia="Arial" w:cs="Arial" w:ascii="Arial" w:hAnsi="Arial"/>
            <w:color w:val="0000FF"/>
            <w:sz w:val="20"/>
            <w:szCs w:val="20"/>
          </w:rPr>
          <w:t>Janák</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42">
        <w:r>
          <w:rPr>
            <w:rStyle w:val="InternetLink"/>
            <w:rFonts w:eastAsia="Arial" w:cs="Arial" w:ascii="Arial" w:hAnsi="Arial"/>
            <w:color w:val="0000FF"/>
            <w:sz w:val="20"/>
            <w:szCs w:val="20"/>
          </w:rPr>
          <w:t>1976</w:t>
        </w:r>
      </w:hyperlink>
      <w:r>
        <w:rPr>
          <w:rFonts w:eastAsia="Arial" w:cs="Arial" w:ascii="Arial" w:hAnsi="Arial"/>
          <w:color w:val="000000"/>
          <w:sz w:val="20"/>
          <w:szCs w:val="20"/>
        </w:rPr>
        <w:t>).</w:t>
      </w:r>
    </w:p>
    <w:p>
      <w:pPr>
        <w:pStyle w:val="Normal"/>
        <w:spacing w:lineRule="exact" w:line="234" w:before="0" w:after="0"/>
        <w:rPr>
          <w:rFonts w:ascii="Arial" w:hAnsi="Arial" w:eastAsia="Arial" w:cs="Arial"/>
          <w:color w:val="000000"/>
          <w:sz w:val="20"/>
          <w:szCs w:val="20"/>
        </w:rPr>
      </w:pPr>
      <w:r>
        <w:rPr>
          <w:rFonts w:eastAsia="Arial" w:cs="Arial" w:ascii="Arial" w:hAnsi="Arial"/>
          <w:color w:val="000000"/>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3.4. Di erential preservation</w:t>
      </w:r>
    </w:p>
    <w:p>
      <w:pPr>
        <w:pStyle w:val="Normal"/>
        <w:spacing w:lineRule="exact" w:line="189" w:before="0" w:after="0"/>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446" w:before="0" w:after="0"/>
        <w:ind w:left="1240" w:right="1260" w:firstLine="299"/>
        <w:jc w:val="both"/>
        <w:rPr/>
      </w:pPr>
      <w:r>
        <w:rPr>
          <w:rFonts w:eastAsia="Arial" w:cs="Arial" w:ascii="Arial" w:hAnsi="Arial"/>
          <w:color w:val="00000A"/>
          <w:sz w:val="17"/>
          <w:szCs w:val="17"/>
        </w:rPr>
        <w:t>Di erential preservation, or taphonomic survival, refers to the proportion of tapho-nomic elements being preserved after the action of environmental factors (</w:t>
      </w:r>
      <w:hyperlink w:anchor="page41">
        <w:r>
          <w:rPr>
            <w:rStyle w:val="InternetLink"/>
            <w:rFonts w:eastAsia="Arial" w:cs="Arial" w:ascii="Arial" w:hAnsi="Arial"/>
            <w:color w:val="0000FF"/>
            <w:sz w:val="17"/>
            <w:szCs w:val="17"/>
          </w:rPr>
          <w:t>Fernández-</w:t>
        </w:r>
      </w:hyperlink>
      <w:hyperlink w:anchor="page41">
        <w:r>
          <w:rPr>
            <w:rStyle w:val="InternetLink"/>
            <w:rFonts w:eastAsia="Arial" w:cs="Arial" w:ascii="Arial" w:hAnsi="Arial"/>
            <w:color w:val="0000FF"/>
            <w:sz w:val="17"/>
            <w:szCs w:val="17"/>
          </w:rPr>
          <w:t>López</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2006</w:t>
        </w:r>
      </w:hyperlink>
      <w:r>
        <w:rPr>
          <w:rFonts w:eastAsia="Arial" w:cs="Arial" w:ascii="Arial" w:hAnsi="Arial"/>
          <w:color w:val="000000"/>
          <w:sz w:val="17"/>
          <w:szCs w:val="17"/>
        </w:rPr>
        <w:t>). Selective preservation arises from the di erential modification of tapho-nomic entities, by interaction of inherent properties of the entities with the external environmental factors. Skeletal elements representation is among the key variables po-tentially indicative of the selective action of water-flows (</w:t>
      </w:r>
      <w:hyperlink w:anchor="page38">
        <w:r>
          <w:rPr>
            <w:rStyle w:val="InternetLink"/>
            <w:rFonts w:eastAsia="Arial" w:cs="Arial" w:ascii="Arial" w:hAnsi="Arial"/>
            <w:color w:val="0000FF"/>
            <w:sz w:val="17"/>
            <w:szCs w:val="17"/>
          </w:rPr>
          <w:t>Behrensmeyer</w:t>
        </w:r>
      </w:hyperlink>
      <w:r>
        <w:rPr>
          <w:rFonts w:eastAsia="Arial" w:cs="Arial" w:ascii="Arial" w:hAnsi="Arial"/>
          <w:color w:val="000000"/>
          <w:sz w:val="17"/>
          <w:szCs w:val="17"/>
        </w:rPr>
        <w:t xml:space="preserve">, </w:t>
      </w:r>
      <w:hyperlink w:anchor="page38">
        <w:r>
          <w:rPr>
            <w:rStyle w:val="InternetLink"/>
            <w:rFonts w:eastAsia="Arial" w:cs="Arial" w:ascii="Arial" w:hAnsi="Arial"/>
            <w:color w:val="0000FF"/>
            <w:sz w:val="17"/>
            <w:szCs w:val="17"/>
          </w:rPr>
          <w:t>1975b</w:t>
        </w:r>
      </w:hyperlink>
      <w:r>
        <w:rPr>
          <w:rFonts w:eastAsia="Arial" w:cs="Arial" w:ascii="Arial" w:hAnsi="Arial"/>
          <w:color w:val="000000"/>
          <w:sz w:val="17"/>
          <w:szCs w:val="17"/>
        </w:rPr>
        <w:t xml:space="preserve">; </w:t>
      </w:r>
      <w:hyperlink w:anchor="page42">
        <w:r>
          <w:rPr>
            <w:rStyle w:val="InternetLink"/>
            <w:rFonts w:eastAsia="Arial" w:cs="Arial" w:ascii="Arial" w:hAnsi="Arial"/>
            <w:color w:val="0000FF"/>
            <w:sz w:val="17"/>
            <w:szCs w:val="17"/>
          </w:rPr>
          <w:t>Kauf-</w:t>
        </w:r>
      </w:hyperlink>
      <w:hyperlink w:anchor="page42">
        <w:r>
          <w:rPr>
            <w:rStyle w:val="InternetLink"/>
            <w:rFonts w:eastAsia="Arial" w:cs="Arial" w:ascii="Arial" w:hAnsi="Arial"/>
            <w:color w:val="0000FF"/>
            <w:sz w:val="17"/>
            <w:szCs w:val="17"/>
          </w:rPr>
          <w:t>mann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2">
        <w:r>
          <w:rPr>
            <w:rStyle w:val="InternetLink"/>
            <w:rFonts w:eastAsia="Arial" w:cs="Arial" w:ascii="Arial" w:hAnsi="Arial"/>
            <w:color w:val="0000FF"/>
            <w:sz w:val="17"/>
            <w:szCs w:val="17"/>
          </w:rPr>
          <w:t>2011</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Voorhies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1969</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 xml:space="preserve">among others). Other variables, not considered </w:t>
      </w:r>
      <w:r>
        <w:rPr>
          <w:rFonts w:eastAsia="Arial" w:cs="Arial" w:ascii="Arial" w:hAnsi="Arial"/>
          <w:color w:val="00000A"/>
          <w:sz w:val="20"/>
          <w:szCs w:val="20"/>
        </w:rPr>
        <w:t>in this preliminary study, include breakage patterns, disarticulation patterns and bone surface modifications.</w:t>
      </w:r>
    </w:p>
    <w:p>
      <w:pPr>
        <w:pStyle w:val="Normal"/>
        <w:spacing w:lineRule="exact" w:line="1" w:before="0" w:after="0"/>
        <w:rPr>
          <w:color w:val="00000A"/>
          <w:sz w:val="20"/>
          <w:szCs w:val="20"/>
        </w:rPr>
      </w:pPr>
      <w:r>
        <w:rPr>
          <w:color w:val="00000A"/>
          <w:sz w:val="20"/>
          <w:szCs w:val="20"/>
        </w:rPr>
      </w:r>
    </w:p>
    <w:p>
      <w:pPr>
        <w:pStyle w:val="Normal"/>
        <w:spacing w:lineRule="auto" w:line="441" w:before="0" w:after="0"/>
        <w:ind w:left="1240" w:right="1260" w:firstLine="299"/>
        <w:jc w:val="both"/>
        <w:rPr/>
      </w:pPr>
      <w:r>
        <w:rPr>
          <w:rFonts w:eastAsia="Arial" w:cs="Arial" w:ascii="Arial" w:hAnsi="Arial"/>
          <w:color w:val="00000A"/>
          <w:sz w:val="17"/>
          <w:szCs w:val="17"/>
        </w:rPr>
        <w:t xml:space="preserve">The pioneering flume experiments by </w:t>
      </w:r>
      <w:hyperlink w:anchor="page46">
        <w:r>
          <w:rPr>
            <w:rStyle w:val="InternetLink"/>
            <w:rFonts w:eastAsia="Arial" w:cs="Arial" w:ascii="Arial" w:hAnsi="Arial"/>
            <w:color w:val="0000FF"/>
            <w:sz w:val="17"/>
            <w:szCs w:val="17"/>
          </w:rPr>
          <w:t>Voorhies</w:t>
        </w:r>
        <w:r>
          <w:rPr>
            <w:rStyle w:val="InternetLink"/>
            <w:rFonts w:eastAsia="Arial" w:cs="Arial" w:ascii="Arial" w:hAnsi="Arial"/>
            <w:color w:val="00000A"/>
            <w:sz w:val="17"/>
            <w:szCs w:val="17"/>
          </w:rPr>
          <w:t xml:space="preserve"> </w:t>
        </w:r>
      </w:hyperlink>
      <w:r>
        <w:rPr>
          <w:rFonts w:eastAsia="Arial" w:cs="Arial" w:ascii="Arial" w:hAnsi="Arial"/>
          <w:color w:val="00000A"/>
          <w:sz w:val="17"/>
          <w:szCs w:val="17"/>
        </w:rPr>
        <w:t>(</w:t>
      </w:r>
      <w:hyperlink w:anchor="page46">
        <w:r>
          <w:rPr>
            <w:rStyle w:val="InternetLink"/>
            <w:rFonts w:eastAsia="Arial" w:cs="Arial" w:ascii="Arial" w:hAnsi="Arial"/>
            <w:color w:val="0000FF"/>
            <w:sz w:val="17"/>
            <w:szCs w:val="17"/>
          </w:rPr>
          <w:t>1969</w:t>
        </w:r>
      </w:hyperlink>
      <w:r>
        <w:rPr>
          <w:rFonts w:eastAsia="Arial" w:cs="Arial" w:ascii="Arial" w:hAnsi="Arial"/>
          <w:color w:val="00000A"/>
          <w:sz w:val="17"/>
          <w:szCs w:val="17"/>
        </w:rPr>
        <w:t xml:space="preserve">) on disarticulated, complete sheep and coyote bones resulted in a three-group classification of fluvial transport sus-ceptibility of skeletal elements, subsequently elaborated by </w:t>
      </w:r>
      <w:hyperlink w:anchor="page38">
        <w:r>
          <w:rPr>
            <w:rStyle w:val="InternetLink"/>
            <w:rFonts w:eastAsia="Arial" w:cs="Arial" w:ascii="Arial" w:hAnsi="Arial"/>
            <w:color w:val="0000FF"/>
            <w:sz w:val="17"/>
            <w:szCs w:val="17"/>
          </w:rPr>
          <w:t>Behrensmeyer</w:t>
        </w:r>
        <w:r>
          <w:rPr>
            <w:rStyle w:val="InternetLink"/>
            <w:rFonts w:eastAsia="Arial" w:cs="Arial" w:ascii="Arial" w:hAnsi="Arial"/>
            <w:color w:val="00000A"/>
            <w:sz w:val="17"/>
            <w:szCs w:val="17"/>
          </w:rPr>
          <w:t xml:space="preserve"> </w:t>
        </w:r>
      </w:hyperlink>
      <w:r>
        <w:rPr>
          <w:rFonts w:eastAsia="Arial" w:cs="Arial" w:ascii="Arial" w:hAnsi="Arial"/>
          <w:color w:val="00000A"/>
          <w:sz w:val="17"/>
          <w:szCs w:val="17"/>
        </w:rPr>
        <w:t>(</w:t>
      </w:r>
      <w:hyperlink w:anchor="page38">
        <w:r>
          <w:rPr>
            <w:rStyle w:val="InternetLink"/>
            <w:rFonts w:eastAsia="Arial" w:cs="Arial" w:ascii="Arial" w:hAnsi="Arial"/>
            <w:color w:val="0000FF"/>
            <w:sz w:val="17"/>
            <w:szCs w:val="17"/>
          </w:rPr>
          <w:t>1975b</w:t>
        </w:r>
      </w:hyperlink>
      <w:r>
        <w:rPr>
          <w:rFonts w:eastAsia="Arial" w:cs="Arial" w:ascii="Arial" w:hAnsi="Arial"/>
          <w:color w:val="00000A"/>
          <w:sz w:val="17"/>
          <w:szCs w:val="17"/>
        </w:rPr>
        <w:t>). Since shape and structural density have been found to influence the transportability of skeletal elements (</w:t>
      </w:r>
      <w:hyperlink w:anchor="page38">
        <w:r>
          <w:rPr>
            <w:rStyle w:val="InternetLink"/>
            <w:rFonts w:eastAsia="Arial" w:cs="Arial" w:ascii="Arial" w:hAnsi="Arial"/>
            <w:color w:val="0000FF"/>
            <w:sz w:val="17"/>
            <w:szCs w:val="17"/>
          </w:rPr>
          <w:t>Behrensmeyer</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1975b</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Boaz</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1982</w:t>
        </w:r>
      </w:hyperlink>
      <w:r>
        <w:rPr>
          <w:rFonts w:eastAsia="Arial" w:cs="Arial" w:ascii="Arial" w:hAnsi="Arial"/>
          <w:color w:val="00000A"/>
          <w:sz w:val="17"/>
          <w:szCs w:val="17"/>
        </w:rPr>
        <w:t>), assemblages subject to moder-ate to high-energy water-flows typically show an under-represented number of smaller, less dense bones. The Voorhies Group I (rib, vertebra, sacrum, sternum) is the most easily a ected by fluvial transport; thus its presence or absence in the fossil assemblage informs about the degree of disturbance by water-flows. In turn, the proportion between the represented Voorhies Groups provides evidence for the degree of preservation of the assemblage (</w:t>
      </w:r>
      <w:hyperlink w:anchor="page38">
        <w:r>
          <w:rPr>
            <w:rStyle w:val="InternetLink"/>
            <w:rFonts w:eastAsia="Arial" w:cs="Arial" w:ascii="Arial" w:hAnsi="Arial"/>
            <w:color w:val="0000FF"/>
            <w:sz w:val="17"/>
            <w:szCs w:val="17"/>
          </w:rPr>
          <w:t>Behrensmeyer</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1975b</w:t>
        </w:r>
      </w:hyperlink>
      <w:r>
        <w:rPr>
          <w:rFonts w:eastAsia="Arial" w:cs="Arial" w:ascii="Arial" w:hAnsi="Arial"/>
          <w:color w:val="00000A"/>
          <w:sz w:val="17"/>
          <w:szCs w:val="17"/>
        </w:rPr>
        <w:t xml:space="preserve">). We included in the Voorhies groups only com-plete, non-articulated macromammal bones (plus rami of mandibles, and maxillae) of adult individuals - the very few specimens of juvenile individuals, having di erent hy-draulic behaviour, were excluded. Our grouping criteria followed the classification reported in </w:t>
      </w:r>
      <w:hyperlink w:anchor="page44">
        <w:r>
          <w:rPr>
            <w:rStyle w:val="InternetLink"/>
            <w:rFonts w:eastAsia="Arial" w:cs="Arial" w:ascii="Arial" w:hAnsi="Arial"/>
            <w:color w:val="0000FF"/>
            <w:sz w:val="17"/>
            <w:szCs w:val="17"/>
          </w:rPr>
          <w:t>Lyman</w:t>
        </w:r>
        <w:r>
          <w:rPr>
            <w:rStyle w:val="InternetLink"/>
            <w:rFonts w:eastAsia="Arial" w:cs="Arial" w:ascii="Arial" w:hAnsi="Arial"/>
            <w:color w:val="00000A"/>
            <w:sz w:val="17"/>
            <w:szCs w:val="17"/>
          </w:rPr>
          <w:t xml:space="preserve"> </w:t>
        </w:r>
      </w:hyperlink>
      <w:r>
        <w:rPr>
          <w:rFonts w:eastAsia="Arial" w:cs="Arial" w:ascii="Arial" w:hAnsi="Arial"/>
          <w:color w:val="00000A"/>
          <w:sz w:val="17"/>
          <w:szCs w:val="17"/>
        </w:rPr>
        <w:t>(</w:t>
      </w:r>
      <w:hyperlink w:anchor="page44">
        <w:r>
          <w:rPr>
            <w:rStyle w:val="InternetLink"/>
            <w:rFonts w:eastAsia="Arial" w:cs="Arial" w:ascii="Arial" w:hAnsi="Arial"/>
            <w:color w:val="0000FF"/>
            <w:sz w:val="17"/>
            <w:szCs w:val="17"/>
          </w:rPr>
          <w:t>1994</w:t>
        </w:r>
      </w:hyperlink>
      <w:r>
        <w:rPr>
          <w:rFonts w:eastAsia="Arial" w:cs="Arial" w:ascii="Arial" w:hAnsi="Arial"/>
          <w:color w:val="00000A"/>
          <w:sz w:val="17"/>
          <w:szCs w:val="17"/>
        </w:rPr>
        <w:t xml:space="preserve">, Tab.6.5).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hyperlink w:anchor="page45">
        <w:r>
          <w:rPr>
            <w:rStyle w:val="InternetLink"/>
            <w:rFonts w:eastAsia="Arial" w:cs="Arial" w:ascii="Arial" w:hAnsi="Arial"/>
            <w:color w:val="0000FF"/>
            <w:sz w:val="17"/>
            <w:szCs w:val="17"/>
          </w:rPr>
          <w:t>Palombo</w:t>
        </w:r>
        <w:r>
          <w:rPr>
            <w:rStyle w:val="InternetLink"/>
            <w:rFonts w:eastAsia="Arial" w:cs="Arial" w:ascii="Arial" w:hAnsi="Arial"/>
            <w:color w:val="00000A"/>
            <w:sz w:val="17"/>
            <w:szCs w:val="17"/>
          </w:rPr>
          <w:t xml:space="preserve"> </w:t>
        </w:r>
      </w:hyperlink>
      <w:r>
        <w:rPr>
          <w:rFonts w:eastAsia="Arial" w:cs="Arial" w:ascii="Arial" w:hAnsi="Arial"/>
          <w:color w:val="00000A"/>
          <w:sz w:val="17"/>
          <w:szCs w:val="17"/>
        </w:rPr>
        <w:t>(</w:t>
      </w:r>
      <w:hyperlink w:anchor="page45">
        <w:r>
          <w:rPr>
            <w:rStyle w:val="InternetLink"/>
            <w:rFonts w:eastAsia="Arial" w:cs="Arial" w:ascii="Arial" w:hAnsi="Arial"/>
            <w:color w:val="0000FF"/>
            <w:sz w:val="17"/>
            <w:szCs w:val="17"/>
          </w:rPr>
          <w:t>2010</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2016</w:t>
        </w:r>
      </w:hyperlink>
      <w:r>
        <w:rPr>
          <w:rFonts w:eastAsia="Arial" w:cs="Arial" w:ascii="Arial" w:hAnsi="Arial"/>
          <w:color w:val="00000A"/>
          <w:sz w:val="17"/>
          <w:szCs w:val="17"/>
        </w:rPr>
        <w:t xml:space="preserve">), modified for Ursus etruscus after </w:t>
      </w:r>
      <w:hyperlink w:anchor="page43">
        <w:r>
          <w:rPr>
            <w:rStyle w:val="InternetLink"/>
            <w:rFonts w:eastAsia="Arial" w:cs="Arial" w:ascii="Arial" w:hAnsi="Arial"/>
            <w:color w:val="0000FF"/>
            <w:sz w:val="17"/>
            <w:szCs w:val="17"/>
          </w:rPr>
          <w:t xml:space="preserve">Koufos et al. </w:t>
        </w:r>
      </w:hyperlink>
      <w:r>
        <w:rPr>
          <w:rFonts w:eastAsia="Arial" w:cs="Arial" w:ascii="Arial" w:hAnsi="Arial"/>
          <w:color w:val="000000"/>
          <w:sz w:val="17"/>
          <w:szCs w:val="17"/>
        </w:rPr>
        <w:t>(</w:t>
      </w:r>
      <w:hyperlink w:anchor="page43">
        <w:r>
          <w:rPr>
            <w:rStyle w:val="InternetLink"/>
            <w:rFonts w:eastAsia="Arial" w:cs="Arial" w:ascii="Arial" w:hAnsi="Arial"/>
            <w:color w:val="0000FF"/>
            <w:sz w:val="17"/>
            <w:szCs w:val="17"/>
          </w:rPr>
          <w:t>in press</w:t>
        </w:r>
      </w:hyperlink>
      <w:r>
        <w:rPr>
          <w:rFonts w:eastAsia="Arial" w:cs="Arial" w:ascii="Arial" w:hAnsi="Arial"/>
          <w:color w:val="000000"/>
          <w:sz w:val="17"/>
          <w:szCs w:val="17"/>
        </w:rPr>
        <w:t>). The first group (BM1), not present so far in our collection,</w:t>
      </w:r>
      <w:r>
        <w:rPr>
          <w:rFonts w:eastAsia="Arial" w:cs="Arial" w:ascii="Arial" w:hAnsi="Arial"/>
          <w:color w:val="0000FF"/>
          <w:sz w:val="17"/>
          <w:szCs w:val="17"/>
        </w:rPr>
        <w:t xml:space="preserve"> </w:t>
      </w:r>
      <w:r>
        <w:rPr>
          <w:rFonts w:eastAsia="Arial" w:cs="Arial" w:ascii="Arial" w:hAnsi="Arial"/>
          <w:color w:val="000000"/>
          <w:sz w:val="17"/>
          <w:szCs w:val="17"/>
        </w:rPr>
        <w:t xml:space="preserve">includes mammals weighing less than 10 kg; BM2 ranges from 10 to 59 kg (Canis etruscus); BM3 from 60 to 249 kg (Ursus etruscus, medium-sized Cervidae); BM4 from 250 to 1000 kg (Equus, Bison, Praemegaceros).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hyperlink w:anchor="page41">
        <w:r>
          <w:rPr>
            <w:rStyle w:val="InternetLink"/>
            <w:rFonts w:eastAsia="Arial" w:cs="Arial" w:ascii="Arial" w:hAnsi="Arial"/>
            <w:color w:val="0000FF"/>
            <w:sz w:val="17"/>
            <w:szCs w:val="17"/>
          </w:rPr>
          <w:t xml:space="preserve">Frison and Todd </w:t>
        </w:r>
      </w:hyperlink>
      <w:r>
        <w:rPr>
          <w:rFonts w:eastAsia="Arial" w:cs="Arial" w:ascii="Arial" w:hAnsi="Arial"/>
          <w:color w:val="000000"/>
          <w:sz w:val="17"/>
          <w:szCs w:val="17"/>
        </w:rPr>
        <w:t>(</w:t>
      </w:r>
      <w:hyperlink w:anchor="page41">
        <w:r>
          <w:rPr>
            <w:rStyle w:val="InternetLink"/>
            <w:rFonts w:eastAsia="Arial" w:cs="Arial" w:ascii="Arial" w:hAnsi="Arial"/>
            <w:color w:val="0000FF"/>
            <w:sz w:val="17"/>
            <w:szCs w:val="17"/>
          </w:rPr>
          <w:t>1986</w:t>
        </w:r>
      </w:hyperlink>
      <w:r>
        <w:rPr>
          <w:rFonts w:eastAsia="Arial" w:cs="Arial" w:ascii="Arial" w:hAnsi="Arial"/>
          <w:color w:val="000000"/>
          <w:sz w:val="17"/>
          <w:szCs w:val="17"/>
        </w:rPr>
        <w:t>). Undetermined taxa or BM classes - yet in the BM2-BM4</w:t>
      </w:r>
      <w:r>
        <w:rPr>
          <w:rFonts w:eastAsia="Arial" w:cs="Arial" w:ascii="Arial" w:hAnsi="Arial"/>
          <w:color w:val="0000FF"/>
          <w:sz w:val="17"/>
          <w:szCs w:val="17"/>
        </w:rPr>
        <w:t xml:space="preserve"> </w:t>
      </w:r>
      <w:r>
        <w:rPr>
          <w:rFonts w:eastAsia="Arial" w:cs="Arial" w:ascii="Arial" w:hAnsi="Arial"/>
          <w:color w:val="000000"/>
          <w:sz w:val="17"/>
          <w:szCs w:val="17"/>
        </w:rPr>
        <w:t xml:space="preserve">range - were also included in the analysis (named NA in Fig. </w:t>
      </w:r>
      <w:hyperlink w:anchor="page28">
        <w:r>
          <w:rPr>
            <w:rStyle w:val="InternetLink"/>
            <w:rFonts w:eastAsia="Arial" w:cs="Arial" w:ascii="Arial" w:hAnsi="Arial"/>
            <w:color w:val="0000FF"/>
            <w:sz w:val="17"/>
            <w:szCs w:val="17"/>
          </w:rPr>
          <w:t>10</w:t>
        </w:r>
      </w:hyperlink>
      <w:r>
        <w:rPr>
          <w:rFonts w:eastAsia="Arial" w:cs="Arial" w:ascii="Arial" w:hAnsi="Arial"/>
          <w:color w:val="000000"/>
          <w:sz w:val="17"/>
          <w:szCs w:val="17"/>
        </w:rPr>
        <w:t>).</w:t>
      </w:r>
    </w:p>
    <w:p>
      <w:pPr>
        <w:pStyle w:val="Normal"/>
        <w:spacing w:lineRule="auto" w:line="439" w:before="0" w:after="0"/>
        <w:ind w:left="1240" w:right="1220" w:firstLine="299"/>
        <w:jc w:val="both"/>
        <w:rPr/>
      </w:pPr>
      <w:r>
        <w:rPr>
          <w:rFonts w:eastAsia="Arial" w:cs="Arial" w:ascii="Arial" w:hAnsi="Arial"/>
          <w:color w:val="00000A"/>
          <w:sz w:val="17"/>
          <w:szCs w:val="17"/>
        </w:rPr>
        <w:t>Closely related to the Voorhies Groups, the ratio of complete isolated teeth/vertebrae (T/V) is another indicator of the depositional environment (</w:t>
      </w:r>
      <w:hyperlink w:anchor="page38">
        <w:r>
          <w:rPr>
            <w:rStyle w:val="InternetLink"/>
            <w:rFonts w:eastAsia="Arial" w:cs="Arial" w:ascii="Arial" w:hAnsi="Arial"/>
            <w:color w:val="0000FF"/>
            <w:sz w:val="17"/>
            <w:szCs w:val="17"/>
          </w:rPr>
          <w:t>Behrensmeyer</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1975b</w:t>
        </w:r>
      </w:hyperlink>
      <w:r>
        <w:rPr>
          <w:rFonts w:eastAsia="Arial" w:cs="Arial" w:ascii="Arial" w:hAnsi="Arial"/>
          <w:color w:val="00000A"/>
          <w:sz w:val="17"/>
          <w:szCs w:val="17"/>
        </w:rPr>
        <w:t>). High-energy fluvial deposits, such as channel-fills and -lag deposits, tend to have high T/V ratio, whereas a low T/V ratio characterises low-energy fluvial deposits, such as that of floodplain deltaic and lacustrine settings (</w:t>
      </w:r>
      <w:hyperlink w:anchor="page44">
        <w:r>
          <w:rPr>
            <w:rStyle w:val="InternetLink"/>
            <w:rFonts w:eastAsia="Arial" w:cs="Arial" w:ascii="Arial" w:hAnsi="Arial"/>
            <w:color w:val="0000FF"/>
            <w:sz w:val="17"/>
            <w:szCs w:val="17"/>
          </w:rPr>
          <w:t>Lyman</w:t>
        </w:r>
      </w:hyperlink>
      <w:r>
        <w:rPr>
          <w:rFonts w:eastAsia="Arial" w:cs="Arial" w:ascii="Arial" w:hAnsi="Arial"/>
          <w:color w:val="00000A"/>
          <w:sz w:val="17"/>
          <w:szCs w:val="17"/>
        </w:rPr>
        <w:t xml:space="preserve">, </w:t>
      </w:r>
      <w:hyperlink w:anchor="page44">
        <w:r>
          <w:rPr>
            <w:rStyle w:val="InternetLink"/>
            <w:rFonts w:eastAsia="Arial" w:cs="Arial" w:ascii="Arial" w:hAnsi="Arial"/>
            <w:color w:val="0000FF"/>
            <w:sz w:val="17"/>
            <w:szCs w:val="17"/>
          </w:rPr>
          <w:t>1994</w:t>
        </w:r>
      </w:hyperlink>
      <w:r>
        <w:rPr>
          <w:rFonts w:eastAsia="Arial" w:cs="Arial" w:ascii="Arial" w:hAnsi="Arial"/>
          <w:color w:val="00000A"/>
          <w:sz w:val="17"/>
          <w:szCs w:val="17"/>
        </w:rPr>
        <w:t>).</w:t>
      </w:r>
    </w:p>
    <w:p>
      <w:pPr>
        <w:pStyle w:val="Normal"/>
        <w:spacing w:lineRule="exact" w:line="1"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15" w:before="0" w:after="0"/>
        <w:ind w:left="1240" w:right="1260" w:firstLine="299"/>
        <w:jc w:val="both"/>
        <w:rPr/>
      </w:pPr>
      <w:r>
        <w:rPr>
          <w:rFonts w:eastAsia="Arial" w:cs="Arial" w:ascii="Arial" w:hAnsi="Arial"/>
          <w:color w:val="00000A"/>
          <w:sz w:val="18"/>
          <w:szCs w:val="18"/>
        </w:rPr>
        <w:t>Complementary to the hydraulic behaviour of complete, isolated faunal remains classified in the Voorhies Groups, the skeletal part representation of fragmented bones provides another indication of the assemblages degree of preservation (</w:t>
      </w:r>
      <w:hyperlink w:anchor="page40">
        <w:r>
          <w:rPr>
            <w:rStyle w:val="InternetLink"/>
            <w:rFonts w:eastAsia="Arial" w:cs="Arial" w:ascii="Arial" w:hAnsi="Arial"/>
            <w:color w:val="0000FF"/>
            <w:sz w:val="18"/>
            <w:szCs w:val="18"/>
          </w:rPr>
          <w:t>Domínguez-</w:t>
        </w:r>
      </w:hyperlink>
      <w:hyperlink w:anchor="page40">
        <w:r>
          <w:rPr>
            <w:rStyle w:val="InternetLink"/>
            <w:rFonts w:eastAsia="Arial" w:cs="Arial" w:ascii="Arial" w:hAnsi="Arial"/>
            <w:color w:val="0000FF"/>
            <w:sz w:val="18"/>
            <w:szCs w:val="18"/>
          </w:rPr>
          <w:t>Rodrigo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0">
        <w:r>
          <w:rPr>
            <w:rStyle w:val="InternetLink"/>
            <w:rFonts w:eastAsia="Arial" w:cs="Arial" w:ascii="Arial" w:hAnsi="Arial"/>
            <w:color w:val="0000FF"/>
            <w:sz w:val="18"/>
            <w:szCs w:val="18"/>
          </w:rPr>
          <w:t>2014d</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Pante and Blumenschine</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2010</w:t>
        </w:r>
      </w:hyperlink>
      <w:r>
        <w:rPr>
          <w:rFonts w:eastAsia="Arial" w:cs="Arial" w:ascii="Arial" w:hAnsi="Arial"/>
          <w:color w:val="000000"/>
          <w:sz w:val="18"/>
          <w:szCs w:val="18"/>
        </w:rPr>
        <w:t>). Vertebrae and ribs, being</w:t>
      </w:r>
      <w:r>
        <w:rPr>
          <w:rFonts w:eastAsia="Arial" w:cs="Arial" w:ascii="Arial" w:hAnsi="Arial"/>
          <w:color w:val="0000FF"/>
          <w:sz w:val="18"/>
          <w:szCs w:val="18"/>
        </w:rPr>
        <w:t xml:space="preserve"> </w:t>
      </w:r>
      <w:r>
        <w:rPr>
          <w:rFonts w:eastAsia="Arial" w:cs="Arial" w:ascii="Arial" w:hAnsi="Arial"/>
          <w:color w:val="000000"/>
          <w:sz w:val="18"/>
          <w:szCs w:val="18"/>
        </w:rPr>
        <w:t>mostly cancellous, fragile and comparatively less dense, are more susceptible to frag-mentation and transportation, even in low-energy conditions, with respect to cranial and appendicular elements, which are more dense and likely to survive in lag assem-blages (</w:t>
      </w:r>
      <w:hyperlink w:anchor="page40">
        <w:r>
          <w:rPr>
            <w:rStyle w:val="InternetLink"/>
            <w:rFonts w:eastAsia="Arial" w:cs="Arial" w:ascii="Arial" w:hAnsi="Arial"/>
            <w:color w:val="0000FF"/>
            <w:sz w:val="18"/>
            <w:szCs w:val="18"/>
          </w:rPr>
          <w:t>Domínguez-Rodrigo et al.</w:t>
        </w:r>
      </w:hyperlink>
      <w:r>
        <w:rPr>
          <w:rFonts w:eastAsia="Arial" w:cs="Arial" w:ascii="Arial" w:hAnsi="Arial"/>
          <w:color w:val="000000"/>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0"/>
          <w:sz w:val="18"/>
          <w:szCs w:val="18"/>
        </w:rPr>
        <w:t>). In order to integrate the Voorhies Groups, we analysed a sub-sample of 400 isolated macromammal specimens, composed of 315 bone and tooth fragments, 78 complete teeth, 1 antler, and 6 appendicular bones of juvenile or BM5 specimens.</w:t>
      </w:r>
    </w:p>
    <w:p>
      <w:pPr>
        <w:pStyle w:val="Normal"/>
        <w:spacing w:lineRule="exact" w:line="8"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374" w:before="0" w:after="0"/>
        <w:ind w:left="1240" w:right="1260" w:firstLine="299"/>
        <w:jc w:val="both"/>
        <w:rPr>
          <w:color w:val="00000A"/>
          <w:sz w:val="20"/>
          <w:szCs w:val="20"/>
        </w:rPr>
      </w:pPr>
      <w:r>
        <w:rPr>
          <w:rFonts w:eastAsia="Arial" w:cs="Arial" w:ascii="Arial" w:hAnsi="Arial"/>
          <w:color w:val="00000A"/>
          <w:sz w:val="20"/>
          <w:szCs w:val="20"/>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Normal"/>
        <w:spacing w:lineRule="exact" w:line="232"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before="0" w:after="0"/>
        <w:ind w:left="1240" w:hanging="0"/>
        <w:rPr>
          <w:color w:val="00000A"/>
          <w:sz w:val="20"/>
          <w:szCs w:val="20"/>
        </w:rPr>
      </w:pPr>
      <w:r>
        <w:rPr>
          <w:rFonts w:eastAsia="Arial" w:cs="Arial" w:ascii="Arial" w:hAnsi="Arial"/>
          <w:color w:val="00000A"/>
          <w:sz w:val="20"/>
          <w:szCs w:val="20"/>
        </w:rPr>
        <w:t>3.5. Reproducible research</w:t>
      </w:r>
    </w:p>
    <w:p>
      <w:pPr>
        <w:pStyle w:val="Normal"/>
        <w:spacing w:lineRule="exact" w:line="189"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446" w:before="0" w:after="0"/>
        <w:ind w:left="1240" w:right="1240" w:firstLine="299"/>
        <w:jc w:val="both"/>
        <w:rPr/>
      </w:pPr>
      <w:r>
        <w:rPr>
          <w:rFonts w:eastAsia="Arial" w:cs="Arial" w:ascii="Arial" w:hAnsi="Arial"/>
          <w:color w:val="00000A"/>
          <w:sz w:val="17"/>
          <w:szCs w:val="17"/>
        </w:rPr>
        <w:t xml:space="preserve">The subset of the raw data collected for this study, necessary to reproduce the re-ported results, is licensed, except where otherwise specified, under the CC-BY-NC-ND-4.0 license and publicly available at the DOI: </w:t>
      </w:r>
      <w:hyperlink r:id="rId2">
        <w:r>
          <w:rPr>
            <w:rStyle w:val="InternetLink"/>
            <w:rFonts w:eastAsia="Arial" w:cs="Arial" w:ascii="Arial" w:hAnsi="Arial"/>
            <w:color w:val="0000FF"/>
            <w:sz w:val="17"/>
            <w:szCs w:val="17"/>
          </w:rPr>
          <w:t>10.5281/zenodo.1435836</w:t>
        </w:r>
      </w:hyperlink>
      <w:r>
        <w:rPr>
          <w:rFonts w:eastAsia="Arial" w:cs="Arial" w:ascii="Arial" w:hAnsi="Arial"/>
          <w:color w:val="00000A"/>
          <w:sz w:val="17"/>
          <w:szCs w:val="17"/>
        </w:rPr>
        <w:t xml:space="preserve">. The repos-itory includes in addition the code used to process and reduce the data-set. The analy-ses were performed in </w:t>
      </w:r>
      <w:r>
        <w:rPr>
          <w:rFonts w:eastAsia="Arial" w:cs="Arial" w:ascii="Arial" w:hAnsi="Arial"/>
          <w:color w:val="00000A"/>
          <w:sz w:val="15"/>
          <w:szCs w:val="15"/>
        </w:rPr>
        <w:t>R</w:t>
      </w:r>
      <w:r>
        <w:rPr>
          <w:rFonts w:eastAsia="Arial" w:cs="Arial" w:ascii="Arial" w:hAnsi="Arial"/>
          <w:color w:val="00000A"/>
          <w:sz w:val="17"/>
          <w:szCs w:val="17"/>
        </w:rPr>
        <w:t>: a language and environment for statistical computing (</w:t>
      </w:r>
      <w:hyperlink w:anchor="page45">
        <w:r>
          <w:rPr>
            <w:rStyle w:val="InternetLink"/>
            <w:rFonts w:eastAsia="Arial" w:cs="Arial" w:ascii="Arial" w:hAnsi="Arial"/>
            <w:color w:val="0000FF"/>
            <w:sz w:val="17"/>
            <w:szCs w:val="17"/>
          </w:rPr>
          <w:t>R Core</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Team</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2017</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except for the wavelet analysis, performed using the PASSaGE software,</w:t>
      </w:r>
      <w:r>
        <w:rPr>
          <w:rFonts w:eastAsia="Arial" w:cs="Arial" w:ascii="Arial" w:hAnsi="Arial"/>
          <w:color w:val="0000FF"/>
          <w:sz w:val="17"/>
          <w:szCs w:val="17"/>
        </w:rPr>
        <w:t xml:space="preserve"> </w:t>
      </w:r>
      <w:r>
        <w:rPr>
          <w:rFonts w:eastAsia="Arial" w:cs="Arial" w:ascii="Arial" w:hAnsi="Arial"/>
          <w:color w:val="000000"/>
          <w:sz w:val="17"/>
          <w:szCs w:val="17"/>
        </w:rPr>
        <w:t>version 2 (</w:t>
      </w:r>
      <w:hyperlink w:anchor="page46">
        <w:r>
          <w:rPr>
            <w:rStyle w:val="InternetLink"/>
            <w:rFonts w:eastAsia="Arial" w:cs="Arial" w:ascii="Arial" w:hAnsi="Arial"/>
            <w:color w:val="0000FF"/>
            <w:sz w:val="17"/>
            <w:szCs w:val="17"/>
          </w:rPr>
          <w:t>Rosenberg and Anderson</w:t>
        </w:r>
      </w:hyperlink>
      <w:r>
        <w:rPr>
          <w:rFonts w:eastAsia="Arial" w:cs="Arial" w:ascii="Arial" w:hAnsi="Arial"/>
          <w:color w:val="000000"/>
          <w:sz w:val="17"/>
          <w:szCs w:val="17"/>
        </w:rPr>
        <w:t xml:space="preserve">, </w:t>
      </w:r>
      <w:hyperlink w:anchor="page46">
        <w:r>
          <w:rPr>
            <w:rStyle w:val="InternetLink"/>
            <w:rFonts w:eastAsia="Arial" w:cs="Arial" w:ascii="Arial" w:hAnsi="Arial"/>
            <w:color w:val="0000FF"/>
            <w:sz w:val="17"/>
            <w:szCs w:val="17"/>
          </w:rPr>
          <w:t>2011</w:t>
        </w:r>
      </w:hyperlink>
      <w:r>
        <w:rPr>
          <w:rFonts w:eastAsia="Arial" w:cs="Arial" w:ascii="Arial" w:hAnsi="Arial"/>
          <w:color w:val="000000"/>
          <w:sz w:val="17"/>
          <w:szCs w:val="17"/>
        </w:rPr>
        <w:t xml:space="preserve">). The commented </w:t>
      </w:r>
      <w:r>
        <w:rPr>
          <w:rFonts w:eastAsia="Arial" w:cs="Arial" w:ascii="Arial" w:hAnsi="Arial"/>
          <w:color w:val="000000"/>
          <w:sz w:val="15"/>
          <w:szCs w:val="15"/>
        </w:rPr>
        <w:t>R</w:t>
      </w:r>
      <w:r>
        <w:rPr>
          <w:rFonts w:eastAsia="Arial" w:cs="Arial" w:ascii="Arial" w:hAnsi="Arial"/>
          <w:color w:val="000000"/>
          <w:sz w:val="17"/>
          <w:szCs w:val="17"/>
        </w:rPr>
        <w:t xml:space="preserve"> code needed to repro-duce the reported analyses is released under the MIT license in the same repository. We provide as well a detailed description of the procedure used in PASSaGE.</w:t>
      </w:r>
    </w:p>
    <w:p>
      <w:pPr>
        <w:pStyle w:val="Normal"/>
        <w:spacing w:lineRule="exact" w:line="200"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4. Results</w:t>
      </w:r>
    </w:p>
    <w:p>
      <w:pPr>
        <w:pStyle w:val="Normal"/>
        <w:spacing w:lineRule="exact" w:line="276"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4.1. Anisotropy of basic taphonomic elements</w:t>
      </w:r>
    </w:p>
    <w:p>
      <w:pPr>
        <w:pStyle w:val="Normal"/>
        <w:spacing w:lineRule="exact" w:line="150" w:before="0" w:after="0"/>
        <w:rPr>
          <w:color w:val="00000A"/>
          <w:sz w:val="20"/>
          <w:szCs w:val="20"/>
        </w:rPr>
      </w:pPr>
      <w:r>
        <w:rPr>
          <w:color w:val="00000A"/>
          <w:sz w:val="20"/>
          <w:szCs w:val="20"/>
        </w:rPr>
      </w:r>
    </w:p>
    <w:p>
      <w:pPr>
        <w:pStyle w:val="Normal"/>
        <w:spacing w:lineRule="auto" w:line="417" w:before="0" w:after="0"/>
        <w:ind w:left="1240" w:right="1260" w:firstLine="299"/>
        <w:jc w:val="both"/>
        <w:rPr/>
      </w:pPr>
      <w:r>
        <w:rPr>
          <w:rFonts w:eastAsia="Arial" w:cs="Arial" w:ascii="Arial" w:hAnsi="Arial"/>
          <w:color w:val="00000A"/>
          <w:sz w:val="18"/>
          <w:szCs w:val="18"/>
        </w:rPr>
        <w:t xml:space="preserve">Circular statistics were applied for the fabric analysis of basic taphonomic ele-ments, i.e., isolated, not articulated elongated complete bone specimens or bone frag-ments. Tab. </w:t>
      </w:r>
      <w:hyperlink w:anchor="page20">
        <w:r>
          <w:rPr>
            <w:rStyle w:val="InternetLink"/>
            <w:rFonts w:eastAsia="Arial" w:cs="Arial" w:ascii="Arial" w:hAnsi="Arial"/>
            <w:color w:val="0000FF"/>
            <w:sz w:val="18"/>
            <w:szCs w:val="18"/>
          </w:rPr>
          <w:t>1</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summarises the results of the circular uniformity tests. The Rayleigh test, which assumes a unimodal distribution, confirmed (p value = 0:001) the sig-</w:t>
      </w:r>
    </w:p>
    <w:p>
      <w:pPr>
        <w:pStyle w:val="Normal"/>
        <w:tabs>
          <w:tab w:val="left" w:pos="7160" w:leader="none"/>
        </w:tabs>
        <w:spacing w:lineRule="auto" w:line="208" w:before="0" w:after="0"/>
        <w:ind w:left="5060" w:hanging="0"/>
        <w:rPr>
          <w:color w:val="00000A"/>
          <w:sz w:val="20"/>
          <w:szCs w:val="20"/>
        </w:rPr>
      </w:pPr>
      <w:r>
        <w:rPr>
          <w:rFonts w:eastAsia="Arial" w:cs="Arial" w:ascii="Arial" w:hAnsi="Arial"/>
          <w:color w:val="00000A"/>
          <w:sz w:val="4"/>
          <w:szCs w:val="4"/>
          <w:vertAlign w:val="superscript"/>
        </w:rPr>
        <w:t>¯</w:t>
      </w:r>
      <w:r>
        <w:rPr>
          <w:rFonts w:eastAsia="Arial" w:cs="Arial" w:ascii="Arial" w:hAnsi="Arial"/>
          <w:color w:val="00000A"/>
          <w:sz w:val="2"/>
          <w:szCs w:val="2"/>
        </w:rPr>
        <w:t xml:space="preserve"> =  :</w:t>
      </w:r>
      <w:r>
        <w:rPr>
          <w:color w:val="00000A"/>
          <w:sz w:val="20"/>
          <w:szCs w:val="20"/>
        </w:rPr>
        <w:tab/>
      </w:r>
      <w:r>
        <w:rPr>
          <w:rFonts w:eastAsia="Arial" w:cs="Arial" w:ascii="Arial" w:hAnsi="Arial"/>
          <w:color w:val="00000A"/>
          <w:sz w:val="4"/>
          <w:szCs w:val="4"/>
          <w:vertAlign w:val="superscript"/>
        </w:rPr>
        <w:t>¯</w:t>
      </w:r>
    </w:p>
    <w:p>
      <w:pPr>
        <w:pStyle w:val="Normal"/>
        <w:spacing w:lineRule="auto" w:line="297" w:before="0" w:after="0"/>
        <w:ind w:left="1240" w:right="1260" w:hanging="0"/>
        <w:jc w:val="both"/>
        <w:rPr>
          <w:color w:val="00000A"/>
          <w:sz w:val="20"/>
          <w:szCs w:val="20"/>
        </w:rPr>
      </w:pPr>
      <w:r>
        <w:rPr>
          <w:rFonts w:eastAsia="Arial" w:cs="Arial" w:ascii="Arial" w:hAnsi="Arial"/>
          <w:color w:val="00000A"/>
          <w:sz w:val="17"/>
          <w:szCs w:val="17"/>
        </w:rPr>
        <w:t>nificance of the sample mean resultant length (R 0 165). The value of R close to 0 indicates that the data are evenly spread around the mean direction (</w:t>
      </w:r>
      <w:r>
        <w:rPr>
          <w:rFonts w:eastAsia="Arial" w:cs="Arial" w:ascii="Arial" w:hAnsi="Arial"/>
          <w:color w:val="00000A"/>
          <w:sz w:val="32"/>
          <w:szCs w:val="32"/>
          <w:vertAlign w:val="superscript"/>
        </w:rPr>
        <w:t>¯</w:t>
      </w:r>
      <w:r>
        <w:rPr>
          <w:rFonts w:eastAsia="Arial" w:cs="Arial" w:ascii="Arial" w:hAnsi="Arial"/>
          <w:color w:val="00000A"/>
          <w:sz w:val="17"/>
          <w:szCs w:val="17"/>
        </w:rPr>
        <w:t xml:space="preserve"> = 148, SE), with</w:t>
      </w:r>
    </w:p>
    <w:p>
      <w:pPr>
        <w:pStyle w:val="Normal"/>
        <w:spacing w:lineRule="auto" w:line="410" w:before="0" w:after="0"/>
        <w:ind w:left="1240" w:right="1260" w:hanging="0"/>
        <w:jc w:val="both"/>
        <w:rPr/>
      </w:pPr>
      <w:r>
        <w:rPr>
          <w:rFonts w:eastAsia="Arial" w:cs="Arial" w:ascii="Arial" w:hAnsi="Arial"/>
          <w:color w:val="00000A"/>
          <w:sz w:val="18"/>
          <w:szCs w:val="18"/>
        </w:rPr>
        <w:t xml:space="preserve">relatively high standard deviation ( ˆ = 1:89) and angular variance (V = 48). On the other hand, the Schmidt and rose diagrams (Fig. </w:t>
      </w:r>
      <w:hyperlink w:anchor="page21">
        <w:r>
          <w:rPr>
            <w:rStyle w:val="InternetLink"/>
            <w:rFonts w:eastAsia="Arial" w:cs="Arial" w:ascii="Arial" w:hAnsi="Arial"/>
            <w:color w:val="0000FF"/>
            <w:sz w:val="18"/>
            <w:szCs w:val="18"/>
          </w:rPr>
          <w:t>5</w:t>
        </w:r>
      </w:hyperlink>
      <w:r>
        <w:rPr>
          <w:rFonts w:eastAsia="Arial" w:cs="Arial" w:ascii="Arial" w:hAnsi="Arial"/>
          <w:color w:val="00000A"/>
          <w:sz w:val="18"/>
          <w:szCs w:val="18"/>
        </w:rPr>
        <w:t xml:space="preserve">a)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hyperlink w:anchor="page21">
        <w:r>
          <w:rPr>
            <w:rStyle w:val="InternetLink"/>
            <w:rFonts w:eastAsia="Arial" w:cs="Arial" w:ascii="Arial" w:hAnsi="Arial"/>
            <w:color w:val="0000FF"/>
            <w:sz w:val="18"/>
            <w:szCs w:val="18"/>
          </w:rPr>
          <w:t>5</w:t>
        </w:r>
      </w:hyperlink>
      <w:r>
        <w:rPr>
          <w:rFonts w:eastAsia="Arial" w:cs="Arial" w:ascii="Arial" w:hAnsi="Arial"/>
          <w:color w:val="00000A"/>
          <w:sz w:val="18"/>
          <w:szCs w:val="18"/>
        </w:rPr>
        <w:t>a) showed a planar fabric of the sample distribution, with points plotting predominantly on the edge of the equal area hemisphere, thus indicating 0-to-low degree of dip (mean plunge=12°; variance=1.5°).</w:t>
      </w:r>
    </w:p>
    <w:p>
      <w:pPr>
        <w:pStyle w:val="Normal"/>
        <w:spacing w:lineRule="exact" w:line="6" w:before="0" w:after="0"/>
        <w:rPr>
          <w:color w:val="00000A"/>
          <w:sz w:val="20"/>
          <w:szCs w:val="20"/>
        </w:rPr>
      </w:pPr>
      <w:r>
        <w:rPr>
          <w:color w:val="00000A"/>
          <w:sz w:val="20"/>
          <w:szCs w:val="20"/>
        </w:rPr>
      </w:r>
    </w:p>
    <w:p>
      <w:pPr>
        <w:pStyle w:val="Normal"/>
        <w:spacing w:lineRule="auto" w:line="374" w:before="0" w:after="0"/>
        <w:ind w:left="1240" w:right="1260" w:firstLine="299"/>
        <w:jc w:val="both"/>
        <w:rPr/>
      </w:pPr>
      <w:r>
        <w:rPr>
          <w:rFonts w:eastAsia="Arial" w:cs="Arial" w:ascii="Arial" w:hAnsi="Arial"/>
          <w:color w:val="00000A"/>
          <w:sz w:val="20"/>
          <w:szCs w:val="20"/>
        </w:rPr>
        <w:t xml:space="preserve">In the Woodcock diagram (Fig. </w:t>
      </w:r>
      <w:hyperlink w:anchor="page21">
        <w:r>
          <w:rPr>
            <w:rStyle w:val="InternetLink"/>
            <w:rFonts w:eastAsia="Arial" w:cs="Arial" w:ascii="Arial" w:hAnsi="Arial"/>
            <w:color w:val="0000FF"/>
            <w:sz w:val="20"/>
            <w:szCs w:val="20"/>
          </w:rPr>
          <w:t>5</w:t>
        </w:r>
      </w:hyperlink>
      <w:r>
        <w:rPr>
          <w:rFonts w:eastAsia="Arial" w:cs="Arial" w:ascii="Arial" w:hAnsi="Arial"/>
          <w:color w:val="00000A"/>
          <w:sz w:val="20"/>
          <w:szCs w:val="20"/>
        </w:rPr>
        <w:t>b), the C value (1.89) is higher than the critical S1/S3 test value (1.44) for N=300 at 99% confidence level. Thus, the data sample sig-nificantly rejects the hypothesis of randomness in favour of a strong organised sample. The K value (0.11) plots the data sample close to K = 0, indicating uniaxial girdles (planar fabric).</w:t>
      </w:r>
    </w:p>
    <w:p>
      <w:pPr>
        <w:pStyle w:val="Normal"/>
        <w:spacing w:lineRule="exact" w:line="192"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4.2. Anisotropy of the taphonomic population</w:t>
      </w:r>
    </w:p>
    <w:p>
      <w:pPr>
        <w:pStyle w:val="Normal"/>
        <w:spacing w:lineRule="exact" w:line="150" w:before="0" w:after="0"/>
        <w:rPr>
          <w:color w:val="00000A"/>
          <w:sz w:val="20"/>
          <w:szCs w:val="20"/>
        </w:rPr>
      </w:pPr>
      <w:r>
        <w:rPr>
          <w:color w:val="00000A"/>
          <w:sz w:val="20"/>
          <w:szCs w:val="20"/>
        </w:rPr>
      </w:r>
    </w:p>
    <w:p>
      <w:pPr>
        <w:pStyle w:val="Normal"/>
        <w:spacing w:lineRule="auto" w:line="489" w:before="0" w:after="0"/>
        <w:ind w:left="1240" w:right="1260" w:firstLine="299"/>
        <w:jc w:val="both"/>
        <w:rPr/>
      </w:pPr>
      <w:r>
        <w:rPr>
          <w:rFonts w:eastAsia="Arial" w:cs="Arial" w:ascii="Arial" w:hAnsi="Arial"/>
          <w:color w:val="00000A"/>
          <w:sz w:val="17"/>
          <w:szCs w:val="17"/>
        </w:rPr>
        <w:t xml:space="preserve">Geostatistics (directional variograms and variogram map), wavelet and point pat-tern analyses were used for detecting anisotropy at the assemblage level. Fig. </w:t>
      </w:r>
      <w:hyperlink w:anchor="page22">
        <w:r>
          <w:rPr>
            <w:rStyle w:val="InternetLink"/>
            <w:rFonts w:eastAsia="Arial" w:cs="Arial" w:ascii="Arial" w:hAnsi="Arial"/>
            <w:color w:val="0000FF"/>
            <w:sz w:val="17"/>
            <w:szCs w:val="17"/>
          </w:rPr>
          <w:t>6</w:t>
        </w:r>
      </w:hyperlink>
      <w:r>
        <w:rPr>
          <w:rFonts w:eastAsia="Arial" w:cs="Arial" w:ascii="Arial" w:hAnsi="Arial"/>
          <w:color w:val="00000A"/>
          <w:sz w:val="17"/>
          <w:szCs w:val="17"/>
        </w:rPr>
        <w:t xml:space="preserve">a shows </w:t>
      </w:r>
      <w:r>
        <w:rPr>
          <w:rFonts w:eastAsia="Arial" w:cs="Arial" w:ascii="Arial" w:hAnsi="Arial"/>
          <w:color w:val="00000A"/>
          <w:sz w:val="18"/>
          <w:szCs w:val="18"/>
        </w:rPr>
        <w:t xml:space="preserve">the kernel smooth density estimation ( = 0:17) of the sample distribution in the study area. A preliminary visual examination suggests a NW-SE oriented clustering of the assemblage, although interfered with secondary NE-SW oriented dispersion. Fig. </w:t>
      </w:r>
      <w:hyperlink w:anchor="page22">
        <w:r>
          <w:rPr>
            <w:rStyle w:val="InternetLink"/>
            <w:rFonts w:eastAsia="Arial" w:cs="Arial" w:ascii="Arial" w:hAnsi="Arial"/>
            <w:color w:val="0000FF"/>
            <w:sz w:val="18"/>
            <w:szCs w:val="18"/>
          </w:rPr>
          <w:t>6</w:t>
        </w:r>
      </w:hyperlink>
      <w:r>
        <w:rPr>
          <w:rFonts w:eastAsia="Arial" w:cs="Arial" w:ascii="Arial" w:hAnsi="Arial"/>
          <w:color w:val="00000A"/>
          <w:sz w:val="18"/>
          <w:szCs w:val="18"/>
        </w:rPr>
        <w:t>b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hyperlink w:anchor="page39">
        <w:r>
          <w:rPr>
            <w:rStyle w:val="InternetLink"/>
            <w:rFonts w:eastAsia="Arial" w:cs="Arial" w:ascii="Arial" w:hAnsi="Arial"/>
            <w:color w:val="0000FF"/>
            <w:sz w:val="18"/>
            <w:szCs w:val="18"/>
          </w:rPr>
          <w:t>Dale and Fortin</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2014</w:t>
        </w:r>
      </w:hyperlink>
      <w:r>
        <w:rPr>
          <w:rFonts w:eastAsia="Arial" w:cs="Arial" w:ascii="Arial" w:hAnsi="Arial"/>
          <w:color w:val="00000A"/>
          <w:sz w:val="18"/>
          <w:szCs w:val="18"/>
        </w:rPr>
        <w:t xml:space="preserve">). The omnidirectional variogram (red line) indicates that at short distance lags, the semi-variances are close to zero, indicating very strong spatial structure (correlation). With longest distance lags, the semi-variance rise to a plateau (sill) of lack of spatial correlation. The semi-variance of the NW-SE (135°) direction is lower than in the omnidirectional variogram, start-ing well before the sill, thus indicating continuity (spatial correlation) in that direction. Minor directional trends are also detected in the N-S (0°), and to a lesser extent in the NE-SW (45°) directions. This result is clearly confirmed by the diagonal striping in the variogram map (Fig. </w:t>
      </w:r>
      <w:hyperlink w:anchor="page22">
        <w:r>
          <w:rPr>
            <w:rStyle w:val="InternetLink"/>
            <w:rFonts w:eastAsia="Arial" w:cs="Arial" w:ascii="Arial" w:hAnsi="Arial"/>
            <w:color w:val="0000FF"/>
            <w:sz w:val="18"/>
            <w:szCs w:val="18"/>
          </w:rPr>
          <w:t>6</w:t>
        </w:r>
      </w:hyperlink>
      <w:r>
        <w:rPr>
          <w:rFonts w:eastAsia="Arial" w:cs="Arial" w:ascii="Arial" w:hAnsi="Arial"/>
          <w:color w:val="00000A"/>
          <w:sz w:val="18"/>
          <w:szCs w:val="18"/>
        </w:rPr>
        <w:t>c). The map shows a major ellipse oriented NW-SE, with minor parallel structures.</w:t>
      </w:r>
    </w:p>
    <w:p>
      <w:pPr>
        <w:pStyle w:val="Normal"/>
        <w:spacing w:lineRule="auto" w:line="489" w:before="0" w:after="0"/>
        <w:ind w:left="1240" w:right="1260" w:firstLine="299"/>
        <w:jc w:val="both"/>
        <w:rPr/>
      </w:pPr>
      <w:r>
        <w:rPr>
          <w:rFonts w:eastAsia="Arial" w:cs="Arial" w:ascii="Arial" w:hAnsi="Arial"/>
          <w:color w:val="00000A"/>
          <w:sz w:val="18"/>
          <w:szCs w:val="18"/>
        </w:rPr>
        <w:t xml:space="preserve">As for the wavelet analysis, Fig. </w:t>
      </w:r>
      <w:hyperlink w:anchor="page23">
        <w:r>
          <w:rPr>
            <w:rStyle w:val="InternetLink"/>
            <w:rFonts w:eastAsia="Arial" w:cs="Arial" w:ascii="Arial" w:hAnsi="Arial"/>
            <w:color w:val="0000FF"/>
            <w:sz w:val="18"/>
            <w:szCs w:val="18"/>
          </w:rPr>
          <w:t>7</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plots the variance as function of the direction, ranging anti-clockwise from 0° (E) to 180° (W). A major peak is evident at 135° (NW)</w:t>
      </w:r>
      <w:r>
        <w:rPr>
          <w:rFonts w:eastAsia="Arial" w:cs="Arial" w:ascii="Arial" w:hAnsi="Arial"/>
          <w:color w:val="00000A"/>
          <w:sz w:val="20"/>
          <w:szCs w:val="20"/>
        </w:rPr>
        <w:t xml:space="preserve">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Normal"/>
        <w:spacing w:lineRule="auto" w:line="489" w:before="0" w:after="0"/>
        <w:ind w:left="1240" w:right="1260" w:firstLine="299"/>
        <w:jc w:val="both"/>
        <w:rPr/>
      </w:pPr>
      <w:r>
        <w:rPr>
          <w:rFonts w:eastAsia="Arial" w:cs="Arial" w:ascii="Arial" w:hAnsi="Arial"/>
          <w:color w:val="00000A"/>
          <w:sz w:val="18"/>
          <w:szCs w:val="18"/>
        </w:rPr>
        <w:t xml:space="preserve">Fig. </w:t>
      </w:r>
      <w:hyperlink w:anchor="page24">
        <w:r>
          <w:rPr>
            <w:rStyle w:val="InternetLink"/>
            <w:rFonts w:eastAsia="Arial" w:cs="Arial" w:ascii="Arial" w:hAnsi="Arial"/>
            <w:color w:val="0000FF"/>
            <w:sz w:val="18"/>
            <w:szCs w:val="18"/>
          </w:rPr>
          <w:t>8</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shows the results of our point pattern analysis and specifically the point pair distribution function O</w:t>
      </w:r>
      <w:r>
        <w:rPr>
          <w:rFonts w:eastAsia="Arial" w:cs="Arial" w:ascii="Arial" w:hAnsi="Arial"/>
          <w:color w:val="00000A"/>
          <w:sz w:val="24"/>
          <w:szCs w:val="24"/>
          <w:vertAlign w:val="subscript"/>
        </w:rPr>
        <w:t>r1;r2</w:t>
      </w:r>
      <w:r>
        <w:rPr>
          <w:rFonts w:eastAsia="Arial" w:cs="Arial" w:ascii="Arial" w:hAnsi="Arial"/>
          <w:color w:val="00000A"/>
          <w:sz w:val="18"/>
          <w:szCs w:val="18"/>
        </w:rPr>
        <w:t>( ) for a range of distances r1 = 0:01 m and 0:25 &lt; r2 &lt; 1:5 m. The plot illustrates the multiscale variation of anisotropy, from a uniform, isotropic pattern (for r2 = 0:25 m), to increased anisotropy in the NW-SE direction. The maximum anisotropy is observed for r2 = 1 m, as elements at a maximum distance of 1 m show the strongest directional pattern. With increased distances of r2 &gt; 1 m, the rose diagrams suggest the addition of a second orthogonal NE-SW directional trend, which reflects the parallel alternation of NW-SE bands in the assemblage distribution.</w:t>
      </w:r>
    </w:p>
    <w:p>
      <w:pPr>
        <w:pStyle w:val="Normal"/>
        <w:spacing w:lineRule="auto" w:line="489" w:before="0" w:after="0"/>
        <w:ind w:left="1240" w:right="1260" w:firstLine="299"/>
        <w:jc w:val="both"/>
        <w:rPr>
          <w:rFonts w:ascii="Arial" w:hAnsi="Arial" w:eastAsia="Arial" w:cs="Arial"/>
          <w:color w:val="00000A"/>
          <w:sz w:val="18"/>
          <w:szCs w:val="18"/>
        </w:rPr>
      </w:pPr>
      <w:r>
        <w:rPr/>
      </w:r>
    </w:p>
    <w:p>
      <w:pPr>
        <w:pStyle w:val="Normal"/>
        <w:spacing w:lineRule="auto" w:line="489" w:before="0" w:after="0"/>
        <w:ind w:left="1240" w:right="1260" w:firstLine="299"/>
        <w:jc w:val="both"/>
        <w:rPr/>
      </w:pPr>
      <w:r>
        <w:rPr>
          <w:rFonts w:eastAsia="Arial" w:cs="Arial" w:ascii="Arial" w:hAnsi="Arial"/>
          <w:color w:val="00000A"/>
          <w:sz w:val="20"/>
          <w:szCs w:val="20"/>
        </w:rPr>
        <w:t>4.3. Anisotropy of magnetic susceptibility</w:t>
      </w:r>
    </w:p>
    <w:p>
      <w:pPr>
        <w:pStyle w:val="Normal"/>
        <w:spacing w:lineRule="auto" w:line="489" w:before="0" w:after="0"/>
        <w:ind w:left="1240" w:right="1260" w:firstLine="299"/>
        <w:jc w:val="both"/>
        <w:rPr/>
      </w:pPr>
      <w:r>
        <w:rPr>
          <w:rFonts w:eastAsia="Arial" w:cs="Arial" w:ascii="Arial" w:hAnsi="Arial"/>
          <w:color w:val="00000A"/>
          <w:sz w:val="18"/>
          <w:szCs w:val="18"/>
        </w:rPr>
        <w:t xml:space="preserve">In Fig. </w:t>
      </w:r>
      <w:hyperlink w:anchor="page26">
        <w:r>
          <w:rPr>
            <w:rStyle w:val="InternetLink"/>
            <w:rFonts w:eastAsia="Arial" w:cs="Arial" w:ascii="Arial" w:hAnsi="Arial"/>
            <w:color w:val="0000FF"/>
            <w:sz w:val="18"/>
            <w:szCs w:val="18"/>
          </w:rPr>
          <w:t>9</w:t>
        </w:r>
      </w:hyperlink>
      <w:r>
        <w:rPr>
          <w:rFonts w:eastAsia="Arial" w:cs="Arial" w:ascii="Arial" w:hAnsi="Arial"/>
          <w:color w:val="00000A"/>
          <w:sz w:val="18"/>
          <w:szCs w:val="18"/>
        </w:rPr>
        <w:t xml:space="preserve">a, the AMS of the whole sample set (n = 18) is investigated. The equal-area projection of the three susceptibility axes K1-K3 (left-hand side of Fig. </w:t>
      </w:r>
      <w:hyperlink w:anchor="page26">
        <w:r>
          <w:rPr>
            <w:rStyle w:val="InternetLink"/>
            <w:rFonts w:eastAsia="Arial" w:cs="Arial" w:ascii="Arial" w:hAnsi="Arial"/>
            <w:color w:val="0000FF"/>
            <w:sz w:val="18"/>
            <w:szCs w:val="18"/>
          </w:rPr>
          <w:t>9</w:t>
        </w:r>
      </w:hyperlink>
      <w:r>
        <w:rPr>
          <w:rFonts w:eastAsia="Arial" w:cs="Arial" w:ascii="Arial" w:hAnsi="Arial"/>
          <w:color w:val="00000A"/>
          <w:sz w:val="18"/>
          <w:szCs w:val="18"/>
        </w:rPr>
        <w:t xml:space="preserve">a) indicates high variability of the axes orientation, with confidence angles of the K1 and K2 mean directions largely overlapping. This result suggests no preferential orien-tation of the axes. However, the Flinn and Jelinek plots (right-hand side of Fig. </w:t>
      </w:r>
      <w:hyperlink w:anchor="page26">
        <w:r>
          <w:rPr>
            <w:rStyle w:val="InternetLink"/>
            <w:rFonts w:eastAsia="Arial" w:cs="Arial" w:ascii="Arial" w:hAnsi="Arial"/>
            <w:color w:val="0000FF"/>
            <w:sz w:val="18"/>
            <w:szCs w:val="18"/>
          </w:rPr>
          <w:t>9</w:t>
        </w:r>
      </w:hyperlink>
      <w:r>
        <w:rPr>
          <w:rFonts w:eastAsia="Arial" w:cs="Arial" w:ascii="Arial" w:hAnsi="Arial"/>
          <w:color w:val="00000A"/>
          <w:sz w:val="18"/>
          <w:szCs w:val="18"/>
        </w:rPr>
        <w:t xml:space="preserve">a)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hyperlink w:anchor="page26">
        <w:r>
          <w:rPr>
            <w:rStyle w:val="InternetLink"/>
            <w:rFonts w:eastAsia="Arial" w:cs="Arial" w:ascii="Arial" w:hAnsi="Arial"/>
            <w:color w:val="0000FF"/>
            <w:sz w:val="18"/>
            <w:szCs w:val="18"/>
          </w:rPr>
          <w:t>9</w:t>
        </w:r>
      </w:hyperlink>
      <w:r>
        <w:rPr>
          <w:rFonts w:eastAsia="Arial" w:cs="Arial" w:ascii="Arial" w:hAnsi="Arial"/>
          <w:color w:val="00000A"/>
          <w:sz w:val="18"/>
          <w:szCs w:val="18"/>
        </w:rPr>
        <w:t>b,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were conducted on a selection of 5 samples with K3 imbrication angles less than 20° (</w:t>
      </w:r>
      <w:hyperlink w:anchor="page42">
        <w:r>
          <w:rPr>
            <w:rStyle w:val="InternetLink"/>
            <w:rFonts w:eastAsia="Arial" w:cs="Arial" w:ascii="Arial" w:hAnsi="Arial"/>
            <w:color w:val="0000FF"/>
            <w:sz w:val="18"/>
            <w:szCs w:val="18"/>
          </w:rPr>
          <w:t>Hamilton and Rees</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1970</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Hrouda</w:t>
        </w:r>
      </w:hyperlink>
      <w:r>
        <w:rPr>
          <w:rFonts w:eastAsia="Arial" w:cs="Arial" w:ascii="Arial" w:hAnsi="Arial"/>
          <w:color w:val="00000A"/>
          <w:sz w:val="18"/>
          <w:szCs w:val="18"/>
        </w:rPr>
        <w:t xml:space="preserve">, </w:t>
      </w:r>
      <w:hyperlink w:anchor="page42">
        <w:r>
          <w:rPr>
            <w:rStyle w:val="InternetLink"/>
            <w:rFonts w:eastAsia="Arial" w:cs="Arial" w:ascii="Arial" w:hAnsi="Arial"/>
            <w:color w:val="0000FF"/>
            <w:sz w:val="18"/>
            <w:szCs w:val="18"/>
          </w:rPr>
          <w:t>1982</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Lanza and Meloni</w:t>
        </w:r>
      </w:hyperlink>
      <w:r>
        <w:rPr>
          <w:rFonts w:eastAsia="Arial" w:cs="Arial" w:ascii="Arial" w:hAnsi="Arial"/>
          <w:color w:val="00000A"/>
          <w:sz w:val="18"/>
          <w:szCs w:val="18"/>
        </w:rPr>
        <w:t xml:space="preserve">, </w:t>
      </w:r>
      <w:hyperlink w:anchor="page43">
        <w:r>
          <w:rPr>
            <w:rStyle w:val="InternetLink"/>
            <w:rFonts w:eastAsia="Arial" w:cs="Arial" w:ascii="Arial" w:hAnsi="Arial"/>
            <w:color w:val="0000FF"/>
            <w:sz w:val="18"/>
            <w:szCs w:val="18"/>
          </w:rPr>
          <w:t>2006</w:t>
        </w:r>
      </w:hyperlink>
      <w:r>
        <w:rPr>
          <w:rFonts w:eastAsia="Arial" w:cs="Arial" w:ascii="Arial" w:hAnsi="Arial"/>
          <w:color w:val="00000A"/>
          <w:sz w:val="18"/>
          <w:szCs w:val="18"/>
        </w:rPr>
        <w:t xml:space="preserve">; </w:t>
      </w:r>
      <w:hyperlink w:anchor="page44">
        <w:r>
          <w:rPr>
            <w:rStyle w:val="InternetLink"/>
            <w:rFonts w:eastAsia="Arial" w:cs="Arial" w:ascii="Arial" w:hAnsi="Arial"/>
            <w:color w:val="0000FF"/>
            <w:sz w:val="18"/>
            <w:szCs w:val="18"/>
          </w:rPr>
          <w:t>Liu</w:t>
        </w:r>
      </w:hyperlink>
      <w:r>
        <w:rPr>
          <w:rFonts w:eastAsia="Arial" w:cs="Arial" w:ascii="Arial" w:hAnsi="Arial"/>
          <w:color w:val="00000A"/>
          <w:sz w:val="18"/>
          <w:szCs w:val="18"/>
        </w:rPr>
        <w:t xml:space="preserve"> </w:t>
      </w:r>
      <w:hyperlink w:anchor="page44">
        <w:r>
          <w:rPr>
            <w:rStyle w:val="InternetLink"/>
            <w:rFonts w:eastAsia="Arial" w:cs="Arial" w:ascii="Arial" w:hAnsi="Arial"/>
            <w:color w:val="0000FF"/>
            <w:sz w:val="18"/>
            <w:szCs w:val="18"/>
          </w:rPr>
          <w:t>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4">
        <w:r>
          <w:rPr>
            <w:rStyle w:val="InternetLink"/>
            <w:rFonts w:eastAsia="Arial" w:cs="Arial" w:ascii="Arial" w:hAnsi="Arial"/>
            <w:color w:val="0000FF"/>
            <w:sz w:val="18"/>
            <w:szCs w:val="18"/>
          </w:rPr>
          <w:t>2001</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Tarling and Hrouda</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1993</w:t>
        </w:r>
      </w:hyperlink>
      <w:r>
        <w:rPr>
          <w:rFonts w:eastAsia="Arial" w:cs="Arial" w:ascii="Arial" w:hAnsi="Arial"/>
          <w:color w:val="000000"/>
          <w:sz w:val="18"/>
          <w:szCs w:val="18"/>
        </w:rPr>
        <w:t>). In Fig.</w:t>
      </w:r>
      <w:r>
        <w:rPr>
          <w:rFonts w:eastAsia="Arial" w:cs="Arial" w:ascii="Arial" w:hAnsi="Arial"/>
          <w:color w:val="0000FF"/>
          <w:sz w:val="18"/>
          <w:szCs w:val="18"/>
        </w:rPr>
        <w:t xml:space="preserve"> </w:t>
      </w:r>
      <w:hyperlink w:anchor="page26">
        <w:r>
          <w:rPr>
            <w:rStyle w:val="InternetLink"/>
            <w:rFonts w:eastAsia="Arial" w:cs="Arial" w:ascii="Arial" w:hAnsi="Arial"/>
            <w:color w:val="0000FF"/>
            <w:sz w:val="18"/>
            <w:szCs w:val="18"/>
          </w:rPr>
          <w:t>9</w:t>
        </w:r>
      </w:hyperlink>
      <w:r>
        <w:rPr>
          <w:rFonts w:eastAsia="Arial" w:cs="Arial" w:ascii="Arial" w:hAnsi="Arial"/>
          <w:color w:val="000000"/>
          <w:sz w:val="18"/>
          <w:szCs w:val="18"/>
        </w:rPr>
        <w:t>c,</w:t>
      </w:r>
      <w:r>
        <w:rPr>
          <w:rFonts w:eastAsia="Arial" w:cs="Arial" w:ascii="Arial" w:hAnsi="Arial"/>
          <w:color w:val="0000FF"/>
          <w:sz w:val="18"/>
          <w:szCs w:val="18"/>
        </w:rPr>
        <w:t xml:space="preserve"> </w:t>
      </w:r>
      <w:r>
        <w:rPr>
          <w:rFonts w:eastAsia="Arial" w:cs="Arial" w:ascii="Arial" w:hAnsi="Arial"/>
          <w:color w:val="000000"/>
          <w:sz w:val="18"/>
          <w:szCs w:val="18"/>
        </w:rPr>
        <w:t>the equal-area projection indicates</w:t>
      </w:r>
      <w:r>
        <w:rPr>
          <w:rFonts w:eastAsia="Arial" w:cs="Arial" w:ascii="Arial" w:hAnsi="Arial"/>
          <w:color w:val="0000FF"/>
          <w:sz w:val="18"/>
          <w:szCs w:val="18"/>
        </w:rPr>
        <w:t xml:space="preserve"> </w:t>
      </w:r>
      <w:r>
        <w:rPr>
          <w:rFonts w:eastAsia="Arial" w:cs="Arial" w:ascii="Arial" w:hAnsi="Arial"/>
          <w:color w:val="000000"/>
          <w:sz w:val="18"/>
          <w:szCs w:val="18"/>
        </w:rPr>
        <w:t>again a NW-SE orientation of the maximum anisotropy axis K1. Despite the small sample size, the AMS analysis suggests a weak anisotropy of magnetic sedimentary grains along a NW-SE direction.</w:t>
      </w:r>
    </w:p>
    <w:p>
      <w:pPr>
        <w:pStyle w:val="Normal"/>
        <w:spacing w:lineRule="exact" w:line="207"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before="0" w:after="0"/>
        <w:ind w:left="1240" w:hanging="0"/>
        <w:rPr>
          <w:color w:val="00000A"/>
          <w:sz w:val="20"/>
          <w:szCs w:val="20"/>
        </w:rPr>
      </w:pPr>
      <w:r>
        <w:rPr>
          <w:rFonts w:eastAsia="Arial" w:cs="Arial" w:ascii="Arial" w:hAnsi="Arial"/>
          <w:color w:val="00000A"/>
          <w:sz w:val="20"/>
          <w:szCs w:val="20"/>
        </w:rPr>
        <w:t>4.4. Di erential preservation</w:t>
      </w:r>
    </w:p>
    <w:p>
      <w:pPr>
        <w:pStyle w:val="Normal"/>
        <w:spacing w:lineRule="exact" w:line="189"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a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Stephanorhinus sp., and to a less extent, of carnivores, such as Canis etruscus and Ursus etruscus.</w:t>
      </w:r>
    </w:p>
    <w:p>
      <w:pPr>
        <w:pStyle w:val="Normal"/>
        <w:spacing w:lineRule="exact" w:line="5" w:before="0" w:after="0"/>
        <w:rPr>
          <w:rFonts w:ascii="Arial" w:hAnsi="Arial" w:eastAsia="Arial" w:cs="Arial"/>
          <w:color w:val="0000FF"/>
          <w:sz w:val="18"/>
          <w:szCs w:val="18"/>
        </w:rPr>
      </w:pPr>
      <w:r>
        <w:rPr>
          <w:rFonts w:eastAsia="Arial" w:cs="Arial" w:ascii="Arial" w:hAnsi="Arial"/>
          <w:color w:val="0000FF"/>
          <w:sz w:val="18"/>
          <w:szCs w:val="18"/>
        </w:rPr>
      </w:r>
    </w:p>
    <w:p>
      <w:pPr>
        <w:pStyle w:val="Normal"/>
        <w:spacing w:lineRule="auto" w:line="422" w:before="0" w:after="0"/>
        <w:ind w:left="1240" w:right="1260" w:firstLine="299"/>
        <w:jc w:val="both"/>
        <w:rPr/>
      </w:pPr>
      <w:r>
        <w:rPr>
          <w:rFonts w:eastAsia="Arial" w:cs="Arial" w:ascii="Arial" w:hAnsi="Arial"/>
          <w:color w:val="00000A"/>
          <w:sz w:val="18"/>
          <w:szCs w:val="18"/>
        </w:rPr>
        <w:t xml:space="preserve">The distribution of the Voorhies Groups plotted by body mass classes is shown in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 xml:space="preserve">b. BM1 is so far not present in the TSR assemblage, while BM2 includes the C. etruscus, BM3 includes the medium-sized Cervidae and Ursus etruscus, BM4 the medium- and large-sized Equus sp., Bison sp. and the large-sized cervid Prae-megaceros sp. Notably, the Voorhies Group III is represented in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 xml:space="preserve">b only by the </w:t>
      </w:r>
      <w:r>
        <w:rPr>
          <w:rFonts w:eastAsia="Arial" w:cs="Arial" w:ascii="Arial" w:hAnsi="Arial"/>
          <w:color w:val="00000A"/>
          <w:sz w:val="18"/>
          <w:szCs w:val="18"/>
        </w:rPr>
        <w:t>c</w:t>
      </w:r>
      <w:r>
        <w:rPr>
          <w:rFonts w:eastAsia="Arial" w:cs="Arial" w:ascii="Arial" w:hAnsi="Arial"/>
          <w:color w:val="00000A"/>
          <w:sz w:val="19"/>
          <w:szCs w:val="19"/>
        </w:rPr>
        <w:t>rania of the carnivores Canis and Ursus. Moreover, the fossil record of U. etruscus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Normal"/>
        <w:spacing w:lineRule="auto" w:line="415" w:before="0" w:after="0"/>
        <w:ind w:left="1240" w:right="1260" w:firstLine="299"/>
        <w:jc w:val="both"/>
        <w:rPr/>
      </w:pPr>
      <w:r>
        <w:rPr>
          <w:rFonts w:eastAsia="Arial" w:cs="Arial" w:ascii="Arial" w:hAnsi="Arial"/>
          <w:color w:val="00000A"/>
          <w:sz w:val="18"/>
          <w:szCs w:val="18"/>
        </w:rPr>
        <w:t xml:space="preserve">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c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Normal"/>
        <w:spacing w:lineRule="exact" w:line="4" w:before="0" w:after="0"/>
        <w:rPr>
          <w:color w:val="00000A"/>
          <w:sz w:val="20"/>
          <w:szCs w:val="20"/>
        </w:rPr>
      </w:pPr>
      <w:r>
        <w:rPr>
          <w:color w:val="00000A"/>
          <w:sz w:val="20"/>
          <w:szCs w:val="20"/>
        </w:rPr>
      </w:r>
    </w:p>
    <w:p>
      <w:pPr>
        <w:pStyle w:val="Normal"/>
        <w:spacing w:lineRule="auto" w:line="420" w:before="0" w:after="0"/>
        <w:ind w:left="1240" w:right="1260" w:firstLine="299"/>
        <w:jc w:val="both"/>
        <w:rPr/>
      </w:pPr>
      <w:r>
        <w:rPr>
          <w:rFonts w:eastAsia="Arial" w:cs="Arial" w:ascii="Arial" w:hAnsi="Arial"/>
          <w:color w:val="00000A"/>
          <w:sz w:val="18"/>
          <w:szCs w:val="18"/>
        </w:rPr>
        <w:t xml:space="preserve">Accordingly, the prominent presence of appendicular skeletal elements over axial is also showed in the distribution of articulated specimens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 xml:space="preserve">d),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hyperlink w:anchor="page6">
        <w:r>
          <w:rPr>
            <w:rStyle w:val="InternetLink"/>
            <w:rFonts w:eastAsia="Arial" w:cs="Arial" w:ascii="Arial" w:hAnsi="Arial"/>
            <w:color w:val="0000FF"/>
            <w:sz w:val="18"/>
            <w:szCs w:val="18"/>
          </w:rPr>
          <w:t>2</w:t>
        </w:r>
      </w:hyperlink>
      <w:r>
        <w:rPr>
          <w:rFonts w:eastAsia="Arial" w:cs="Arial" w:ascii="Arial" w:hAnsi="Arial"/>
          <w:color w:val="00000A"/>
          <w:sz w:val="18"/>
          <w:szCs w:val="18"/>
        </w:rPr>
        <w:t>e).</w:t>
      </w:r>
    </w:p>
    <w:p>
      <w:pPr>
        <w:pStyle w:val="Normal"/>
        <w:spacing w:lineRule="exact" w:line="207"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4.5. Micromorphology</w:t>
      </w:r>
    </w:p>
    <w:p>
      <w:pPr>
        <w:pStyle w:val="Normal"/>
        <w:spacing w:lineRule="exact" w:line="189" w:before="0" w:after="0"/>
        <w:rPr>
          <w:color w:val="00000A"/>
          <w:sz w:val="20"/>
          <w:szCs w:val="20"/>
        </w:rPr>
      </w:pPr>
      <w:r>
        <w:rPr>
          <w:color w:val="00000A"/>
          <w:sz w:val="20"/>
          <w:szCs w:val="20"/>
        </w:rPr>
      </w:r>
    </w:p>
    <w:p>
      <w:pPr>
        <w:pStyle w:val="Normal"/>
        <w:spacing w:lineRule="auto" w:line="439" w:before="0" w:after="0"/>
        <w:ind w:left="1240" w:right="1260" w:firstLine="299"/>
        <w:jc w:val="both"/>
        <w:rPr/>
      </w:pPr>
      <w:r>
        <w:rPr>
          <w:rFonts w:eastAsia="Arial" w:cs="Arial" w:ascii="Arial" w:hAnsi="Arial"/>
          <w:color w:val="00000A"/>
          <w:sz w:val="17"/>
          <w:szCs w:val="17"/>
        </w:rPr>
        <w:t xml:space="preserve">The TVB-Z 1 block (Fig. </w:t>
      </w:r>
      <w:hyperlink w:anchor="page8">
        <w:r>
          <w:rPr>
            <w:rStyle w:val="InternetLink"/>
            <w:rFonts w:eastAsia="Arial" w:cs="Arial" w:ascii="Arial" w:hAnsi="Arial"/>
            <w:color w:val="0000FF"/>
            <w:sz w:val="17"/>
            <w:szCs w:val="17"/>
          </w:rPr>
          <w:t>3</w:t>
        </w:r>
      </w:hyperlink>
      <w:r>
        <w:rPr>
          <w:rFonts w:eastAsia="Arial" w:cs="Arial" w:ascii="Arial" w:hAnsi="Arial"/>
          <w:color w:val="00000A"/>
          <w:sz w:val="17"/>
          <w:szCs w:val="17"/>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hyperlink w:anchor="page29">
        <w:r>
          <w:rPr>
            <w:rStyle w:val="InternetLink"/>
            <w:rFonts w:eastAsia="Arial" w:cs="Arial" w:ascii="Arial" w:hAnsi="Arial"/>
            <w:color w:val="0000FF"/>
            <w:sz w:val="17"/>
            <w:szCs w:val="17"/>
          </w:rPr>
          <w:t>11</w:t>
        </w:r>
      </w:hyperlink>
      <w:r>
        <w:rPr>
          <w:rFonts w:eastAsia="Arial" w:cs="Arial" w:ascii="Arial" w:hAnsi="Arial"/>
          <w:color w:val="00000A"/>
          <w:sz w:val="17"/>
          <w:szCs w:val="17"/>
        </w:rPr>
        <w:t xml:space="preserve">a). This includes clay infilling pore spaces (Fig. </w:t>
      </w:r>
      <w:hyperlink w:anchor="page29">
        <w:r>
          <w:rPr>
            <w:rStyle w:val="InternetLink"/>
            <w:rFonts w:eastAsia="Arial" w:cs="Arial" w:ascii="Arial" w:hAnsi="Arial"/>
            <w:color w:val="0000FF"/>
            <w:sz w:val="17"/>
            <w:szCs w:val="17"/>
          </w:rPr>
          <w:t>11</w:t>
        </w:r>
      </w:hyperlink>
      <w:r>
        <w:rPr>
          <w:rFonts w:eastAsia="Arial" w:cs="Arial" w:ascii="Arial" w:hAnsi="Arial"/>
          <w:color w:val="00000A"/>
          <w:sz w:val="17"/>
          <w:szCs w:val="17"/>
        </w:rPr>
        <w:t xml:space="preserve">a) and suggests either flow velocity fluctuations or multiple waning depositional events. Birefringent illuvial clay coatings are also present along some voids (Fig. </w:t>
      </w:r>
      <w:hyperlink w:anchor="page29">
        <w:r>
          <w:rPr>
            <w:rStyle w:val="InternetLink"/>
            <w:rFonts w:eastAsia="Arial" w:cs="Arial" w:ascii="Arial" w:hAnsi="Arial"/>
            <w:color w:val="0000FF"/>
            <w:sz w:val="17"/>
            <w:szCs w:val="17"/>
          </w:rPr>
          <w:t>11</w:t>
        </w:r>
      </w:hyperlink>
      <w:r>
        <w:rPr>
          <w:rFonts w:eastAsia="Arial" w:cs="Arial" w:ascii="Arial" w:hAnsi="Arial"/>
          <w:color w:val="00000A"/>
          <w:sz w:val="17"/>
          <w:szCs w:val="17"/>
        </w:rPr>
        <w:t>b), thus indicating in-cipient pedogenesis, likely due to temporary subaereal exposure (</w:t>
      </w:r>
      <w:hyperlink w:anchor="page43">
        <w:r>
          <w:rPr>
            <w:rStyle w:val="InternetLink"/>
            <w:rFonts w:eastAsia="Arial" w:cs="Arial" w:ascii="Arial" w:hAnsi="Arial"/>
            <w:color w:val="0000FF"/>
            <w:sz w:val="17"/>
            <w:szCs w:val="17"/>
          </w:rPr>
          <w:t>Kühn et al.</w:t>
        </w:r>
      </w:hyperlink>
      <w:r>
        <w:rPr>
          <w:rFonts w:eastAsia="Arial" w:cs="Arial" w:ascii="Arial" w:hAnsi="Arial"/>
          <w:color w:val="00000A"/>
          <w:sz w:val="17"/>
          <w:szCs w:val="17"/>
        </w:rPr>
        <w:t xml:space="preserve">, </w:t>
      </w:r>
      <w:hyperlink w:anchor="page43">
        <w:r>
          <w:rPr>
            <w:rStyle w:val="InternetLink"/>
            <w:rFonts w:eastAsia="Arial" w:cs="Arial" w:ascii="Arial" w:hAnsi="Arial"/>
            <w:color w:val="0000FF"/>
            <w:sz w:val="17"/>
            <w:szCs w:val="17"/>
          </w:rPr>
          <w:t>2010</w:t>
        </w:r>
      </w:hyperlink>
      <w:r>
        <w:rPr>
          <w:rFonts w:eastAsia="Arial" w:cs="Arial" w:ascii="Arial" w:hAnsi="Arial"/>
          <w:color w:val="00000A"/>
          <w:sz w:val="17"/>
          <w:szCs w:val="17"/>
        </w:rPr>
        <w:t>).</w:t>
      </w:r>
    </w:p>
    <w:p>
      <w:pPr>
        <w:pStyle w:val="Normal"/>
        <w:spacing w:lineRule="exact" w:line="2" w:before="0" w:after="0"/>
        <w:rPr>
          <w:rFonts w:ascii="Arial" w:hAnsi="Arial" w:eastAsia="Arial" w:cs="Arial"/>
          <w:color w:val="00000A"/>
          <w:sz w:val="17"/>
          <w:szCs w:val="17"/>
        </w:rPr>
      </w:pPr>
      <w:r>
        <w:rPr>
          <w:rFonts w:eastAsia="Arial" w:cs="Arial" w:ascii="Arial" w:hAnsi="Arial"/>
          <w:color w:val="00000A"/>
          <w:sz w:val="17"/>
          <w:szCs w:val="17"/>
        </w:rPr>
      </w:r>
    </w:p>
    <w:p>
      <w:pPr>
        <w:pStyle w:val="Normal"/>
        <w:spacing w:lineRule="auto" w:line="432" w:before="0" w:after="0"/>
        <w:ind w:left="1240" w:right="1260" w:firstLine="299"/>
        <w:jc w:val="both"/>
        <w:rPr/>
      </w:pPr>
      <w:r>
        <w:rPr>
          <w:rFonts w:eastAsia="Arial" w:cs="Arial" w:ascii="Arial" w:hAnsi="Arial"/>
          <w:color w:val="00000A"/>
          <w:sz w:val="18"/>
          <w:szCs w:val="18"/>
        </w:rPr>
        <w:t xml:space="preserve">Most of the thickness of the TVB-Z 2 block (Fig. </w:t>
      </w:r>
      <w:hyperlink w:anchor="page8">
        <w:r>
          <w:rPr>
            <w:rStyle w:val="InternetLink"/>
            <w:rFonts w:eastAsia="Arial" w:cs="Arial" w:ascii="Arial" w:hAnsi="Arial"/>
            <w:color w:val="0000FF"/>
            <w:sz w:val="18"/>
            <w:szCs w:val="18"/>
          </w:rPr>
          <w:t>3</w:t>
        </w:r>
      </w:hyperlink>
      <w:r>
        <w:rPr>
          <w:rFonts w:eastAsia="Arial" w:cs="Arial" w:ascii="Arial" w:hAnsi="Arial"/>
          <w:color w:val="00000A"/>
          <w:sz w:val="18"/>
          <w:szCs w:val="18"/>
        </w:rPr>
        <w:t xml:space="preserve">) displays similar characteris-tics to the TVB-Z 1 block, except for the presence of rolled soil clasts (pedorelicts; Fig. </w:t>
      </w:r>
      <w:hyperlink w:anchor="page29">
        <w:r>
          <w:rPr>
            <w:rStyle w:val="InternetLink"/>
            <w:rFonts w:eastAsia="Arial" w:cs="Arial" w:ascii="Arial" w:hAnsi="Arial"/>
            <w:color w:val="0000FF"/>
            <w:sz w:val="18"/>
            <w:szCs w:val="18"/>
          </w:rPr>
          <w:t>11</w:t>
        </w:r>
      </w:hyperlink>
      <w:r>
        <w:rPr>
          <w:rFonts w:eastAsia="Arial" w:cs="Arial" w:ascii="Arial" w:hAnsi="Arial"/>
          <w:color w:val="00000A"/>
          <w:sz w:val="18"/>
          <w:szCs w:val="18"/>
        </w:rPr>
        <w:t>c), likely eroded from nearby locations (</w:t>
      </w:r>
      <w:hyperlink w:anchor="page39">
        <w:r>
          <w:rPr>
            <w:rStyle w:val="InternetLink"/>
            <w:rFonts w:eastAsia="Arial" w:cs="Arial" w:ascii="Arial" w:hAnsi="Arial"/>
            <w:color w:val="0000FF"/>
            <w:sz w:val="18"/>
            <w:szCs w:val="18"/>
          </w:rPr>
          <w:t>Cremaschi et al.</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In press</w:t>
        </w:r>
      </w:hyperlink>
      <w:r>
        <w:rPr>
          <w:rFonts w:eastAsia="Arial" w:cs="Arial" w:ascii="Arial" w:hAnsi="Arial"/>
          <w:color w:val="00000A"/>
          <w:sz w:val="18"/>
          <w:szCs w:val="18"/>
        </w:rPr>
        <w:t xml:space="preserve">). Conversely </w:t>
      </w:r>
      <w:r>
        <w:rPr>
          <w:rFonts w:eastAsia="Arial" w:cs="Arial" w:ascii="Arial" w:hAnsi="Arial"/>
          <w:color w:val="00000A"/>
          <w:sz w:val="20"/>
          <w:szCs w:val="20"/>
        </w:rPr>
        <w:t xml:space="preserve">the uppermost part of the sample (Fig. </w:t>
      </w:r>
      <w:hyperlink w:anchor="page29">
        <w:r>
          <w:rPr>
            <w:rStyle w:val="InternetLink"/>
            <w:rFonts w:eastAsia="Arial" w:cs="Arial" w:ascii="Arial" w:hAnsi="Arial"/>
            <w:color w:val="0000FF"/>
            <w:sz w:val="20"/>
            <w:szCs w:val="20"/>
          </w:rPr>
          <w:t>11</w:t>
        </w:r>
      </w:hyperlink>
      <w:r>
        <w:rPr>
          <w:rFonts w:eastAsia="Arial" w:cs="Arial" w:ascii="Arial" w:hAnsi="Arial"/>
          <w:color w:val="00000A"/>
          <w:sz w:val="20"/>
          <w:szCs w:val="20"/>
        </w:rPr>
        <w:t>d) displays moderate clay illuviation along voids, sparse voids most likely related to bioturbation and impregnating redoximor-phic features (</w:t>
      </w:r>
      <w:hyperlink w:anchor="page43">
        <w:r>
          <w:rPr>
            <w:rStyle w:val="InternetLink"/>
            <w:rFonts w:eastAsia="Arial" w:cs="Arial" w:ascii="Arial" w:hAnsi="Arial"/>
            <w:color w:val="0000FF"/>
            <w:sz w:val="20"/>
            <w:szCs w:val="20"/>
          </w:rPr>
          <w:t>Lindbo et al.</w:t>
        </w:r>
      </w:hyperlink>
      <w:r>
        <w:rPr>
          <w:rFonts w:eastAsia="Arial" w:cs="Arial" w:ascii="Arial" w:hAnsi="Arial"/>
          <w:color w:val="00000A"/>
          <w:sz w:val="20"/>
          <w:szCs w:val="20"/>
        </w:rPr>
        <w:t xml:space="preserve">, </w:t>
      </w:r>
      <w:hyperlink w:anchor="page43">
        <w:r>
          <w:rPr>
            <w:rStyle w:val="InternetLink"/>
            <w:rFonts w:eastAsia="Arial" w:cs="Arial" w:ascii="Arial" w:hAnsi="Arial"/>
            <w:color w:val="0000FF"/>
            <w:sz w:val="20"/>
            <w:szCs w:val="20"/>
          </w:rPr>
          <w:t>2010</w:t>
        </w:r>
      </w:hyperlink>
      <w:r>
        <w:rPr>
          <w:rFonts w:eastAsia="Arial" w:cs="Arial" w:ascii="Arial" w:hAnsi="Arial"/>
          <w:color w:val="00000A"/>
          <w:sz w:val="20"/>
          <w:szCs w:val="20"/>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Normal"/>
        <w:spacing w:lineRule="auto" w:line="432" w:before="0" w:after="0"/>
        <w:ind w:left="1240" w:right="1260" w:firstLine="299"/>
        <w:jc w:val="both"/>
        <w:rPr>
          <w:rFonts w:ascii="Arial" w:hAnsi="Arial" w:eastAsia="Arial" w:cs="Arial"/>
          <w:color w:val="00000A"/>
          <w:sz w:val="20"/>
          <w:szCs w:val="20"/>
        </w:rPr>
      </w:pPr>
      <w:r>
        <w:rPr/>
      </w:r>
    </w:p>
    <w:p>
      <w:pPr>
        <w:pStyle w:val="Normal"/>
        <w:spacing w:before="0" w:after="0"/>
        <w:ind w:left="1240" w:hanging="0"/>
        <w:rPr>
          <w:color w:val="00000A"/>
          <w:sz w:val="20"/>
          <w:szCs w:val="20"/>
        </w:rPr>
      </w:pPr>
      <w:r>
        <w:rPr>
          <w:rFonts w:eastAsia="Arial" w:cs="Arial" w:ascii="Arial" w:hAnsi="Arial"/>
          <w:color w:val="00000A"/>
          <w:sz w:val="20"/>
          <w:szCs w:val="20"/>
        </w:rPr>
        <w:t>5. Discussion</w:t>
      </w:r>
    </w:p>
    <w:p>
      <w:pPr>
        <w:pStyle w:val="Normal"/>
        <w:spacing w:lineRule="exact" w:line="315" w:before="0" w:after="0"/>
        <w:rPr>
          <w:color w:val="00000A"/>
          <w:sz w:val="20"/>
          <w:szCs w:val="20"/>
        </w:rPr>
      </w:pPr>
      <w:r>
        <w:rPr>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Spatial taphonomy has recently emerged as a new methodological framework com-plement to the traditional taphonomic approach (</w:t>
      </w:r>
      <w:hyperlink w:anchor="page40">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A"/>
          <w:sz w:val="18"/>
          <w:szCs w:val="18"/>
        </w:rPr>
        <w:t xml:space="preserve">). By using spatial statistical methods, spatial taphonomy aims to investigate the multiscale and multilevel spatial properties of di erent taphonomic entities (sensu </w:t>
      </w:r>
      <w:hyperlink w:anchor="page41">
        <w:r>
          <w:rPr>
            <w:rStyle w:val="InternetLink"/>
            <w:rFonts w:eastAsia="Arial" w:cs="Arial" w:ascii="Arial" w:hAnsi="Arial"/>
            <w:color w:val="0000FF"/>
            <w:sz w:val="18"/>
            <w:szCs w:val="18"/>
          </w:rPr>
          <w:t>Fernández-</w:t>
        </w:r>
      </w:hyperlink>
      <w:hyperlink w:anchor="page41">
        <w:r>
          <w:rPr>
            <w:rStyle w:val="InternetLink"/>
            <w:rFonts w:eastAsia="Arial" w:cs="Arial" w:ascii="Arial" w:hAnsi="Arial"/>
            <w:color w:val="0000FF"/>
            <w:sz w:val="18"/>
            <w:szCs w:val="18"/>
          </w:rPr>
          <w:t>López</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1">
        <w:r>
          <w:rPr>
            <w:rStyle w:val="InternetLink"/>
            <w:rFonts w:eastAsia="Arial" w:cs="Arial" w:ascii="Arial" w:hAnsi="Arial"/>
            <w:color w:val="0000FF"/>
            <w:sz w:val="18"/>
            <w:szCs w:val="18"/>
          </w:rPr>
          <w:t>2006</w:t>
        </w:r>
      </w:hyperlink>
      <w:r>
        <w:rPr>
          <w:rFonts w:eastAsia="Arial" w:cs="Arial" w:ascii="Arial" w:hAnsi="Arial"/>
          <w:color w:val="000000"/>
          <w:sz w:val="18"/>
          <w:szCs w:val="18"/>
        </w:rPr>
        <w:t>). Indeed, taphonomic alteration processes work simultaneously, at dif-ferent scales, on entities of di erent level of organisation, from the basic taphonomic elements (bone specimens), to higher level taphonomic groups (taphons) or popula-tions (assemblages). For example, dispersion processes of taphonomic elements may modify their spatial location, orientation and removal degree. At the same time, disper-sion of taphonomic elements may also cause changes in the density, spatial distribution and representatives of elements of each taphon or taphonic population (</w:t>
      </w:r>
      <w:hyperlink w:anchor="page41">
        <w:r>
          <w:rPr>
            <w:rStyle w:val="InternetLink"/>
            <w:rFonts w:eastAsia="Arial" w:cs="Arial" w:ascii="Arial" w:hAnsi="Arial"/>
            <w:color w:val="0000FF"/>
            <w:sz w:val="18"/>
            <w:szCs w:val="18"/>
          </w:rPr>
          <w:t>Fernández-</w:t>
        </w:r>
      </w:hyperlink>
      <w:hyperlink w:anchor="page41">
        <w:r>
          <w:rPr>
            <w:rStyle w:val="InternetLink"/>
            <w:rFonts w:eastAsia="Arial" w:cs="Arial" w:ascii="Arial" w:hAnsi="Arial"/>
            <w:color w:val="0000FF"/>
            <w:sz w:val="18"/>
            <w:szCs w:val="18"/>
          </w:rPr>
          <w:t>López</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1">
        <w:r>
          <w:rPr>
            <w:rStyle w:val="InternetLink"/>
            <w:rFonts w:eastAsia="Arial" w:cs="Arial" w:ascii="Arial" w:hAnsi="Arial"/>
            <w:color w:val="0000FF"/>
            <w:sz w:val="18"/>
            <w:szCs w:val="18"/>
          </w:rPr>
          <w:t>2006</w:t>
        </w:r>
      </w:hyperlink>
      <w:r>
        <w:rPr>
          <w:rFonts w:eastAsia="Arial" w:cs="Arial" w:ascii="Arial" w:hAnsi="Arial"/>
          <w:color w:val="000000"/>
          <w:sz w:val="18"/>
          <w:szCs w:val="18"/>
        </w:rPr>
        <w:t>). Thus, beside the traditional taphonomic approach, the results of spatial</w:t>
      </w:r>
      <w:r>
        <w:rPr>
          <w:rFonts w:eastAsia="Arial" w:cs="Arial" w:ascii="Arial" w:hAnsi="Arial"/>
          <w:color w:val="0000FF"/>
          <w:sz w:val="18"/>
          <w:szCs w:val="18"/>
        </w:rPr>
        <w:t xml:space="preserve"> </w:t>
      </w:r>
      <w:r>
        <w:rPr>
          <w:rFonts w:eastAsia="Arial" w:cs="Arial" w:ascii="Arial" w:hAnsi="Arial"/>
          <w:color w:val="000000"/>
          <w:sz w:val="18"/>
          <w:szCs w:val="18"/>
        </w:rPr>
        <w:t>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Normal"/>
        <w:spacing w:lineRule="exact" w:line="12" w:before="0" w:after="0"/>
        <w:rPr>
          <w:rFonts w:ascii="Arial" w:hAnsi="Arial" w:eastAsia="Arial" w:cs="Arial"/>
          <w:color w:val="000000"/>
          <w:sz w:val="18"/>
          <w:szCs w:val="18"/>
        </w:rPr>
      </w:pPr>
      <w:r>
        <w:rPr>
          <w:rFonts w:eastAsia="Arial" w:cs="Arial" w:ascii="Arial" w:hAnsi="Arial"/>
          <w:color w:val="000000"/>
          <w:sz w:val="18"/>
          <w:szCs w:val="18"/>
        </w:rPr>
      </w:r>
    </w:p>
    <w:p>
      <w:pPr>
        <w:pStyle w:val="Normal"/>
        <w:spacing w:lineRule="auto" w:line="444" w:before="0" w:after="0"/>
        <w:ind w:left="1240" w:right="1260" w:firstLine="299"/>
        <w:jc w:val="both"/>
        <w:rPr/>
      </w:pPr>
      <w:r>
        <w:rPr>
          <w:rFonts w:eastAsia="Arial" w:cs="Arial" w:ascii="Arial" w:hAnsi="Arial"/>
          <w:color w:val="00000A"/>
          <w:sz w:val="17"/>
          <w:szCs w:val="17"/>
        </w:rPr>
        <w:t>In this regard, this study o ers an initial contribution to the development of a so far non-existent referential framework for the spatial taphonomic interpretation of palaeon-tological or archaeological assemblages (</w:t>
      </w:r>
      <w:hyperlink w:anchor="page40">
        <w:r>
          <w:rPr>
            <w:rStyle w:val="InternetLink"/>
            <w:rFonts w:eastAsia="Arial" w:cs="Arial" w:ascii="Arial" w:hAnsi="Arial"/>
            <w:color w:val="0000FF"/>
            <w:sz w:val="17"/>
            <w:szCs w:val="17"/>
          </w:rPr>
          <w:t>Domínguez-Rodrigo et al.</w:t>
        </w:r>
      </w:hyperlink>
      <w:r>
        <w:rPr>
          <w:rFonts w:eastAsia="Arial" w:cs="Arial" w:ascii="Arial" w:hAnsi="Arial"/>
          <w:color w:val="00000A"/>
          <w:sz w:val="17"/>
          <w:szCs w:val="17"/>
        </w:rPr>
        <w:t xml:space="preserve">, </w:t>
      </w:r>
      <w:hyperlink w:anchor="page40">
        <w:r>
          <w:rPr>
            <w:rStyle w:val="InternetLink"/>
            <w:rFonts w:eastAsia="Arial" w:cs="Arial" w:ascii="Arial" w:hAnsi="Arial"/>
            <w:color w:val="0000FF"/>
            <w:sz w:val="17"/>
            <w:szCs w:val="17"/>
          </w:rPr>
          <w:t>2017</w:t>
        </w:r>
      </w:hyperlink>
      <w:r>
        <w:rPr>
          <w:rFonts w:eastAsia="Arial" w:cs="Arial" w:ascii="Arial" w:hAnsi="Arial"/>
          <w:color w:val="00000A"/>
          <w:sz w:val="17"/>
          <w:szCs w:val="17"/>
        </w:rPr>
        <w:t>). Indeed, the taphonomic study of non-human related bone assemblages has great importance for archaeological research as well. As an example, water-flow processes are recog-nised to be among the most important natural processes in the formation and modifi-cation of a significant percentage of the vertebrate fossil and archaeological sites alike (</w:t>
      </w:r>
      <w:hyperlink w:anchor="page37">
        <w:r>
          <w:rPr>
            <w:rStyle w:val="InternetLink"/>
            <w:rFonts w:eastAsia="Arial" w:cs="Arial" w:ascii="Arial" w:hAnsi="Arial"/>
            <w:color w:val="0000FF"/>
            <w:sz w:val="17"/>
            <w:szCs w:val="17"/>
          </w:rPr>
          <w:t>Behrensmeyer</w:t>
        </w:r>
      </w:hyperlink>
      <w:r>
        <w:rPr>
          <w:rFonts w:eastAsia="Arial" w:cs="Arial" w:ascii="Arial" w:hAnsi="Arial"/>
          <w:color w:val="00000A"/>
          <w:sz w:val="17"/>
          <w:szCs w:val="17"/>
        </w:rPr>
        <w:t xml:space="preserve">, </w:t>
      </w:r>
      <w:hyperlink w:anchor="page37">
        <w:r>
          <w:rPr>
            <w:rStyle w:val="InternetLink"/>
            <w:rFonts w:eastAsia="Arial" w:cs="Arial" w:ascii="Arial" w:hAnsi="Arial"/>
            <w:color w:val="0000FF"/>
            <w:sz w:val="17"/>
            <w:szCs w:val="17"/>
          </w:rPr>
          <w:t>1975a</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1982</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1988</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Coard</w:t>
        </w:r>
      </w:hyperlink>
      <w:r>
        <w:rPr>
          <w:rFonts w:eastAsia="Arial" w:cs="Arial" w:ascii="Arial" w:hAnsi="Arial"/>
          <w:color w:val="00000A"/>
          <w:sz w:val="17"/>
          <w:szCs w:val="17"/>
        </w:rPr>
        <w:t xml:space="preserve">, </w:t>
      </w:r>
      <w:hyperlink w:anchor="page38">
        <w:r>
          <w:rPr>
            <w:rStyle w:val="InternetLink"/>
            <w:rFonts w:eastAsia="Arial" w:cs="Arial" w:ascii="Arial" w:hAnsi="Arial"/>
            <w:color w:val="0000FF"/>
            <w:sz w:val="17"/>
            <w:szCs w:val="17"/>
          </w:rPr>
          <w:t>1999</w:t>
        </w:r>
      </w:hyperlink>
      <w:r>
        <w:rPr>
          <w:rFonts w:eastAsia="Arial" w:cs="Arial" w:ascii="Arial" w:hAnsi="Arial"/>
          <w:color w:val="00000A"/>
          <w:sz w:val="17"/>
          <w:szCs w:val="17"/>
        </w:rPr>
        <w:t xml:space="preserve">; </w:t>
      </w:r>
      <w:hyperlink w:anchor="page39">
        <w:r>
          <w:rPr>
            <w:rStyle w:val="InternetLink"/>
            <w:rFonts w:eastAsia="Arial" w:cs="Arial" w:ascii="Arial" w:hAnsi="Arial"/>
            <w:color w:val="0000FF"/>
            <w:sz w:val="17"/>
            <w:szCs w:val="17"/>
          </w:rPr>
          <w:t>Coard and Dennell</w:t>
        </w:r>
      </w:hyperlink>
      <w:r>
        <w:rPr>
          <w:rFonts w:eastAsia="Arial" w:cs="Arial" w:ascii="Arial" w:hAnsi="Arial"/>
          <w:color w:val="00000A"/>
          <w:sz w:val="17"/>
          <w:szCs w:val="17"/>
        </w:rPr>
        <w:t xml:space="preserve">, </w:t>
      </w:r>
      <w:hyperlink w:anchor="page39">
        <w:r>
          <w:rPr>
            <w:rStyle w:val="InternetLink"/>
            <w:rFonts w:eastAsia="Arial" w:cs="Arial" w:ascii="Arial" w:hAnsi="Arial"/>
            <w:color w:val="0000FF"/>
            <w:sz w:val="17"/>
            <w:szCs w:val="17"/>
          </w:rPr>
          <w:t>1995</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Petraglia</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and Nash</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Petraglia and Potts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1994</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Schi er</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Voorhies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1969</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among</w:t>
      </w:r>
      <w:r>
        <w:rPr>
          <w:rFonts w:eastAsia="Arial" w:cs="Arial" w:ascii="Arial" w:hAnsi="Arial"/>
          <w:color w:val="0000FF"/>
          <w:sz w:val="17"/>
          <w:szCs w:val="17"/>
        </w:rPr>
        <w:t xml:space="preserve"> </w:t>
      </w:r>
      <w:r>
        <w:rPr>
          <w:rFonts w:eastAsia="Arial" w:cs="Arial" w:ascii="Arial" w:hAnsi="Arial"/>
          <w:color w:val="000000"/>
          <w:sz w:val="17"/>
          <w:szCs w:val="17"/>
        </w:rPr>
        <w:t>others). Under the e ect of water-flows, assemblages may adopt a variety of forms, ranging from (peri)autochthonous rearranged assemblages and biased lag assemblages to transported, allochthonous assemblages (</w:t>
      </w:r>
      <w:hyperlink w:anchor="page38">
        <w:r>
          <w:rPr>
            <w:rStyle w:val="InternetLink"/>
            <w:rFonts w:eastAsia="Arial" w:cs="Arial" w:ascii="Arial" w:hAnsi="Arial"/>
            <w:color w:val="0000FF"/>
            <w:sz w:val="17"/>
            <w:szCs w:val="17"/>
          </w:rPr>
          <w:t>Behrensmeyer</w:t>
        </w:r>
      </w:hyperlink>
      <w:r>
        <w:rPr>
          <w:rFonts w:eastAsia="Arial" w:cs="Arial" w:ascii="Arial" w:hAnsi="Arial"/>
          <w:color w:val="000000"/>
          <w:sz w:val="17"/>
          <w:szCs w:val="17"/>
        </w:rPr>
        <w:t xml:space="preserve">, </w:t>
      </w:r>
      <w:hyperlink w:anchor="page38">
        <w:r>
          <w:rPr>
            <w:rStyle w:val="InternetLink"/>
            <w:rFonts w:eastAsia="Arial" w:cs="Arial" w:ascii="Arial" w:hAnsi="Arial"/>
            <w:color w:val="0000FF"/>
            <w:sz w:val="17"/>
            <w:szCs w:val="17"/>
          </w:rPr>
          <w:t>1988</w:t>
        </w:r>
      </w:hyperlink>
      <w:r>
        <w:rPr>
          <w:rFonts w:eastAsia="Arial" w:cs="Arial" w:ascii="Arial" w:hAnsi="Arial"/>
          <w:color w:val="000000"/>
          <w:sz w:val="17"/>
          <w:szCs w:val="17"/>
        </w:rPr>
        <w:t xml:space="preserve">; </w:t>
      </w:r>
      <w:hyperlink w:anchor="page40">
        <w:r>
          <w:rPr>
            <w:rStyle w:val="InternetLink"/>
            <w:rFonts w:eastAsia="Arial" w:cs="Arial" w:ascii="Arial" w:hAnsi="Arial"/>
            <w:color w:val="0000FF"/>
            <w:sz w:val="17"/>
            <w:szCs w:val="17"/>
          </w:rPr>
          <w:t>Domínguez-Rodrigo</w:t>
        </w:r>
      </w:hyperlink>
      <w:r>
        <w:rPr>
          <w:rFonts w:eastAsia="Arial" w:cs="Arial" w:ascii="Arial" w:hAnsi="Arial"/>
          <w:color w:val="000000"/>
          <w:sz w:val="17"/>
          <w:szCs w:val="17"/>
        </w:rPr>
        <w:t xml:space="preserve"> </w:t>
      </w:r>
      <w:hyperlink w:anchor="page40">
        <w:r>
          <w:rPr>
            <w:rStyle w:val="InternetLink"/>
            <w:rFonts w:eastAsia="Arial" w:cs="Arial" w:ascii="Arial" w:hAnsi="Arial"/>
            <w:color w:val="0000FF"/>
            <w:sz w:val="17"/>
            <w:szCs w:val="17"/>
          </w:rPr>
          <w:t>and García-Pérez</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0">
        <w:r>
          <w:rPr>
            <w:rStyle w:val="InternetLink"/>
            <w:rFonts w:eastAsia="Arial" w:cs="Arial" w:ascii="Arial" w:hAnsi="Arial"/>
            <w:color w:val="0000FF"/>
            <w:sz w:val="17"/>
            <w:szCs w:val="17"/>
          </w:rPr>
          <w:t>2013</w:t>
        </w:r>
      </w:hyperlink>
      <w:r>
        <w:rPr>
          <w:rFonts w:eastAsia="Arial" w:cs="Arial" w:ascii="Arial" w:hAnsi="Arial"/>
          <w:color w:val="000000"/>
          <w:sz w:val="17"/>
          <w:szCs w:val="17"/>
        </w:rPr>
        <w:t xml:space="preserve">). One fundamental assumption behind reliable inferences on </w:t>
      </w:r>
      <w:r>
        <w:rPr>
          <w:rFonts w:eastAsia="Arial" w:cs="Arial" w:ascii="Arial" w:hAnsi="Arial"/>
          <w:color w:val="00000A"/>
          <w:sz w:val="19"/>
          <w:szCs w:val="19"/>
        </w:rPr>
        <w:t>past human behaviour is the pristine preservation of the depositional context. There-fore, it is essential, in order to fully comprehend the archaeological record, to test within a referential framework alternative taphonomic hypotheses.</w:t>
      </w:r>
    </w:p>
    <w:p>
      <w:pPr>
        <w:pStyle w:val="Normal"/>
        <w:spacing w:lineRule="exact" w:line="3" w:before="0" w:after="0"/>
        <w:rPr>
          <w:color w:val="00000A"/>
          <w:sz w:val="20"/>
          <w:szCs w:val="20"/>
        </w:rPr>
      </w:pPr>
      <w:r>
        <w:rPr>
          <w:color w:val="00000A"/>
          <w:sz w:val="20"/>
          <w:szCs w:val="20"/>
        </w:rPr>
      </w:r>
    </w:p>
    <w:p>
      <w:pPr>
        <w:pStyle w:val="Normal"/>
        <w:spacing w:lineRule="auto" w:line="439" w:before="0" w:after="0"/>
        <w:ind w:left="1240" w:right="1260" w:firstLine="299"/>
        <w:jc w:val="both"/>
        <w:rPr/>
      </w:pPr>
      <w:r>
        <w:rPr>
          <w:rFonts w:eastAsia="Arial" w:cs="Arial" w:ascii="Arial" w:hAnsi="Arial"/>
          <w:color w:val="00000A"/>
          <w:sz w:val="17"/>
          <w:szCs w:val="17"/>
        </w:rPr>
        <w:t>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w:t>
      </w:r>
      <w:hyperlink w:anchor="page37">
        <w:r>
          <w:rPr>
            <w:rStyle w:val="InternetLink"/>
            <w:rFonts w:eastAsia="Arial" w:cs="Arial" w:ascii="Arial" w:hAnsi="Arial"/>
            <w:color w:val="0000FF"/>
            <w:sz w:val="17"/>
            <w:szCs w:val="17"/>
          </w:rPr>
          <w:t>Ara-</w:t>
        </w:r>
      </w:hyperlink>
      <w:hyperlink w:anchor="page37">
        <w:r>
          <w:rPr>
            <w:rStyle w:val="InternetLink"/>
            <w:rFonts w:eastAsia="Arial" w:cs="Arial" w:ascii="Arial" w:hAnsi="Arial"/>
            <w:color w:val="0000FF"/>
            <w:sz w:val="17"/>
            <w:szCs w:val="17"/>
          </w:rPr>
          <w:t>mendi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7">
        <w:r>
          <w:rPr>
            <w:rStyle w:val="InternetLink"/>
            <w:rFonts w:eastAsia="Arial" w:cs="Arial" w:ascii="Arial" w:hAnsi="Arial"/>
            <w:color w:val="0000FF"/>
            <w:sz w:val="17"/>
            <w:szCs w:val="17"/>
          </w:rPr>
          <w:t>2017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8">
        <w:r>
          <w:rPr>
            <w:rStyle w:val="InternetLink"/>
            <w:rFonts w:eastAsia="Arial" w:cs="Arial" w:ascii="Arial" w:hAnsi="Arial"/>
            <w:color w:val="0000FF"/>
            <w:sz w:val="17"/>
            <w:szCs w:val="17"/>
          </w:rPr>
          <w:t>Benito-Calvo and de la Torre</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8">
        <w:r>
          <w:rPr>
            <w:rStyle w:val="InternetLink"/>
            <w:rFonts w:eastAsia="Arial" w:cs="Arial" w:ascii="Arial" w:hAnsi="Arial"/>
            <w:color w:val="0000FF"/>
            <w:sz w:val="17"/>
            <w:szCs w:val="17"/>
          </w:rPr>
          <w:t>2011</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Cobo-Sánchez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2014</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de la Torre and Benito-Calvo</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2013</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Domínguez-Rodrigo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2014a</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39">
        <w:r>
          <w:rPr>
            <w:rStyle w:val="InternetLink"/>
            <w:rFonts w:eastAsia="Arial" w:cs="Arial" w:ascii="Arial" w:hAnsi="Arial"/>
            <w:color w:val="0000FF"/>
            <w:sz w:val="17"/>
            <w:szCs w:val="17"/>
          </w:rPr>
          <w:t>2012</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0">
        <w:r>
          <w:rPr>
            <w:rStyle w:val="InternetLink"/>
            <w:rFonts w:eastAsia="Arial" w:cs="Arial" w:ascii="Arial" w:hAnsi="Arial"/>
            <w:color w:val="0000FF"/>
            <w:sz w:val="17"/>
            <w:szCs w:val="17"/>
          </w:rPr>
          <w:t>2014d</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Fiorillo</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1">
        <w:r>
          <w:rPr>
            <w:rStyle w:val="InternetLink"/>
            <w:rFonts w:eastAsia="Arial" w:cs="Arial" w:ascii="Arial" w:hAnsi="Arial"/>
            <w:color w:val="0000FF"/>
            <w:sz w:val="17"/>
            <w:szCs w:val="17"/>
          </w:rPr>
          <w:t>1991</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Nash and Petraglia</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4">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Organista et al.</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2017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Petraglia and Nash</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Petraglia and Potts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1994</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Schick</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1987</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Toots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1965</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Voorhies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6">
        <w:r>
          <w:rPr>
            <w:rStyle w:val="InternetLink"/>
            <w:rFonts w:eastAsia="Arial" w:cs="Arial" w:ascii="Arial" w:hAnsi="Arial"/>
            <w:color w:val="0000FF"/>
            <w:sz w:val="17"/>
            <w:szCs w:val="17"/>
          </w:rPr>
          <w:t>1969</w:t>
        </w:r>
      </w:hyperlink>
      <w:r>
        <w:rPr>
          <w:rFonts w:eastAsia="Arial" w:cs="Arial" w:ascii="Arial" w:hAnsi="Arial"/>
          <w:color w:val="000000"/>
          <w:sz w:val="17"/>
          <w:szCs w:val="17"/>
        </w:rPr>
        <w:t>,</w:t>
      </w:r>
      <w:r>
        <w:rPr>
          <w:rFonts w:eastAsia="Arial" w:cs="Arial" w:ascii="Arial" w:hAnsi="Arial"/>
          <w:color w:val="0000FF"/>
          <w:sz w:val="17"/>
          <w:szCs w:val="17"/>
        </w:rPr>
        <w:t xml:space="preserve"> </w:t>
      </w:r>
      <w:r>
        <w:rPr>
          <w:rFonts w:eastAsia="Arial" w:cs="Arial" w:ascii="Arial" w:hAnsi="Arial"/>
          <w:color w:val="000000"/>
          <w:sz w:val="17"/>
          <w:szCs w:val="17"/>
        </w:rPr>
        <w:t>among</w:t>
      </w:r>
      <w:r>
        <w:rPr>
          <w:rFonts w:eastAsia="Arial" w:cs="Arial" w:ascii="Arial" w:hAnsi="Arial"/>
          <w:color w:val="0000FF"/>
          <w:sz w:val="17"/>
          <w:szCs w:val="17"/>
        </w:rPr>
        <w:t xml:space="preserve"> </w:t>
      </w:r>
      <w:r>
        <w:rPr>
          <w:rFonts w:eastAsia="Arial" w:cs="Arial" w:ascii="Arial" w:hAnsi="Arial"/>
          <w:color w:val="000000"/>
          <w:sz w:val="17"/>
          <w:szCs w:val="17"/>
        </w:rPr>
        <w:t>others). However, spatial anisotropy at supra-element level of taphons or assemblages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hyperlink w:anchor="page37">
        <w:r>
          <w:rPr>
            <w:rStyle w:val="InternetLink"/>
            <w:rFonts w:eastAsia="Arial" w:cs="Arial" w:ascii="Arial" w:hAnsi="Arial"/>
            <w:color w:val="0000FF"/>
            <w:sz w:val="17"/>
            <w:szCs w:val="17"/>
          </w:rPr>
          <w:t>Baddeley et al.</w:t>
        </w:r>
      </w:hyperlink>
      <w:r>
        <w:rPr>
          <w:rFonts w:eastAsia="Arial" w:cs="Arial" w:ascii="Arial" w:hAnsi="Arial"/>
          <w:color w:val="000000"/>
          <w:sz w:val="17"/>
          <w:szCs w:val="17"/>
        </w:rPr>
        <w:t xml:space="preserve">, </w:t>
      </w:r>
      <w:hyperlink w:anchor="page37">
        <w:r>
          <w:rPr>
            <w:rStyle w:val="InternetLink"/>
            <w:rFonts w:eastAsia="Arial" w:cs="Arial" w:ascii="Arial" w:hAnsi="Arial"/>
            <w:color w:val="0000FF"/>
            <w:sz w:val="17"/>
            <w:szCs w:val="17"/>
          </w:rPr>
          <w:t>2015</w:t>
        </w:r>
      </w:hyperlink>
      <w:r>
        <w:rPr>
          <w:rFonts w:eastAsia="Arial" w:cs="Arial" w:ascii="Arial" w:hAnsi="Arial"/>
          <w:color w:val="000000"/>
          <w:sz w:val="17"/>
          <w:szCs w:val="17"/>
        </w:rPr>
        <w:t>).</w:t>
      </w:r>
    </w:p>
    <w:p>
      <w:pPr>
        <w:pStyle w:val="Normal"/>
        <w:spacing w:lineRule="exact" w:line="4"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lineRule="auto" w:line="396" w:before="0" w:after="0"/>
        <w:ind w:left="1240" w:right="1260" w:firstLine="299"/>
        <w:jc w:val="both"/>
        <w:rPr>
          <w:color w:val="00000A"/>
          <w:sz w:val="20"/>
          <w:szCs w:val="20"/>
        </w:rPr>
      </w:pPr>
      <w:r>
        <w:rPr>
          <w:rFonts w:eastAsia="Arial" w:cs="Arial" w:ascii="Arial" w:hAnsi="Arial"/>
          <w:color w:val="00000A"/>
          <w:sz w:val="19"/>
          <w:szCs w:val="19"/>
        </w:rPr>
        <w:t>We investigated the multilevel spatial anisotropy and selective composition of the fossiliferous deposit of Tsiotra Vryssi, from the fluvial Gerakarou Formation of the Mygdonia Basin, Greece. Specific research questions regarded the character and num-ber of depositional processes and the degree of re-elaboration of the fossil record. Spe-cific aspects of our results are discussed below.</w:t>
      </w:r>
    </w:p>
    <w:p>
      <w:pPr>
        <w:pStyle w:val="Normal"/>
        <w:spacing w:lineRule="exact" w:line="220"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before="0" w:after="0"/>
        <w:ind w:left="1240" w:hanging="0"/>
        <w:rPr>
          <w:color w:val="00000A"/>
          <w:sz w:val="20"/>
          <w:szCs w:val="20"/>
        </w:rPr>
      </w:pPr>
      <w:r>
        <w:rPr>
          <w:rFonts w:eastAsia="Arial" w:cs="Arial" w:ascii="Arial" w:hAnsi="Arial"/>
          <w:color w:val="00000A"/>
          <w:sz w:val="20"/>
          <w:szCs w:val="20"/>
        </w:rPr>
        <w:t>5.1. Recursive anisotropy</w:t>
      </w:r>
    </w:p>
    <w:p>
      <w:pPr>
        <w:pStyle w:val="Normal"/>
        <w:spacing w:lineRule="exact" w:line="189"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lineRule="auto" w:line="374" w:before="0" w:after="0"/>
        <w:ind w:left="1240" w:right="1260" w:firstLine="299"/>
        <w:jc w:val="both"/>
        <w:rPr>
          <w:color w:val="00000A"/>
          <w:sz w:val="20"/>
          <w:szCs w:val="20"/>
        </w:rPr>
      </w:pPr>
      <w:r>
        <w:rPr>
          <w:rFonts w:eastAsia="Arial" w:cs="Arial" w:ascii="Arial" w:hAnsi="Arial"/>
          <w:color w:val="00000A"/>
          <w:sz w:val="20"/>
          <w:szCs w:val="20"/>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Normal"/>
        <w:spacing w:lineRule="exact" w:line="1" w:before="0" w:after="0"/>
        <w:rPr>
          <w:rFonts w:ascii="Arial" w:hAnsi="Arial" w:eastAsia="Arial" w:cs="Arial"/>
          <w:color w:val="0000FF"/>
          <w:sz w:val="17"/>
          <w:szCs w:val="17"/>
        </w:rPr>
      </w:pPr>
      <w:r>
        <w:rPr>
          <w:rFonts w:eastAsia="Arial" w:cs="Arial" w:ascii="Arial" w:hAnsi="Arial"/>
          <w:color w:val="0000FF"/>
          <w:sz w:val="17"/>
          <w:szCs w:val="17"/>
        </w:rPr>
      </w:r>
    </w:p>
    <w:p>
      <w:pPr>
        <w:pStyle w:val="Normal"/>
        <w:spacing w:lineRule="auto" w:line="463" w:before="0" w:after="0"/>
        <w:ind w:left="1240" w:right="1260" w:firstLine="299"/>
        <w:jc w:val="both"/>
        <w:rPr/>
      </w:pPr>
      <w:r>
        <w:rPr>
          <w:rFonts w:eastAsia="Arial" w:cs="Arial" w:ascii="Arial" w:hAnsi="Arial"/>
          <w:color w:val="00000A"/>
          <w:sz w:val="17"/>
          <w:szCs w:val="17"/>
        </w:rPr>
        <w:t xml:space="preserve">Fabric analysis, or the analysis of the orientation (plunge and bearing) of elongated elements, can provide valuable insight into taphonomic processes, allowing discrimi-nation between di erent orientation patterns (isotropic, linear or planar). We analysed </w:t>
      </w:r>
      <w:r>
        <w:rPr>
          <w:rFonts w:eastAsia="Arial" w:cs="Arial" w:ascii="Arial" w:hAnsi="Arial"/>
          <w:color w:val="00000A"/>
          <w:sz w:val="18"/>
          <w:szCs w:val="18"/>
        </w:rPr>
        <w:t xml:space="preserve">a sub-sample of not articulated, clearly elongated bone specimens, mostly limb bone fragments. Articulated units were excluded from the fabric analysis since experimental studies by </w:t>
      </w:r>
      <w:hyperlink w:anchor="page39">
        <w:r>
          <w:rPr>
            <w:rStyle w:val="InternetLink"/>
            <w:rFonts w:eastAsia="Arial" w:cs="Arial" w:ascii="Arial" w:hAnsi="Arial"/>
            <w:color w:val="0000FF"/>
            <w:sz w:val="18"/>
            <w:szCs w:val="18"/>
          </w:rPr>
          <w:t>Coard and Dennell</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w:t>
      </w:r>
      <w:hyperlink w:anchor="page39">
        <w:r>
          <w:rPr>
            <w:rStyle w:val="InternetLink"/>
            <w:rFonts w:eastAsia="Arial" w:cs="Arial" w:ascii="Arial" w:hAnsi="Arial"/>
            <w:color w:val="0000FF"/>
            <w:sz w:val="18"/>
            <w:szCs w:val="18"/>
          </w:rPr>
          <w:t>1995</w:t>
        </w:r>
      </w:hyperlink>
      <w:r>
        <w:rPr>
          <w:rFonts w:eastAsia="Arial" w:cs="Arial" w:ascii="Arial" w:hAnsi="Arial"/>
          <w:color w:val="00000A"/>
          <w:sz w:val="18"/>
          <w:szCs w:val="18"/>
        </w:rPr>
        <w:t xml:space="preserve">) and </w:t>
      </w:r>
      <w:hyperlink w:anchor="page38">
        <w:r>
          <w:rPr>
            <w:rStyle w:val="InternetLink"/>
            <w:rFonts w:eastAsia="Arial" w:cs="Arial" w:ascii="Arial" w:hAnsi="Arial"/>
            <w:color w:val="0000FF"/>
            <w:sz w:val="18"/>
            <w:szCs w:val="18"/>
          </w:rPr>
          <w:t>Coard</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w:t>
      </w:r>
      <w:hyperlink w:anchor="page38">
        <w:r>
          <w:rPr>
            <w:rStyle w:val="InternetLink"/>
            <w:rFonts w:eastAsia="Arial" w:cs="Arial" w:ascii="Arial" w:hAnsi="Arial"/>
            <w:color w:val="0000FF"/>
            <w:sz w:val="18"/>
            <w:szCs w:val="18"/>
          </w:rPr>
          <w:t>1999</w:t>
        </w:r>
      </w:hyperlink>
      <w:r>
        <w:rPr>
          <w:rFonts w:eastAsia="Arial" w:cs="Arial" w:ascii="Arial" w:hAnsi="Arial"/>
          <w:color w:val="00000A"/>
          <w:sz w:val="18"/>
          <w:szCs w:val="18"/>
        </w:rPr>
        <w:t xml:space="preserve">) reported that articulated units with a higher number of elements, such as complete limbs, may show weak preferen-tial orientation when not aligned, as they often occur at TSR (Fig. </w:t>
      </w:r>
      <w:hyperlink w:anchor="page6">
        <w:r>
          <w:rPr>
            <w:rStyle w:val="InternetLink"/>
            <w:rFonts w:eastAsia="Arial" w:cs="Arial" w:ascii="Arial" w:hAnsi="Arial"/>
            <w:color w:val="0000FF"/>
            <w:sz w:val="18"/>
            <w:szCs w:val="18"/>
          </w:rPr>
          <w:t>2</w:t>
        </w:r>
      </w:hyperlink>
      <w:r>
        <w:rPr>
          <w:rFonts w:eastAsia="Arial" w:cs="Arial" w:ascii="Arial" w:hAnsi="Arial"/>
          <w:color w:val="00000A"/>
          <w:sz w:val="18"/>
          <w:szCs w:val="18"/>
        </w:rPr>
        <w:t>c,d,e). Otherwise, the authors concluded that articulated bones showed a greater than expected hydraulic transport potential. Thus, their conspicuous presence in the TSR fossil record (about 22%) would not necessarily suggest an autochthonous deposit.</w:t>
      </w:r>
    </w:p>
    <w:p>
      <w:pPr>
        <w:pStyle w:val="Normal"/>
        <w:spacing w:lineRule="exact" w:line="6"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The results of the circular uniformity test statistics (Tab. </w:t>
      </w:r>
      <w:hyperlink w:anchor="page20">
        <w:r>
          <w:rPr>
            <w:rStyle w:val="InternetLink"/>
            <w:rFonts w:eastAsia="Arial" w:cs="Arial" w:ascii="Arial" w:hAnsi="Arial"/>
            <w:color w:val="0000FF"/>
            <w:sz w:val="18"/>
            <w:szCs w:val="18"/>
          </w:rPr>
          <w:t>1</w:t>
        </w:r>
      </w:hyperlink>
      <w:r>
        <w:rPr>
          <w:rFonts w:eastAsia="Arial" w:cs="Arial" w:ascii="Arial" w:hAnsi="Arial"/>
          <w:color w:val="00000A"/>
          <w:sz w:val="18"/>
          <w:szCs w:val="18"/>
        </w:rPr>
        <w:t xml:space="preserve">) agreed upon rejecting the null hypothesis of uniformity, suggesting a significant anisotropic distribution of the fossil sample. The Schimdt and Woodcock diagrams in Fig. </w:t>
      </w:r>
      <w:hyperlink w:anchor="page21">
        <w:r>
          <w:rPr>
            <w:rStyle w:val="InternetLink"/>
            <w:rFonts w:eastAsia="Arial" w:cs="Arial" w:ascii="Arial" w:hAnsi="Arial"/>
            <w:color w:val="0000FF"/>
            <w:sz w:val="18"/>
            <w:szCs w:val="18"/>
          </w:rPr>
          <w:t>5</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hyperlink w:anchor="page45">
        <w:r>
          <w:rPr>
            <w:rStyle w:val="InternetLink"/>
            <w:rFonts w:eastAsia="Arial" w:cs="Arial" w:ascii="Arial" w:hAnsi="Arial"/>
            <w:color w:val="0000FF"/>
            <w:sz w:val="18"/>
            <w:szCs w:val="18"/>
          </w:rPr>
          <w:t>Petraglia and Potts</w:t>
        </w:r>
      </w:hyperlink>
      <w:r>
        <w:rPr>
          <w:rFonts w:eastAsia="Arial" w:cs="Arial" w:ascii="Arial" w:hAnsi="Arial"/>
          <w:color w:val="00000A"/>
          <w:sz w:val="18"/>
          <w:szCs w:val="18"/>
        </w:rPr>
        <w:t xml:space="preserve">, </w:t>
      </w:r>
      <w:hyperlink w:anchor="page45">
        <w:r>
          <w:rPr>
            <w:rStyle w:val="InternetLink"/>
            <w:rFonts w:eastAsia="Arial" w:cs="Arial" w:ascii="Arial" w:hAnsi="Arial"/>
            <w:color w:val="0000FF"/>
            <w:sz w:val="18"/>
            <w:szCs w:val="18"/>
          </w:rPr>
          <w:t>1994</w:t>
        </w:r>
      </w:hyperlink>
      <w:r>
        <w:rPr>
          <w:rFonts w:eastAsia="Arial" w:cs="Arial" w:ascii="Arial" w:hAnsi="Arial"/>
          <w:color w:val="00000A"/>
          <w:sz w:val="18"/>
          <w:szCs w:val="18"/>
        </w:rPr>
        <w:t xml:space="preserve">), girdle, planar patterns have been interpreted as products of overland flows (runo ; </w:t>
      </w:r>
      <w:hyperlink w:anchor="page45">
        <w:r>
          <w:rPr>
            <w:rStyle w:val="InternetLink"/>
            <w:rFonts w:eastAsia="Arial" w:cs="Arial" w:ascii="Arial" w:hAnsi="Arial"/>
            <w:color w:val="0000FF"/>
            <w:sz w:val="18"/>
            <w:szCs w:val="18"/>
          </w:rPr>
          <w:t>Organista et al.</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5">
        <w:r>
          <w:rPr>
            <w:rStyle w:val="InternetLink"/>
            <w:rFonts w:eastAsia="Arial" w:cs="Arial" w:ascii="Arial" w:hAnsi="Arial"/>
            <w:color w:val="0000FF"/>
            <w:sz w:val="18"/>
            <w:szCs w:val="18"/>
          </w:rPr>
          <w:t>2017</w:t>
        </w:r>
      </w:hyperlink>
      <w:r>
        <w:rPr>
          <w:rFonts w:eastAsia="Arial" w:cs="Arial" w:ascii="Arial" w:hAnsi="Arial"/>
          <w:color w:val="000000"/>
          <w:sz w:val="18"/>
          <w:szCs w:val="18"/>
        </w:rPr>
        <w:t>). The preferential orientation of the sampled elongated bones</w:t>
      </w:r>
      <w:r>
        <w:rPr>
          <w:rFonts w:eastAsia="Arial" w:cs="Arial" w:ascii="Arial" w:hAnsi="Arial"/>
          <w:color w:val="0000FF"/>
          <w:sz w:val="18"/>
          <w:szCs w:val="18"/>
        </w:rPr>
        <w:t xml:space="preserve"> </w:t>
      </w:r>
      <w:r>
        <w:rPr>
          <w:rFonts w:eastAsia="Arial" w:cs="Arial" w:ascii="Arial" w:hAnsi="Arial"/>
          <w:color w:val="000000"/>
          <w:sz w:val="18"/>
          <w:szCs w:val="18"/>
        </w:rPr>
        <w:t>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hyperlink w:anchor="page39">
        <w:r>
          <w:rPr>
            <w:rStyle w:val="InternetLink"/>
            <w:rFonts w:eastAsia="Arial" w:cs="Arial" w:ascii="Arial" w:hAnsi="Arial"/>
            <w:color w:val="0000FF"/>
            <w:sz w:val="18"/>
            <w:szCs w:val="18"/>
          </w:rPr>
          <w:t>Domínguez-Rodrigo et al.</w:t>
        </w:r>
      </w:hyperlink>
      <w:r>
        <w:rPr>
          <w:rFonts w:eastAsia="Arial" w:cs="Arial" w:ascii="Arial" w:hAnsi="Arial"/>
          <w:color w:val="000000"/>
          <w:sz w:val="18"/>
          <w:szCs w:val="18"/>
        </w:rPr>
        <w:t xml:space="preserve">, </w:t>
      </w:r>
      <w:hyperlink w:anchor="page39">
        <w:r>
          <w:rPr>
            <w:rStyle w:val="InternetLink"/>
            <w:rFonts w:eastAsia="Arial" w:cs="Arial" w:ascii="Arial" w:hAnsi="Arial"/>
            <w:color w:val="0000FF"/>
            <w:sz w:val="18"/>
            <w:szCs w:val="18"/>
          </w:rPr>
          <w:t>2012</w:t>
        </w:r>
      </w:hyperlink>
      <w:r>
        <w:rPr>
          <w:rFonts w:eastAsia="Arial" w:cs="Arial" w:ascii="Arial" w:hAnsi="Arial"/>
          <w:color w:val="000000"/>
          <w:sz w:val="18"/>
          <w:szCs w:val="18"/>
        </w:rPr>
        <w:t xml:space="preserve">, </w:t>
      </w:r>
      <w:hyperlink w:anchor="page40">
        <w:r>
          <w:rPr>
            <w:rStyle w:val="InternetLink"/>
            <w:rFonts w:eastAsia="Arial" w:cs="Arial" w:ascii="Arial" w:hAnsi="Arial"/>
            <w:color w:val="0000FF"/>
            <w:sz w:val="18"/>
            <w:szCs w:val="18"/>
          </w:rPr>
          <w:t>2014b</w:t>
        </w:r>
      </w:hyperlink>
      <w:r>
        <w:rPr>
          <w:rFonts w:eastAsia="Arial" w:cs="Arial" w:ascii="Arial" w:hAnsi="Arial"/>
          <w:color w:val="000000"/>
          <w:sz w:val="18"/>
          <w:szCs w:val="18"/>
        </w:rPr>
        <w:t xml:space="preserve">, </w:t>
      </w:r>
      <w:hyperlink w:anchor="page40">
        <w:r>
          <w:rPr>
            <w:rStyle w:val="InternetLink"/>
            <w:rFonts w:eastAsia="Arial" w:cs="Arial" w:ascii="Arial" w:hAnsi="Arial"/>
            <w:color w:val="0000FF"/>
            <w:sz w:val="18"/>
            <w:szCs w:val="18"/>
          </w:rPr>
          <w:t>2017</w:t>
        </w:r>
      </w:hyperlink>
      <w:r>
        <w:rPr>
          <w:rFonts w:eastAsia="Arial" w:cs="Arial" w:ascii="Arial" w:hAnsi="Arial"/>
          <w:color w:val="000000"/>
          <w:sz w:val="18"/>
          <w:szCs w:val="18"/>
        </w:rPr>
        <w:t xml:space="preserve">, </w:t>
      </w:r>
      <w:hyperlink w:anchor="page40">
        <w:r>
          <w:rPr>
            <w:rStyle w:val="InternetLink"/>
            <w:rFonts w:eastAsia="Arial" w:cs="Arial" w:ascii="Arial" w:hAnsi="Arial"/>
            <w:color w:val="0000FF"/>
            <w:sz w:val="18"/>
            <w:szCs w:val="18"/>
          </w:rPr>
          <w:t>2014c</w:t>
        </w:r>
      </w:hyperlink>
      <w:r>
        <w:rPr>
          <w:rFonts w:eastAsia="Arial" w:cs="Arial" w:ascii="Arial" w:hAnsi="Arial"/>
          <w:color w:val="000000"/>
          <w:sz w:val="18"/>
          <w:szCs w:val="18"/>
        </w:rPr>
        <w:t>). Since a wide range of di erent taphonomic processes can produce similar patterns, an unequivocal discrim-ination based only on fabric observations is seldom possible, and other taphonomic criteria should be considered (</w:t>
      </w:r>
      <w:hyperlink w:anchor="page43">
        <w:r>
          <w:rPr>
            <w:rStyle w:val="InternetLink"/>
            <w:rFonts w:eastAsia="Arial" w:cs="Arial" w:ascii="Arial" w:hAnsi="Arial"/>
            <w:color w:val="0000FF"/>
            <w:sz w:val="18"/>
            <w:szCs w:val="18"/>
          </w:rPr>
          <w:t>Lenoble and Bertran</w:t>
        </w:r>
      </w:hyperlink>
      <w:r>
        <w:rPr>
          <w:rFonts w:eastAsia="Arial" w:cs="Arial" w:ascii="Arial" w:hAnsi="Arial"/>
          <w:color w:val="000000"/>
          <w:sz w:val="18"/>
          <w:szCs w:val="18"/>
        </w:rPr>
        <w:t xml:space="preserve">, </w:t>
      </w:r>
      <w:hyperlink w:anchor="page43">
        <w:r>
          <w:rPr>
            <w:rStyle w:val="InternetLink"/>
            <w:rFonts w:eastAsia="Arial" w:cs="Arial" w:ascii="Arial" w:hAnsi="Arial"/>
            <w:color w:val="0000FF"/>
            <w:sz w:val="18"/>
            <w:szCs w:val="18"/>
          </w:rPr>
          <w:t>2004</w:t>
        </w:r>
      </w:hyperlink>
      <w:r>
        <w:rPr>
          <w:rFonts w:eastAsia="Arial" w:cs="Arial" w:ascii="Arial" w:hAnsi="Arial"/>
          <w:color w:val="000000"/>
          <w:sz w:val="18"/>
          <w:szCs w:val="18"/>
        </w:rPr>
        <w:t>).</w:t>
      </w:r>
    </w:p>
    <w:p>
      <w:pPr>
        <w:pStyle w:val="Normal"/>
        <w:spacing w:lineRule="exact" w:line="13" w:before="0" w:after="0"/>
        <w:rPr>
          <w:rFonts w:ascii="Arial" w:hAnsi="Arial" w:eastAsia="Arial" w:cs="Arial"/>
          <w:color w:val="000000"/>
          <w:sz w:val="18"/>
          <w:szCs w:val="18"/>
        </w:rPr>
      </w:pPr>
      <w:r>
        <w:rPr>
          <w:rFonts w:eastAsia="Arial" w:cs="Arial" w:ascii="Arial" w:hAnsi="Arial"/>
          <w:color w:val="000000"/>
          <w:sz w:val="18"/>
          <w:szCs w:val="18"/>
        </w:rPr>
      </w:r>
    </w:p>
    <w:p>
      <w:pPr>
        <w:pStyle w:val="Normal"/>
        <w:spacing w:lineRule="auto" w:line="420" w:before="0" w:after="0"/>
        <w:ind w:left="1240" w:right="1260" w:firstLine="299"/>
        <w:jc w:val="both"/>
        <w:rPr/>
      </w:pPr>
      <w:r>
        <w:rPr>
          <w:rFonts w:eastAsia="Arial" w:cs="Arial" w:ascii="Arial" w:hAnsi="Arial"/>
          <w:color w:val="00000A"/>
          <w:sz w:val="18"/>
          <w:szCs w:val="18"/>
        </w:rPr>
        <w:t xml:space="preserve">Geostatistics, wavelet and point pattern analyses were applied in order to detect anisotropy of the TSR fossil assemblage. All these di erent methods agreed on iden-tifying a preferentially NW-SE oriented distribution. Four directional variograms and a variogram map (Fig. </w:t>
      </w:r>
      <w:hyperlink w:anchor="page22">
        <w:r>
          <w:rPr>
            <w:rStyle w:val="InternetLink"/>
            <w:rFonts w:eastAsia="Arial" w:cs="Arial" w:ascii="Arial" w:hAnsi="Arial"/>
            <w:color w:val="0000FF"/>
            <w:sz w:val="18"/>
            <w:szCs w:val="18"/>
          </w:rPr>
          <w:t>6</w:t>
        </w:r>
      </w:hyperlink>
      <w:r>
        <w:rPr>
          <w:rFonts w:eastAsia="Arial" w:cs="Arial" w:ascii="Arial" w:hAnsi="Arial"/>
          <w:color w:val="00000A"/>
          <w:sz w:val="18"/>
          <w:szCs w:val="18"/>
        </w:rPr>
        <w:t xml:space="preserve">b,c) were calculated from a kernel density estimation of the assemblage spatial distribution (Fig. </w:t>
      </w:r>
      <w:hyperlink w:anchor="page22">
        <w:r>
          <w:rPr>
            <w:rStyle w:val="InternetLink"/>
            <w:rFonts w:eastAsia="Arial" w:cs="Arial" w:ascii="Arial" w:hAnsi="Arial"/>
            <w:color w:val="0000FF"/>
            <w:sz w:val="18"/>
            <w:szCs w:val="18"/>
          </w:rPr>
          <w:t>6</w:t>
        </w:r>
      </w:hyperlink>
      <w:r>
        <w:rPr>
          <w:rFonts w:eastAsia="Arial" w:cs="Arial" w:ascii="Arial" w:hAnsi="Arial"/>
          <w:color w:val="00000A"/>
          <w:sz w:val="18"/>
          <w:szCs w:val="18"/>
        </w:rPr>
        <w:t xml:space="preserve">a). Small, dense clusters of fossils, although occurring at di erent elevations in the 1m-thick vertical distribution (Fig. </w:t>
      </w:r>
      <w:hyperlink w:anchor="page9">
        <w:r>
          <w:rPr>
            <w:rStyle w:val="InternetLink"/>
            <w:rFonts w:eastAsia="Arial" w:cs="Arial" w:ascii="Arial" w:hAnsi="Arial"/>
            <w:color w:val="0000FF"/>
            <w:sz w:val="18"/>
            <w:szCs w:val="18"/>
          </w:rPr>
          <w:t>4</w:t>
        </w:r>
      </w:hyperlink>
      <w:r>
        <w:rPr>
          <w:rFonts w:eastAsia="Arial" w:cs="Arial" w:ascii="Arial" w:hAnsi="Arial"/>
          <w:color w:val="00000A"/>
          <w:sz w:val="18"/>
          <w:szCs w:val="18"/>
        </w:rPr>
        <w:t>a), con</w:t>
      </w:r>
      <w:r>
        <w:rPr>
          <w:rFonts w:eastAsia="Arial" w:cs="Arial" w:ascii="Arial" w:hAnsi="Arial"/>
          <w:color w:val="00000A"/>
          <w:sz w:val="20"/>
          <w:szCs w:val="20"/>
        </w:rPr>
        <w:t xml:space="preserve">catenate along a prevailing NW-SE direction. Secondary minor directions (N-S and NE-SW) were identified in the directional variograms (Fig. </w:t>
      </w:r>
      <w:hyperlink w:anchor="page22">
        <w:r>
          <w:rPr>
            <w:rStyle w:val="InternetLink"/>
            <w:rFonts w:eastAsia="Arial" w:cs="Arial" w:ascii="Arial" w:hAnsi="Arial"/>
            <w:color w:val="0000FF"/>
            <w:sz w:val="20"/>
            <w:szCs w:val="20"/>
          </w:rPr>
          <w:t>6</w:t>
        </w:r>
      </w:hyperlink>
      <w:r>
        <w:rPr>
          <w:rFonts w:eastAsia="Arial" w:cs="Arial" w:ascii="Arial" w:hAnsi="Arial"/>
          <w:color w:val="00000A"/>
          <w:sz w:val="20"/>
          <w:szCs w:val="20"/>
        </w:rPr>
        <w:t xml:space="preserve">b). In the same manner, the wavelet graph (Fig. </w:t>
      </w:r>
      <w:hyperlink w:anchor="page23">
        <w:r>
          <w:rPr>
            <w:rStyle w:val="InternetLink"/>
            <w:rFonts w:eastAsia="Arial" w:cs="Arial" w:ascii="Arial" w:hAnsi="Arial"/>
            <w:color w:val="0000FF"/>
            <w:sz w:val="20"/>
            <w:szCs w:val="20"/>
          </w:rPr>
          <w:t>7</w:t>
        </w:r>
      </w:hyperlink>
      <w:r>
        <w:rPr>
          <w:rFonts w:eastAsia="Arial" w:cs="Arial" w:ascii="Arial" w:hAnsi="Arial"/>
          <w:color w:val="00000A"/>
          <w:sz w:val="20"/>
          <w:szCs w:val="20"/>
        </w:rPr>
        <w:t xml:space="preserve">) and the rose diagrams (Fig. </w:t>
      </w:r>
      <w:hyperlink w:anchor="page24">
        <w:r>
          <w:rPr>
            <w:rStyle w:val="InternetLink"/>
            <w:rFonts w:eastAsia="Arial" w:cs="Arial" w:ascii="Arial" w:hAnsi="Arial"/>
            <w:color w:val="0000FF"/>
            <w:sz w:val="20"/>
            <w:szCs w:val="20"/>
          </w:rPr>
          <w:t>8</w:t>
        </w:r>
      </w:hyperlink>
      <w:r>
        <w:rPr>
          <w:rFonts w:eastAsia="Arial" w:cs="Arial" w:ascii="Arial" w:hAnsi="Arial"/>
          <w:color w:val="00000A"/>
          <w:sz w:val="20"/>
          <w:szCs w:val="20"/>
        </w:rPr>
        <w:t>) also detected a strong pref-erential NW-SE directional distribution. Similar elongated lag deposits are typically associated with water-flows dragging material in one direction (</w:t>
      </w:r>
      <w:hyperlink w:anchor="page39">
        <w:r>
          <w:rPr>
            <w:rStyle w:val="InternetLink"/>
            <w:rFonts w:eastAsia="Arial" w:cs="Arial" w:ascii="Arial" w:hAnsi="Arial"/>
            <w:color w:val="0000FF"/>
            <w:sz w:val="20"/>
            <w:szCs w:val="20"/>
          </w:rPr>
          <w:t>Domínguez-Rodrigo</w:t>
        </w:r>
      </w:hyperlink>
      <w:r>
        <w:rPr>
          <w:rFonts w:eastAsia="Arial" w:cs="Arial" w:ascii="Arial" w:hAnsi="Arial"/>
          <w:color w:val="00000A"/>
          <w:sz w:val="20"/>
          <w:szCs w:val="20"/>
        </w:rPr>
        <w:t xml:space="preserve"> </w:t>
      </w:r>
      <w:hyperlink w:anchor="page39">
        <w:r>
          <w:rPr>
            <w:rStyle w:val="InternetLink"/>
            <w:rFonts w:eastAsia="Arial" w:cs="Arial" w:ascii="Arial" w:hAnsi="Arial"/>
            <w:color w:val="0000FF"/>
            <w:sz w:val="20"/>
            <w:szCs w:val="20"/>
          </w:rPr>
          <w:t>et al.</w:t>
        </w:r>
      </w:hyperlink>
      <w:r>
        <w:rPr>
          <w:rFonts w:eastAsia="Arial" w:cs="Arial" w:ascii="Arial" w:hAnsi="Arial"/>
          <w:color w:val="000000"/>
          <w:sz w:val="20"/>
          <w:szCs w:val="20"/>
        </w:rPr>
        <w:t>,</w:t>
      </w:r>
      <w:r>
        <w:rPr>
          <w:rFonts w:eastAsia="Arial" w:cs="Arial" w:ascii="Arial" w:hAnsi="Arial"/>
          <w:color w:val="0000FF"/>
          <w:sz w:val="20"/>
          <w:szCs w:val="20"/>
        </w:rPr>
        <w:t xml:space="preserve"> </w:t>
      </w:r>
      <w:hyperlink w:anchor="page39">
        <w:r>
          <w:rPr>
            <w:rStyle w:val="InternetLink"/>
            <w:rFonts w:eastAsia="Arial" w:cs="Arial" w:ascii="Arial" w:hAnsi="Arial"/>
            <w:color w:val="0000FF"/>
            <w:sz w:val="20"/>
            <w:szCs w:val="20"/>
          </w:rPr>
          <w:t>2012</w:t>
        </w:r>
      </w:hyperlink>
      <w:r>
        <w:rPr>
          <w:rFonts w:eastAsia="Arial" w:cs="Arial" w:ascii="Arial" w:hAnsi="Arial"/>
          <w:color w:val="000000"/>
          <w:sz w:val="20"/>
          <w:szCs w:val="20"/>
        </w:rPr>
        <w:t>).</w:t>
      </w:r>
    </w:p>
    <w:p>
      <w:pPr>
        <w:pStyle w:val="Normal"/>
        <w:spacing w:lineRule="exact" w:line="2"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439" w:before="0" w:after="0"/>
        <w:ind w:left="1240" w:right="1260" w:firstLine="299"/>
        <w:jc w:val="both"/>
        <w:rPr/>
      </w:pPr>
      <w:r>
        <w:rPr>
          <w:rFonts w:eastAsia="Arial" w:cs="Arial" w:ascii="Arial" w:hAnsi="Arial"/>
          <w:color w:val="00000A"/>
          <w:sz w:val="17"/>
          <w:szCs w:val="17"/>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hyperlink w:anchor="page26">
        <w:r>
          <w:rPr>
            <w:rStyle w:val="InternetLink"/>
            <w:rFonts w:eastAsia="Arial" w:cs="Arial" w:ascii="Arial" w:hAnsi="Arial"/>
            <w:color w:val="0000FF"/>
            <w:sz w:val="17"/>
            <w:szCs w:val="17"/>
          </w:rPr>
          <w:t>9</w:t>
        </w:r>
      </w:hyperlink>
      <w:r>
        <w:rPr>
          <w:rFonts w:eastAsia="Arial" w:cs="Arial" w:ascii="Arial" w:hAnsi="Arial"/>
          <w:color w:val="00000A"/>
          <w:sz w:val="17"/>
          <w:szCs w:val="17"/>
        </w:rPr>
        <w:t>). Since K1 (i.e., the axis of maximum anisotropy) should reflect the bulk orientation of the elongated axis of the ferro/paramagnetic sedimentary particles, it might be concluded that AMS hints at a NW-SE oriented anisotropy.</w:t>
      </w:r>
    </w:p>
    <w:p>
      <w:pPr>
        <w:pStyle w:val="Normal"/>
        <w:spacing w:lineRule="exact" w:line="2" w:before="0" w:after="0"/>
        <w:rPr>
          <w:rFonts w:ascii="Arial" w:hAnsi="Arial" w:eastAsia="Arial" w:cs="Arial"/>
          <w:color w:val="00000A"/>
          <w:sz w:val="20"/>
          <w:szCs w:val="20"/>
        </w:rPr>
      </w:pPr>
      <w:r>
        <w:rPr>
          <w:rFonts w:eastAsia="Arial" w:cs="Arial" w:ascii="Arial" w:hAnsi="Arial"/>
          <w:color w:val="00000A"/>
          <w:sz w:val="20"/>
          <w:szCs w:val="20"/>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Normal"/>
        <w:spacing w:lineRule="auto" w:line="432" w:before="0" w:after="0"/>
        <w:ind w:left="1240" w:right="1260" w:firstLine="299"/>
        <w:jc w:val="both"/>
        <w:rPr/>
      </w:pPr>
      <w:r>
        <w:rPr>
          <w:rFonts w:eastAsia="Arial" w:cs="Arial" w:ascii="Arial" w:hAnsi="Arial"/>
          <w:color w:val="00000A"/>
          <w:sz w:val="17"/>
          <w:szCs w:val="17"/>
        </w:rPr>
        <w:t>Thus, the observed recursive multilevel anisotropy patterns most probably points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hyperlink w:anchor="page46">
        <w:r>
          <w:rPr>
            <w:rStyle w:val="InternetLink"/>
            <w:rFonts w:eastAsia="Arial" w:cs="Arial" w:ascii="Arial" w:hAnsi="Arial"/>
            <w:color w:val="0000FF"/>
            <w:sz w:val="17"/>
            <w:szCs w:val="17"/>
          </w:rPr>
          <w:t>Voorhies</w:t>
        </w:r>
      </w:hyperlink>
      <w:r>
        <w:rPr>
          <w:rFonts w:eastAsia="Arial" w:cs="Arial" w:ascii="Arial" w:hAnsi="Arial"/>
          <w:color w:val="00000A"/>
          <w:sz w:val="17"/>
          <w:szCs w:val="17"/>
        </w:rPr>
        <w:t xml:space="preserve">, </w:t>
      </w:r>
      <w:hyperlink w:anchor="page46">
        <w:r>
          <w:rPr>
            <w:rStyle w:val="InternetLink"/>
            <w:rFonts w:eastAsia="Arial" w:cs="Arial" w:ascii="Arial" w:hAnsi="Arial"/>
            <w:color w:val="0000FF"/>
            <w:sz w:val="17"/>
            <w:szCs w:val="17"/>
          </w:rPr>
          <w:t>1969</w:t>
        </w:r>
      </w:hyperlink>
      <w:r>
        <w:rPr>
          <w:rFonts w:eastAsia="Arial" w:cs="Arial" w:ascii="Arial" w:hAnsi="Arial"/>
          <w:color w:val="00000A"/>
          <w:sz w:val="17"/>
          <w:szCs w:val="17"/>
        </w:rPr>
        <w:t>), noise in the main directional trend at assem-blage level may indicate multiple depositional processes, or secondary reworking post-depositional processes. Moreover, the relatively high average density of preserved ele-ments (24/m</w:t>
      </w:r>
      <w:r>
        <w:rPr>
          <w:rFonts w:eastAsia="Arial" w:cs="Arial" w:ascii="Arial" w:hAnsi="Arial"/>
          <w:color w:val="00000A"/>
          <w:sz w:val="23"/>
          <w:szCs w:val="23"/>
          <w:vertAlign w:val="superscript"/>
        </w:rPr>
        <w:t>2</w:t>
      </w:r>
      <w:r>
        <w:rPr>
          <w:rFonts w:eastAsia="Arial" w:cs="Arial" w:ascii="Arial" w:hAnsi="Arial"/>
          <w:color w:val="00000A"/>
          <w:sz w:val="17"/>
          <w:szCs w:val="17"/>
        </w:rPr>
        <w:t xml:space="preserve">) occur in small, well defined clusters (Figs. </w:t>
      </w:r>
      <w:hyperlink w:anchor="page6">
        <w:r>
          <w:rPr>
            <w:rStyle w:val="InternetLink"/>
            <w:rFonts w:eastAsia="Arial" w:cs="Arial" w:ascii="Arial" w:hAnsi="Arial"/>
            <w:color w:val="0000FF"/>
            <w:sz w:val="17"/>
            <w:szCs w:val="17"/>
          </w:rPr>
          <w:t>2</w:t>
        </w:r>
      </w:hyperlink>
      <w:r>
        <w:rPr>
          <w:rFonts w:eastAsia="Arial" w:cs="Arial" w:ascii="Arial" w:hAnsi="Arial"/>
          <w:color w:val="00000A"/>
          <w:sz w:val="17"/>
          <w:szCs w:val="17"/>
        </w:rPr>
        <w:t xml:space="preserve">f,e, </w:t>
      </w:r>
      <w:hyperlink w:anchor="page9">
        <w:r>
          <w:rPr>
            <w:rStyle w:val="InternetLink"/>
            <w:rFonts w:eastAsia="Arial" w:cs="Arial" w:ascii="Arial" w:hAnsi="Arial"/>
            <w:color w:val="0000FF"/>
            <w:sz w:val="17"/>
            <w:szCs w:val="17"/>
          </w:rPr>
          <w:t>4</w:t>
        </w:r>
        <w:r>
          <w:rPr>
            <w:rStyle w:val="InternetLink"/>
            <w:rFonts w:eastAsia="Arial" w:cs="Arial" w:ascii="Arial" w:hAnsi="Arial"/>
            <w:color w:val="00000A"/>
            <w:sz w:val="17"/>
            <w:szCs w:val="17"/>
          </w:rPr>
          <w:t xml:space="preserve"> </w:t>
        </w:r>
      </w:hyperlink>
      <w:r>
        <w:rPr>
          <w:rFonts w:eastAsia="Arial" w:cs="Arial" w:ascii="Arial" w:hAnsi="Arial"/>
          <w:color w:val="00000A"/>
          <w:sz w:val="17"/>
          <w:szCs w:val="17"/>
        </w:rPr>
        <w:t xml:space="preserve">and </w:t>
      </w:r>
      <w:hyperlink w:anchor="page22">
        <w:r>
          <w:rPr>
            <w:rStyle w:val="InternetLink"/>
            <w:rFonts w:eastAsia="Arial" w:cs="Arial" w:ascii="Arial" w:hAnsi="Arial"/>
            <w:color w:val="0000FF"/>
            <w:sz w:val="17"/>
            <w:szCs w:val="17"/>
          </w:rPr>
          <w:t>6</w:t>
        </w:r>
      </w:hyperlink>
      <w:r>
        <w:rPr>
          <w:rFonts w:eastAsia="Arial" w:cs="Arial" w:ascii="Arial" w:hAnsi="Arial"/>
          <w:color w:val="00000A"/>
          <w:sz w:val="17"/>
          <w:szCs w:val="17"/>
        </w:rPr>
        <w:t>a). Such spatial aggregation of taphonomic elements may be the result of a combination or the sum of di erent taphonomic processes (</w:t>
      </w:r>
      <w:hyperlink w:anchor="page41">
        <w:r>
          <w:rPr>
            <w:rStyle w:val="InternetLink"/>
            <w:rFonts w:eastAsia="Arial" w:cs="Arial" w:ascii="Arial" w:hAnsi="Arial"/>
            <w:color w:val="0000FF"/>
            <w:sz w:val="17"/>
            <w:szCs w:val="17"/>
          </w:rPr>
          <w:t>Fernández-López et al.</w:t>
        </w:r>
      </w:hyperlink>
      <w:r>
        <w:rPr>
          <w:rFonts w:eastAsia="Arial" w:cs="Arial" w:ascii="Arial" w:hAnsi="Arial"/>
          <w:color w:val="00000A"/>
          <w:sz w:val="17"/>
          <w:szCs w:val="17"/>
        </w:rPr>
        <w:t xml:space="preserve">, </w:t>
      </w:r>
      <w:hyperlink w:anchor="page41">
        <w:r>
          <w:rPr>
            <w:rStyle w:val="InternetLink"/>
            <w:rFonts w:eastAsia="Arial" w:cs="Arial" w:ascii="Arial" w:hAnsi="Arial"/>
            <w:color w:val="0000FF"/>
            <w:sz w:val="17"/>
            <w:szCs w:val="17"/>
          </w:rPr>
          <w:t>2002</w:t>
        </w:r>
      </w:hyperlink>
      <w:r>
        <w:rPr>
          <w:rFonts w:eastAsia="Arial" w:cs="Arial" w:ascii="Arial" w:hAnsi="Arial"/>
          <w:color w:val="00000A"/>
          <w:sz w:val="17"/>
          <w:szCs w:val="17"/>
        </w:rPr>
        <w:t>). On the other hand, the formation of gaps in the spatial distribution and clusters of elements in correspondence with topographic depression may as well be associated with lag deposits (</w:t>
      </w:r>
      <w:hyperlink w:anchor="page45">
        <w:r>
          <w:rPr>
            <w:rStyle w:val="InternetLink"/>
            <w:rFonts w:eastAsia="Arial" w:cs="Arial" w:ascii="Arial" w:hAnsi="Arial"/>
            <w:color w:val="0000FF"/>
            <w:sz w:val="17"/>
            <w:szCs w:val="17"/>
          </w:rPr>
          <w:t>Petraglia and</w:t>
        </w:r>
      </w:hyperlink>
      <w:r>
        <w:rPr>
          <w:rFonts w:eastAsia="Arial" w:cs="Arial" w:ascii="Arial" w:hAnsi="Arial"/>
          <w:color w:val="00000A"/>
          <w:sz w:val="17"/>
          <w:szCs w:val="17"/>
        </w:rPr>
        <w:t xml:space="preserve"> </w:t>
      </w:r>
      <w:hyperlink w:anchor="page45">
        <w:r>
          <w:rPr>
            <w:rStyle w:val="InternetLink"/>
            <w:rFonts w:eastAsia="Arial" w:cs="Arial" w:ascii="Arial" w:hAnsi="Arial"/>
            <w:color w:val="0000FF"/>
            <w:sz w:val="17"/>
            <w:szCs w:val="17"/>
          </w:rPr>
          <w:t>Potts</w:t>
        </w:r>
      </w:hyperlink>
      <w:r>
        <w:rPr>
          <w:rFonts w:eastAsia="Arial" w:cs="Arial" w:ascii="Arial" w:hAnsi="Arial"/>
          <w:color w:val="000000"/>
          <w:sz w:val="17"/>
          <w:szCs w:val="17"/>
        </w:rPr>
        <w:t>,</w:t>
      </w:r>
      <w:r>
        <w:rPr>
          <w:rFonts w:eastAsia="Arial" w:cs="Arial" w:ascii="Arial" w:hAnsi="Arial"/>
          <w:color w:val="0000FF"/>
          <w:sz w:val="17"/>
          <w:szCs w:val="17"/>
        </w:rPr>
        <w:t xml:space="preserve"> </w:t>
      </w:r>
      <w:hyperlink w:anchor="page45">
        <w:r>
          <w:rPr>
            <w:rStyle w:val="InternetLink"/>
            <w:rFonts w:eastAsia="Arial" w:cs="Arial" w:ascii="Arial" w:hAnsi="Arial"/>
            <w:color w:val="0000FF"/>
            <w:sz w:val="17"/>
            <w:szCs w:val="17"/>
          </w:rPr>
          <w:t>1994</w:t>
        </w:r>
      </w:hyperlink>
      <w:r>
        <w:rPr>
          <w:rFonts w:eastAsia="Arial" w:cs="Arial" w:ascii="Arial" w:hAnsi="Arial"/>
          <w:color w:val="000000"/>
          <w:sz w:val="17"/>
          <w:szCs w:val="17"/>
        </w:rPr>
        <w:t>). This is likely to happen on top of rippled surfaces or small dunes in the</w:t>
      </w:r>
      <w:r>
        <w:rPr>
          <w:rFonts w:eastAsia="Arial" w:cs="Arial" w:ascii="Arial" w:hAnsi="Arial"/>
          <w:color w:val="0000FF"/>
          <w:sz w:val="17"/>
          <w:szCs w:val="17"/>
        </w:rPr>
        <w:t xml:space="preserve"> </w:t>
      </w:r>
      <w:bookmarkStart w:id="2" w:name="page34"/>
      <w:bookmarkEnd w:id="2"/>
      <w:r>
        <w:rPr>
          <w:rFonts w:eastAsia="Arial" w:cs="Arial" w:ascii="Arial" w:hAnsi="Arial"/>
          <w:color w:val="000000"/>
          <w:sz w:val="17"/>
          <w:szCs w:val="17"/>
        </w:rPr>
        <w:t>channel-belt. However, there is no evidence of such structure at TSR.</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2"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5.2. Di erential preservation</w:t>
      </w:r>
    </w:p>
    <w:p>
      <w:pPr>
        <w:pStyle w:val="Normal"/>
        <w:spacing w:lineRule="exact" w:line="129" w:before="0" w:after="0"/>
        <w:rPr>
          <w:color w:val="00000A"/>
          <w:sz w:val="20"/>
          <w:szCs w:val="20"/>
        </w:rPr>
      </w:pPr>
      <w:r>
        <w:rPr>
          <w:color w:val="00000A"/>
          <w:sz w:val="20"/>
          <w:szCs w:val="20"/>
        </w:rPr>
      </w:r>
    </w:p>
    <w:p>
      <w:pPr>
        <w:pStyle w:val="Normal"/>
        <w:spacing w:lineRule="auto" w:line="391" w:before="0" w:after="0"/>
        <w:ind w:left="1240" w:right="1260" w:firstLine="299"/>
        <w:jc w:val="both"/>
        <w:rPr/>
      </w:pPr>
      <w:r>
        <w:rPr>
          <w:rFonts w:eastAsia="Arial" w:cs="Arial" w:ascii="Arial" w:hAnsi="Arial"/>
          <w:color w:val="00000A"/>
          <w:sz w:val="19"/>
          <w:szCs w:val="19"/>
        </w:rPr>
        <w:t>According to the evolutionary and systemic theory of taphonomy, taphonomic al-teration is not only conceived as a destructive process, but it also has positive e ects with the preservation and creation of new taphonomic groups. In this sense, the dif-ferential destruction (or taphonomic sieve) of taphonomic entities is just a particular case of taphonomic alteration, as it is the di erential modification that gives rise to selective preservation (</w:t>
      </w:r>
      <w:hyperlink w:anchor="page41">
        <w:r>
          <w:rPr>
            <w:rStyle w:val="InternetLink"/>
            <w:rFonts w:eastAsia="Arial" w:cs="Arial" w:ascii="Arial" w:hAnsi="Arial"/>
            <w:color w:val="0000FF"/>
            <w:sz w:val="19"/>
            <w:szCs w:val="19"/>
          </w:rPr>
          <w:t>Fernández-López</w:t>
        </w:r>
      </w:hyperlink>
      <w:r>
        <w:rPr>
          <w:rFonts w:eastAsia="Arial" w:cs="Arial" w:ascii="Arial" w:hAnsi="Arial"/>
          <w:color w:val="00000A"/>
          <w:sz w:val="19"/>
          <w:szCs w:val="19"/>
        </w:rPr>
        <w:t xml:space="preserve">, </w:t>
      </w:r>
      <w:hyperlink w:anchor="page41">
        <w:r>
          <w:rPr>
            <w:rStyle w:val="InternetLink"/>
            <w:rFonts w:eastAsia="Arial" w:cs="Arial" w:ascii="Arial" w:hAnsi="Arial"/>
            <w:color w:val="0000FF"/>
            <w:sz w:val="19"/>
            <w:szCs w:val="19"/>
          </w:rPr>
          <w:t>2006</w:t>
        </w:r>
      </w:hyperlink>
      <w:r>
        <w:rPr>
          <w:rFonts w:eastAsia="Arial" w:cs="Arial" w:ascii="Arial" w:hAnsi="Arial"/>
          <w:color w:val="00000A"/>
          <w:sz w:val="19"/>
          <w:szCs w:val="19"/>
        </w:rPr>
        <w:t>). Intrinsic and extrinsic taphonomic factors determine the di erential preservation of taphonomic entities. In this study we integrated our spatial taphonomic approach with a preliminary study of the di erential preservation of fossil elements.</w:t>
      </w:r>
    </w:p>
    <w:p>
      <w:pPr>
        <w:pStyle w:val="Normal"/>
        <w:spacing w:lineRule="exact" w:line="8" w:before="0" w:after="0"/>
        <w:rPr>
          <w:color w:val="00000A"/>
          <w:sz w:val="20"/>
          <w:szCs w:val="20"/>
        </w:rPr>
      </w:pPr>
      <w:r>
        <w:rPr>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 xml:space="preserve">In the BM4 class of mammals, the relatively high abundance of skeletal elements belonging to the Voorhies Groups I/II, II and II/III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b) suggests minor winnow-ing of the assemblage, with preservation of the densest elements that are above the threshold of transportability (</w:t>
      </w:r>
      <w:hyperlink w:anchor="page38">
        <w:r>
          <w:rPr>
            <w:rStyle w:val="InternetLink"/>
            <w:rFonts w:eastAsia="Arial" w:cs="Arial" w:ascii="Arial" w:hAnsi="Arial"/>
            <w:color w:val="0000FF"/>
            <w:sz w:val="18"/>
            <w:szCs w:val="18"/>
          </w:rPr>
          <w:t>Behrensmeyer</w:t>
        </w:r>
      </w:hyperlink>
      <w:r>
        <w:rPr>
          <w:rFonts w:eastAsia="Arial" w:cs="Arial" w:ascii="Arial" w:hAnsi="Arial"/>
          <w:color w:val="00000A"/>
          <w:sz w:val="18"/>
          <w:szCs w:val="18"/>
        </w:rPr>
        <w:t xml:space="preserve">, </w:t>
      </w:r>
      <w:hyperlink w:anchor="page38">
        <w:r>
          <w:rPr>
            <w:rStyle w:val="InternetLink"/>
            <w:rFonts w:eastAsia="Arial" w:cs="Arial" w:ascii="Arial" w:hAnsi="Arial"/>
            <w:color w:val="0000FF"/>
            <w:sz w:val="18"/>
            <w:szCs w:val="18"/>
          </w:rPr>
          <w:t>1988</w:t>
        </w:r>
      </w:hyperlink>
      <w:r>
        <w:rPr>
          <w:rFonts w:eastAsia="Arial" w:cs="Arial" w:ascii="Arial" w:hAnsi="Arial"/>
          <w:color w:val="00000A"/>
          <w:sz w:val="18"/>
          <w:szCs w:val="18"/>
        </w:rPr>
        <w:t>). Indeed, skeletal elements in the Voorhies Group I (ribs, vertebrae, sacrum, sternum) tend to be transported more easily by saltation or flotation in relatively low-energy currents (</w:t>
      </w:r>
      <w:hyperlink w:anchor="page46">
        <w:r>
          <w:rPr>
            <w:rStyle w:val="InternetLink"/>
            <w:rFonts w:eastAsia="Arial" w:cs="Arial" w:ascii="Arial" w:hAnsi="Arial"/>
            <w:color w:val="0000FF"/>
            <w:sz w:val="18"/>
            <w:szCs w:val="18"/>
          </w:rPr>
          <w:t>Voorhies</w:t>
        </w:r>
      </w:hyperlink>
      <w:r>
        <w:rPr>
          <w:rFonts w:eastAsia="Arial" w:cs="Arial" w:ascii="Arial" w:hAnsi="Arial"/>
          <w:color w:val="00000A"/>
          <w:sz w:val="18"/>
          <w:szCs w:val="18"/>
        </w:rPr>
        <w:t xml:space="preserve">, </w:t>
      </w:r>
      <w:hyperlink w:anchor="page46">
        <w:r>
          <w:rPr>
            <w:rStyle w:val="InternetLink"/>
            <w:rFonts w:eastAsia="Arial" w:cs="Arial" w:ascii="Arial" w:hAnsi="Arial"/>
            <w:color w:val="0000FF"/>
            <w:sz w:val="18"/>
            <w:szCs w:val="18"/>
          </w:rPr>
          <w:t>1969</w:t>
        </w:r>
      </w:hyperlink>
      <w:r>
        <w:rPr>
          <w:rFonts w:eastAsia="Arial" w:cs="Arial" w:ascii="Arial" w:hAnsi="Arial"/>
          <w:color w:val="00000A"/>
          <w:sz w:val="18"/>
          <w:szCs w:val="18"/>
        </w:rPr>
        <w:t xml:space="preserve">). The under-representation of the Voorhies Group III (crania and complete mandibles) in the BM4 class is balanced by the high occurrence of cranial elements in the Group II/III (rami of mandibles and maxilla fragments). Thus, the distribution in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b suggests, more than the taphonomic sieve of the Voorhies Group III, a higher fragmentation rate of cranial elements in the BM4 class of mammals (Equus, Bison, Praemegaceros). On the other hand, the Voorhies Group III is better represented in the BM classes 2 and 3, which include smaller mammals, i.e., C. etruscus, U. etruscus and medium-sized cervids. The presence of better preserved carnivore cranial elements, as well as the presence of a partial articulated skeleton of a wolf-sized carnivore, would suggest an autochthonous or para-autochthonous assemblage (</w:t>
      </w:r>
      <w:hyperlink w:anchor="page38">
        <w:r>
          <w:rPr>
            <w:rStyle w:val="InternetLink"/>
            <w:rFonts w:eastAsia="Arial" w:cs="Arial" w:ascii="Arial" w:hAnsi="Arial"/>
            <w:color w:val="0000FF"/>
            <w:sz w:val="18"/>
            <w:szCs w:val="18"/>
          </w:rPr>
          <w:t>Behrensmeyer</w:t>
        </w:r>
      </w:hyperlink>
      <w:r>
        <w:rPr>
          <w:rFonts w:eastAsia="Arial" w:cs="Arial" w:ascii="Arial" w:hAnsi="Arial"/>
          <w:color w:val="00000A"/>
          <w:sz w:val="18"/>
          <w:szCs w:val="18"/>
        </w:rPr>
        <w:t xml:space="preserve">, </w:t>
      </w:r>
      <w:hyperlink w:anchor="page38">
        <w:r>
          <w:rPr>
            <w:rStyle w:val="InternetLink"/>
            <w:rFonts w:eastAsia="Arial" w:cs="Arial" w:ascii="Arial" w:hAnsi="Arial"/>
            <w:color w:val="0000FF"/>
            <w:sz w:val="18"/>
            <w:szCs w:val="18"/>
          </w:rPr>
          <w:t>1988</w:t>
        </w:r>
      </w:hyperlink>
      <w:r>
        <w:rPr>
          <w:rFonts w:eastAsia="Arial" w:cs="Arial" w:ascii="Arial" w:hAnsi="Arial"/>
          <w:color w:val="00000A"/>
          <w:sz w:val="18"/>
          <w:szCs w:val="18"/>
        </w:rPr>
        <w:t>).</w:t>
      </w:r>
    </w:p>
    <w:p>
      <w:pPr>
        <w:pStyle w:val="Normal"/>
        <w:spacing w:lineRule="exact" w:line="12" w:before="0" w:after="0"/>
        <w:rPr>
          <w:rFonts w:ascii="Arial" w:hAnsi="Arial" w:eastAsia="Arial" w:cs="Arial"/>
          <w:color w:val="00000A"/>
          <w:sz w:val="18"/>
          <w:szCs w:val="18"/>
        </w:rPr>
      </w:pPr>
      <w:r>
        <w:rPr>
          <w:rFonts w:eastAsia="Arial" w:cs="Arial" w:ascii="Arial" w:hAnsi="Arial"/>
          <w:color w:val="00000A"/>
          <w:sz w:val="18"/>
          <w:szCs w:val="18"/>
        </w:rPr>
      </w:r>
    </w:p>
    <w:p>
      <w:pPr>
        <w:pStyle w:val="Normal"/>
        <w:spacing w:lineRule="auto" w:line="451" w:before="0" w:after="0"/>
        <w:ind w:left="1240" w:right="1260" w:firstLine="299"/>
        <w:jc w:val="both"/>
        <w:rPr/>
      </w:pPr>
      <w:r>
        <w:rPr>
          <w:rFonts w:eastAsia="Arial" w:cs="Arial" w:ascii="Arial" w:hAnsi="Arial"/>
          <w:color w:val="00000A"/>
          <w:sz w:val="17"/>
          <w:szCs w:val="17"/>
        </w:rPr>
        <w:t>Although excluded from the Voorhies Group analysis, it is worth noting the pres-ence of several mostly complete skeletal elements of Elephantidae (e.g., ribs, scapula, humerus and several articulated carpals, metacarpals and phalanges) with di erent FTI values, comparable to elements of the Voorhies Group II and III (</w:t>
      </w:r>
      <w:hyperlink w:anchor="page41">
        <w:r>
          <w:rPr>
            <w:rStyle w:val="InternetLink"/>
            <w:rFonts w:eastAsia="Arial" w:cs="Arial" w:ascii="Arial" w:hAnsi="Arial"/>
            <w:color w:val="0000FF"/>
            <w:sz w:val="17"/>
            <w:szCs w:val="17"/>
          </w:rPr>
          <w:t>Frison and Todd</w:t>
        </w:r>
      </w:hyperlink>
      <w:r>
        <w:rPr>
          <w:rFonts w:eastAsia="Arial" w:cs="Arial" w:ascii="Arial" w:hAnsi="Arial"/>
          <w:color w:val="00000A"/>
          <w:sz w:val="17"/>
          <w:szCs w:val="17"/>
        </w:rPr>
        <w:t xml:space="preserve">, </w:t>
      </w:r>
      <w:hyperlink w:anchor="page41">
        <w:r>
          <w:rPr>
            <w:rStyle w:val="InternetLink"/>
            <w:rFonts w:eastAsia="Arial" w:cs="Arial" w:ascii="Arial" w:hAnsi="Arial"/>
            <w:color w:val="0000FF"/>
            <w:sz w:val="17"/>
            <w:szCs w:val="17"/>
          </w:rPr>
          <w:t>1986</w:t>
        </w:r>
      </w:hyperlink>
      <w:r>
        <w:rPr>
          <w:rFonts w:eastAsia="Arial" w:cs="Arial" w:ascii="Arial" w:hAnsi="Arial"/>
          <w:color w:val="000000"/>
          <w:sz w:val="17"/>
          <w:szCs w:val="17"/>
        </w:rPr>
        <w:t xml:space="preserve">). Their distribution suggests that the assemblage was winnowed of the elements </w:t>
      </w:r>
      <w:r>
        <w:rPr>
          <w:rFonts w:eastAsia="Arial" w:cs="Arial" w:ascii="Arial" w:hAnsi="Arial"/>
          <w:color w:val="00000A"/>
          <w:sz w:val="20"/>
          <w:szCs w:val="20"/>
        </w:rPr>
        <w:t>with highest FTI, which are comparable to elements of the Voorhies Group I. This is also the case for the other excluded megaherbivore, the rhinocerotid Stephanorhinus, which is represented by several teeth and limb bones.</w:t>
      </w:r>
    </w:p>
    <w:p>
      <w:pPr>
        <w:pStyle w:val="Normal"/>
        <w:spacing w:lineRule="exact" w:line="1" w:before="0" w:after="0"/>
        <w:rPr>
          <w:color w:val="00000A"/>
          <w:sz w:val="20"/>
          <w:szCs w:val="20"/>
        </w:rPr>
      </w:pPr>
      <w:r>
        <w:rPr>
          <w:color w:val="00000A"/>
          <w:sz w:val="20"/>
          <w:szCs w:val="20"/>
        </w:rPr>
      </w:r>
    </w:p>
    <w:p>
      <w:pPr>
        <w:pStyle w:val="Normal"/>
        <w:spacing w:lineRule="auto" w:line="374" w:before="0" w:after="0"/>
        <w:ind w:left="1240" w:right="1260" w:firstLine="299"/>
        <w:jc w:val="both"/>
        <w:rPr/>
      </w:pPr>
      <w:r>
        <w:rPr>
          <w:rFonts w:eastAsia="Arial" w:cs="Arial" w:ascii="Arial" w:hAnsi="Arial"/>
          <w:color w:val="00000A"/>
          <w:sz w:val="20"/>
          <w:szCs w:val="20"/>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hyperlink w:anchor="page28">
        <w:r>
          <w:rPr>
            <w:rStyle w:val="InternetLink"/>
            <w:rFonts w:eastAsia="Arial" w:cs="Arial" w:ascii="Arial" w:hAnsi="Arial"/>
            <w:color w:val="0000FF"/>
            <w:sz w:val="20"/>
            <w:szCs w:val="20"/>
          </w:rPr>
          <w:t>10</w:t>
        </w:r>
      </w:hyperlink>
      <w:r>
        <w:rPr>
          <w:rFonts w:eastAsia="Arial" w:cs="Arial" w:ascii="Arial" w:hAnsi="Arial"/>
          <w:color w:val="00000A"/>
          <w:sz w:val="20"/>
          <w:szCs w:val="20"/>
        </w:rPr>
        <w:t>c) supports also some degree of sorting (taphonomic sieve) of the smallest, cancellous fragments. Segregation of axial elements from epiphyses and shafts has been observed even in low-energy fluvial environments (</w:t>
      </w:r>
      <w:hyperlink w:anchor="page40">
        <w:r>
          <w:rPr>
            <w:rStyle w:val="InternetLink"/>
            <w:rFonts w:eastAsia="Arial" w:cs="Arial" w:ascii="Arial" w:hAnsi="Arial"/>
            <w:color w:val="0000FF"/>
            <w:sz w:val="20"/>
            <w:szCs w:val="20"/>
          </w:rPr>
          <w:t>Domínguez-Rodrigo et al.</w:t>
        </w:r>
      </w:hyperlink>
      <w:r>
        <w:rPr>
          <w:rFonts w:eastAsia="Arial" w:cs="Arial" w:ascii="Arial" w:hAnsi="Arial"/>
          <w:color w:val="00000A"/>
          <w:sz w:val="20"/>
          <w:szCs w:val="20"/>
        </w:rPr>
        <w:t xml:space="preserve">, </w:t>
      </w:r>
      <w:hyperlink w:anchor="page40">
        <w:r>
          <w:rPr>
            <w:rStyle w:val="InternetLink"/>
            <w:rFonts w:eastAsia="Arial" w:cs="Arial" w:ascii="Arial" w:hAnsi="Arial"/>
            <w:color w:val="0000FF"/>
            <w:sz w:val="20"/>
            <w:szCs w:val="20"/>
          </w:rPr>
          <w:t>2017</w:t>
        </w:r>
      </w:hyperlink>
      <w:r>
        <w:rPr>
          <w:rFonts w:eastAsia="Arial" w:cs="Arial" w:ascii="Arial" w:hAnsi="Arial"/>
          <w:color w:val="000000"/>
          <w:sz w:val="20"/>
          <w:szCs w:val="20"/>
        </w:rPr>
        <w:t>).</w:t>
      </w:r>
    </w:p>
    <w:p>
      <w:pPr>
        <w:pStyle w:val="Normal"/>
        <w:spacing w:lineRule="exact" w:line="2" w:before="0" w:after="0"/>
        <w:rPr>
          <w:rFonts w:ascii="Arial" w:hAnsi="Arial" w:eastAsia="Arial" w:cs="Arial"/>
          <w:color w:val="00000A"/>
          <w:sz w:val="20"/>
          <w:szCs w:val="20"/>
        </w:rPr>
      </w:pPr>
      <w:r>
        <w:rPr>
          <w:rFonts w:eastAsia="Arial" w:cs="Arial" w:ascii="Arial" w:hAnsi="Arial"/>
          <w:color w:val="00000A"/>
          <w:sz w:val="20"/>
          <w:szCs w:val="20"/>
        </w:rPr>
      </w:r>
    </w:p>
    <w:p>
      <w:pPr>
        <w:pStyle w:val="Normal"/>
        <w:spacing w:lineRule="auto" w:line="415" w:before="0" w:after="0"/>
        <w:ind w:left="1240" w:right="1260" w:firstLine="299"/>
        <w:jc w:val="both"/>
        <w:rPr/>
      </w:pPr>
      <w:r>
        <w:rPr>
          <w:rFonts w:eastAsia="Arial" w:cs="Arial" w:ascii="Arial" w:hAnsi="Arial"/>
          <w:color w:val="00000A"/>
          <w:sz w:val="18"/>
          <w:szCs w:val="18"/>
        </w:rPr>
        <w:t>On the other hand, as noted earlier, the conspicuous presence of articulated spec-imens in the TSR fossil assemblage does not necessarily suggest an autochthonous deposition, since articulated bones may as well show a great hydraulic transport po-tential (</w:t>
      </w:r>
      <w:hyperlink w:anchor="page38">
        <w:r>
          <w:rPr>
            <w:rStyle w:val="InternetLink"/>
            <w:rFonts w:eastAsia="Arial" w:cs="Arial" w:ascii="Arial" w:hAnsi="Arial"/>
            <w:color w:val="0000FF"/>
            <w:sz w:val="18"/>
            <w:szCs w:val="18"/>
          </w:rPr>
          <w:t>Coard</w:t>
        </w:r>
      </w:hyperlink>
      <w:r>
        <w:rPr>
          <w:rFonts w:eastAsia="Arial" w:cs="Arial" w:ascii="Arial" w:hAnsi="Arial"/>
          <w:color w:val="00000A"/>
          <w:sz w:val="18"/>
          <w:szCs w:val="18"/>
        </w:rPr>
        <w:t xml:space="preserve">, </w:t>
      </w:r>
      <w:hyperlink w:anchor="page38">
        <w:r>
          <w:rPr>
            <w:rStyle w:val="InternetLink"/>
            <w:rFonts w:eastAsia="Arial" w:cs="Arial" w:ascii="Arial" w:hAnsi="Arial"/>
            <w:color w:val="0000FF"/>
            <w:sz w:val="18"/>
            <w:szCs w:val="18"/>
          </w:rPr>
          <w:t>1999</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Coard and Dennell</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1995</w:t>
        </w:r>
      </w:hyperlink>
      <w:r>
        <w:rPr>
          <w:rFonts w:eastAsia="Arial" w:cs="Arial" w:ascii="Arial" w:hAnsi="Arial"/>
          <w:color w:val="00000A"/>
          <w:sz w:val="18"/>
          <w:szCs w:val="18"/>
        </w:rPr>
        <w:t xml:space="preserve">). Nevertheless, it is worth noting that the distribution of articulated units at TSR shows a significant presence of appendicu-lar elements over axial ones (Fig. </w:t>
      </w:r>
      <w:hyperlink w:anchor="page28">
        <w:r>
          <w:rPr>
            <w:rStyle w:val="InternetLink"/>
            <w:rFonts w:eastAsia="Arial" w:cs="Arial" w:ascii="Arial" w:hAnsi="Arial"/>
            <w:color w:val="0000FF"/>
            <w:sz w:val="18"/>
            <w:szCs w:val="18"/>
          </w:rPr>
          <w:t>10</w:t>
        </w:r>
      </w:hyperlink>
      <w:r>
        <w:rPr>
          <w:rFonts w:eastAsia="Arial" w:cs="Arial" w:ascii="Arial" w:hAnsi="Arial"/>
          <w:color w:val="00000A"/>
          <w:sz w:val="18"/>
          <w:szCs w:val="18"/>
        </w:rPr>
        <w:t>d).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hyperlink w:anchor="page39">
        <w:r>
          <w:rPr>
            <w:rStyle w:val="InternetLink"/>
            <w:rFonts w:eastAsia="Arial" w:cs="Arial" w:ascii="Arial" w:hAnsi="Arial"/>
            <w:color w:val="0000FF"/>
            <w:sz w:val="18"/>
            <w:szCs w:val="18"/>
          </w:rPr>
          <w:t>Domínguez-Rodrigo et al.</w:t>
        </w:r>
      </w:hyperlink>
      <w:r>
        <w:rPr>
          <w:rFonts w:eastAsia="Arial" w:cs="Arial" w:ascii="Arial" w:hAnsi="Arial"/>
          <w:color w:val="00000A"/>
          <w:sz w:val="18"/>
          <w:szCs w:val="18"/>
        </w:rPr>
        <w:t xml:space="preserve">, </w:t>
      </w:r>
      <w:hyperlink w:anchor="page39">
        <w:r>
          <w:rPr>
            <w:rStyle w:val="InternetLink"/>
            <w:rFonts w:eastAsia="Arial" w:cs="Arial" w:ascii="Arial" w:hAnsi="Arial"/>
            <w:color w:val="0000FF"/>
            <w:sz w:val="18"/>
            <w:szCs w:val="18"/>
          </w:rPr>
          <w:t>2012</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Voorhies</w:t>
        </w:r>
      </w:hyperlink>
      <w:r>
        <w:rPr>
          <w:rFonts w:eastAsia="Arial" w:cs="Arial" w:ascii="Arial" w:hAnsi="Arial"/>
          <w:color w:val="000000"/>
          <w:sz w:val="18"/>
          <w:szCs w:val="18"/>
        </w:rPr>
        <w:t>,</w:t>
      </w:r>
      <w:r>
        <w:rPr>
          <w:rFonts w:eastAsia="Arial" w:cs="Arial" w:ascii="Arial" w:hAnsi="Arial"/>
          <w:color w:val="0000FF"/>
          <w:sz w:val="18"/>
          <w:szCs w:val="18"/>
        </w:rPr>
        <w:t xml:space="preserve"> </w:t>
      </w:r>
      <w:hyperlink w:anchor="page46">
        <w:r>
          <w:rPr>
            <w:rStyle w:val="InternetLink"/>
            <w:rFonts w:eastAsia="Arial" w:cs="Arial" w:ascii="Arial" w:hAnsi="Arial"/>
            <w:color w:val="0000FF"/>
            <w:sz w:val="18"/>
            <w:szCs w:val="18"/>
          </w:rPr>
          <w:t>1969</w:t>
        </w:r>
      </w:hyperlink>
      <w:r>
        <w:rPr>
          <w:rFonts w:eastAsia="Arial" w:cs="Arial" w:ascii="Arial" w:hAnsi="Arial"/>
          <w:color w:val="000000"/>
          <w:sz w:val="18"/>
          <w:szCs w:val="18"/>
        </w:rPr>
        <w:t xml:space="preserve">). Interestingly, a preliminary analysis of the bone breakage pat-terns suggests that carnivores had some active role in the modification and possibly in the accumulation of bones at TSR (Fig. </w:t>
      </w:r>
      <w:hyperlink w:anchor="page6">
        <w:r>
          <w:rPr>
            <w:rStyle w:val="InternetLink"/>
            <w:rFonts w:eastAsia="Arial" w:cs="Arial" w:ascii="Arial" w:hAnsi="Arial"/>
            <w:color w:val="0000FF"/>
            <w:sz w:val="18"/>
            <w:szCs w:val="18"/>
          </w:rPr>
          <w:t>2</w:t>
        </w:r>
      </w:hyperlink>
      <w:r>
        <w:rPr>
          <w:rFonts w:eastAsia="Arial" w:cs="Arial" w:ascii="Arial" w:hAnsi="Arial"/>
          <w:color w:val="000000"/>
          <w:sz w:val="18"/>
          <w:szCs w:val="18"/>
        </w:rPr>
        <w:t xml:space="preserve">e; </w:t>
      </w:r>
      <w:hyperlink w:anchor="page43">
        <w:r>
          <w:rPr>
            <w:rStyle w:val="InternetLink"/>
            <w:rFonts w:eastAsia="Arial" w:cs="Arial" w:ascii="Arial" w:hAnsi="Arial"/>
            <w:color w:val="0000FF"/>
            <w:sz w:val="18"/>
            <w:szCs w:val="18"/>
          </w:rPr>
          <w:t>Konidaris et al.</w:t>
        </w:r>
      </w:hyperlink>
      <w:r>
        <w:rPr>
          <w:rFonts w:eastAsia="Arial" w:cs="Arial" w:ascii="Arial" w:hAnsi="Arial"/>
          <w:color w:val="000000"/>
          <w:sz w:val="18"/>
          <w:szCs w:val="18"/>
        </w:rPr>
        <w:t xml:space="preserve">, </w:t>
      </w:r>
      <w:hyperlink w:anchor="page43">
        <w:r>
          <w:rPr>
            <w:rStyle w:val="InternetLink"/>
            <w:rFonts w:eastAsia="Arial" w:cs="Arial" w:ascii="Arial" w:hAnsi="Arial"/>
            <w:color w:val="0000FF"/>
            <w:sz w:val="18"/>
            <w:szCs w:val="18"/>
          </w:rPr>
          <w:t>2015</w:t>
        </w:r>
      </w:hyperlink>
      <w:r>
        <w:rPr>
          <w:rFonts w:eastAsia="Arial" w:cs="Arial" w:ascii="Arial" w:hAnsi="Arial"/>
          <w:color w:val="000000"/>
          <w:sz w:val="18"/>
          <w:szCs w:val="18"/>
        </w:rPr>
        <w:t>).</w:t>
      </w:r>
    </w:p>
    <w:p>
      <w:pPr>
        <w:pStyle w:val="Normal"/>
        <w:spacing w:lineRule="exact" w:line="10" w:before="0" w:after="0"/>
        <w:rPr>
          <w:rFonts w:ascii="Arial" w:hAnsi="Arial" w:eastAsia="Arial" w:cs="Arial"/>
          <w:color w:val="000000"/>
          <w:sz w:val="18"/>
          <w:szCs w:val="18"/>
        </w:rPr>
      </w:pPr>
      <w:r>
        <w:rPr>
          <w:rFonts w:eastAsia="Arial" w:cs="Arial" w:ascii="Arial" w:hAnsi="Arial"/>
          <w:color w:val="000000"/>
          <w:sz w:val="18"/>
          <w:szCs w:val="18"/>
        </w:rPr>
      </w:r>
    </w:p>
    <w:p>
      <w:pPr>
        <w:pStyle w:val="Normal"/>
        <w:spacing w:lineRule="auto" w:line="446" w:before="0" w:after="0"/>
        <w:ind w:left="1240" w:right="1260" w:firstLine="299"/>
        <w:jc w:val="both"/>
        <w:rPr/>
      </w:pPr>
      <w:r>
        <w:rPr>
          <w:rFonts w:eastAsia="Arial" w:cs="Arial" w:ascii="Arial" w:hAnsi="Arial"/>
          <w:color w:val="00000A"/>
          <w:sz w:val="17"/>
          <w:szCs w:val="17"/>
        </w:rPr>
        <w:t>In conclusion, considering the results of our spatial taphonomic analysis, pro-cesses of taphonomic dispersion, such as fluvial accumulation processes, would have likely separated and disseminated the most cancellous taphonomic elements, favouring the persistence of taphons constituted by allochthonous elements (</w:t>
      </w:r>
      <w:hyperlink w:anchor="page41">
        <w:r>
          <w:rPr>
            <w:rStyle w:val="InternetLink"/>
            <w:rFonts w:eastAsia="Arial" w:cs="Arial" w:ascii="Arial" w:hAnsi="Arial"/>
            <w:color w:val="0000FF"/>
            <w:sz w:val="17"/>
            <w:szCs w:val="17"/>
          </w:rPr>
          <w:t>Fernández-López</w:t>
        </w:r>
      </w:hyperlink>
      <w:r>
        <w:rPr>
          <w:rFonts w:eastAsia="Arial" w:cs="Arial" w:ascii="Arial" w:hAnsi="Arial"/>
          <w:color w:val="00000A"/>
          <w:sz w:val="17"/>
          <w:szCs w:val="17"/>
        </w:rPr>
        <w:t xml:space="preserve">, </w:t>
      </w:r>
      <w:hyperlink w:anchor="page41">
        <w:r>
          <w:rPr>
            <w:rStyle w:val="InternetLink"/>
            <w:rFonts w:eastAsia="Arial" w:cs="Arial" w:ascii="Arial" w:hAnsi="Arial"/>
            <w:color w:val="0000FF"/>
            <w:sz w:val="17"/>
            <w:szCs w:val="17"/>
          </w:rPr>
          <w:t>2006</w:t>
        </w:r>
      </w:hyperlink>
      <w:r>
        <w:rPr>
          <w:rFonts w:eastAsia="Arial" w:cs="Arial" w:ascii="Arial" w:hAnsi="Arial"/>
          <w:color w:val="000000"/>
          <w:sz w:val="17"/>
          <w:szCs w:val="17"/>
        </w:rPr>
        <w:t>). Carnivores could have likely been primary accumulation agents. However, the</w:t>
      </w:r>
      <w:r>
        <w:rPr>
          <w:rFonts w:eastAsia="Arial" w:cs="Arial" w:ascii="Arial" w:hAnsi="Arial"/>
          <w:color w:val="0000FF"/>
          <w:sz w:val="17"/>
          <w:szCs w:val="17"/>
        </w:rPr>
        <w:t xml:space="preserve"> </w:t>
      </w:r>
      <w:r>
        <w:rPr>
          <w:rFonts w:eastAsia="Arial" w:cs="Arial" w:ascii="Arial" w:hAnsi="Arial"/>
          <w:color w:val="000000"/>
          <w:sz w:val="17"/>
          <w:szCs w:val="17"/>
        </w:rPr>
        <w:t>recursive anisotropic spatial patterns, at the level of taphonomic elements and at the assemblage level, as well as the clustering pattern in relatively small, dense, aggre</w:t>
      </w:r>
      <w:r>
        <w:rPr>
          <w:rFonts w:eastAsia="Arial" w:cs="Arial" w:ascii="Arial" w:hAnsi="Arial"/>
          <w:color w:val="00000A"/>
          <w:sz w:val="18"/>
          <w:szCs w:val="18"/>
        </w:rPr>
        <w:t xml:space="preserv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hyperlink w:anchor="page45">
        <w:r>
          <w:rPr>
            <w:rStyle w:val="InternetLink"/>
            <w:rFonts w:eastAsia="Arial" w:cs="Arial" w:ascii="Arial" w:hAnsi="Arial"/>
            <w:color w:val="0000FF"/>
            <w:sz w:val="18"/>
            <w:szCs w:val="18"/>
          </w:rPr>
          <w:t>Organista et al.</w:t>
        </w:r>
        <w:r>
          <w:rPr>
            <w:rStyle w:val="InternetLink"/>
            <w:rFonts w:eastAsia="Arial" w:cs="Arial" w:ascii="Arial" w:hAnsi="Arial"/>
            <w:color w:val="00000A"/>
            <w:sz w:val="18"/>
            <w:szCs w:val="18"/>
          </w:rPr>
          <w:t xml:space="preserve"> </w:t>
        </w:r>
      </w:hyperlink>
      <w:r>
        <w:rPr>
          <w:rFonts w:eastAsia="Arial" w:cs="Arial" w:ascii="Arial" w:hAnsi="Arial"/>
          <w:color w:val="00000A"/>
          <w:sz w:val="18"/>
          <w:szCs w:val="18"/>
        </w:rPr>
        <w:t>(</w:t>
      </w:r>
      <w:hyperlink w:anchor="page45">
        <w:r>
          <w:rPr>
            <w:rStyle w:val="InternetLink"/>
            <w:rFonts w:eastAsia="Arial" w:cs="Arial" w:ascii="Arial" w:hAnsi="Arial"/>
            <w:color w:val="0000FF"/>
            <w:sz w:val="18"/>
            <w:szCs w:val="18"/>
          </w:rPr>
          <w:t>2017</w:t>
        </w:r>
      </w:hyperlink>
      <w:r>
        <w:rPr>
          <w:rFonts w:eastAsia="Arial" w:cs="Arial" w:ascii="Arial" w:hAnsi="Arial"/>
          <w:color w:val="00000A"/>
          <w:sz w:val="18"/>
          <w:szCs w:val="18"/>
        </w:rPr>
        <w:t>), it is likely for secondary over-bank flows to aggregate bones dispersed over the bank surface into topographic depressions, where they accumulate and acquire greater stability.</w:t>
      </w:r>
    </w:p>
    <w:p>
      <w:pPr>
        <w:pStyle w:val="Normal"/>
        <w:spacing w:lineRule="exact" w:line="5" w:before="0" w:after="0"/>
        <w:rPr>
          <w:color w:val="00000A"/>
          <w:sz w:val="20"/>
          <w:szCs w:val="20"/>
        </w:rPr>
      </w:pPr>
      <w:r>
        <w:rPr>
          <w:color w:val="00000A"/>
          <w:sz w:val="20"/>
          <w:szCs w:val="20"/>
        </w:rPr>
      </w:r>
    </w:p>
    <w:p>
      <w:pPr>
        <w:pStyle w:val="Normal"/>
        <w:spacing w:lineRule="auto" w:line="396" w:before="0" w:after="0"/>
        <w:ind w:left="1240" w:right="1260" w:firstLine="299"/>
        <w:jc w:val="both"/>
        <w:rPr/>
      </w:pPr>
      <w:r>
        <w:rPr>
          <w:rFonts w:eastAsia="Arial" w:cs="Arial" w:ascii="Arial" w:hAnsi="Arial"/>
          <w:color w:val="00000A"/>
          <w:sz w:val="19"/>
          <w:szCs w:val="19"/>
        </w:rPr>
        <w:t>Noteworthy, both Geo 1 and Geo 2 show fining upward trends and facies sequences similar to those typical of braided rivers (</w:t>
      </w:r>
      <w:hyperlink w:anchor="page44">
        <w:r>
          <w:rPr>
            <w:rStyle w:val="InternetLink"/>
            <w:rFonts w:eastAsia="Arial" w:cs="Arial" w:ascii="Arial" w:hAnsi="Arial"/>
            <w:color w:val="0000FF"/>
            <w:sz w:val="19"/>
            <w:szCs w:val="19"/>
          </w:rPr>
          <w:t>Miall</w:t>
        </w:r>
      </w:hyperlink>
      <w:r>
        <w:rPr>
          <w:rFonts w:eastAsia="Arial" w:cs="Arial" w:ascii="Arial" w:hAnsi="Arial"/>
          <w:color w:val="00000A"/>
          <w:sz w:val="19"/>
          <w:szCs w:val="19"/>
        </w:rPr>
        <w:t xml:space="preserve">, </w:t>
      </w:r>
      <w:hyperlink w:anchor="page44">
        <w:r>
          <w:rPr>
            <w:rStyle w:val="InternetLink"/>
            <w:rFonts w:eastAsia="Arial" w:cs="Arial" w:ascii="Arial" w:hAnsi="Arial"/>
            <w:color w:val="0000FF"/>
            <w:sz w:val="19"/>
            <w:szCs w:val="19"/>
          </w:rPr>
          <w:t>1977</w:t>
        </w:r>
      </w:hyperlink>
      <w:r>
        <w:rPr>
          <w:rFonts w:eastAsia="Arial" w:cs="Arial" w:ascii="Arial" w:hAnsi="Arial"/>
          <w:color w:val="00000A"/>
          <w:sz w:val="19"/>
          <w:szCs w:val="19"/>
        </w:rPr>
        <w:t>). In such a sequence,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hyperlink w:anchor="page44">
        <w:r>
          <w:rPr>
            <w:rStyle w:val="InternetLink"/>
            <w:rFonts w:eastAsia="Arial" w:cs="Arial" w:ascii="Arial" w:hAnsi="Arial"/>
            <w:color w:val="0000FF"/>
            <w:sz w:val="19"/>
            <w:szCs w:val="19"/>
          </w:rPr>
          <w:t>Miall</w:t>
        </w:r>
      </w:hyperlink>
      <w:r>
        <w:rPr>
          <w:rFonts w:eastAsia="Arial" w:cs="Arial" w:ascii="Arial" w:hAnsi="Arial"/>
          <w:color w:val="00000A"/>
          <w:sz w:val="19"/>
          <w:szCs w:val="19"/>
        </w:rPr>
        <w:t xml:space="preserve">, </w:t>
      </w:r>
      <w:hyperlink w:anchor="page44">
        <w:r>
          <w:rPr>
            <w:rStyle w:val="InternetLink"/>
            <w:rFonts w:eastAsia="Arial" w:cs="Arial" w:ascii="Arial" w:hAnsi="Arial"/>
            <w:color w:val="0000FF"/>
            <w:sz w:val="19"/>
            <w:szCs w:val="19"/>
          </w:rPr>
          <w:t>1982</w:t>
        </w:r>
      </w:hyperlink>
      <w:r>
        <w:rPr>
          <w:rFonts w:eastAsia="Arial" w:cs="Arial" w:ascii="Arial" w:hAnsi="Arial"/>
          <w:color w:val="00000A"/>
          <w:sz w:val="19"/>
          <w:szCs w:val="19"/>
        </w:rPr>
        <w:t>). Therefore, the excavated section can be viewed as the product of cyclical lateral switching of a braided fluvial system.</w:t>
      </w:r>
    </w:p>
    <w:p>
      <w:pPr>
        <w:pStyle w:val="Normal"/>
        <w:spacing w:lineRule="exact" w:line="335"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before="0" w:after="0"/>
        <w:ind w:left="1240" w:hanging="0"/>
        <w:rPr>
          <w:color w:val="00000A"/>
          <w:sz w:val="20"/>
          <w:szCs w:val="20"/>
        </w:rPr>
      </w:pPr>
      <w:r>
        <w:rPr>
          <w:rFonts w:eastAsia="Arial" w:cs="Arial" w:ascii="Arial" w:hAnsi="Arial"/>
          <w:color w:val="00000A"/>
          <w:sz w:val="20"/>
          <w:szCs w:val="20"/>
        </w:rPr>
        <w:t>6. Conclusions</w:t>
      </w:r>
    </w:p>
    <w:p>
      <w:pPr>
        <w:pStyle w:val="Normal"/>
        <w:spacing w:lineRule="exact" w:line="315"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auto" w:line="439" w:before="0" w:after="0"/>
        <w:ind w:left="1240" w:right="1260" w:firstLine="299"/>
        <w:jc w:val="both"/>
        <w:rPr>
          <w:color w:val="00000A"/>
          <w:sz w:val="20"/>
          <w:szCs w:val="20"/>
        </w:rPr>
      </w:pPr>
      <w:r>
        <w:rPr>
          <w:rFonts w:eastAsia="Arial" w:cs="Arial" w:ascii="Arial" w:hAnsi="Arial"/>
          <w:color w:val="00000A"/>
          <w:sz w:val="17"/>
          <w:szCs w:val="17"/>
        </w:rPr>
        <w:t>Spatial taphonomy is the systemic, multiscale and multilevel study of the spatial properties of taphonomic processes. Indeed, taphonomic alteration processes work simultaneously, at di erent scales, on entities of di erent levels of organisation, from the basic taphonomic elements (bone specimens), to higher level taphonomic groups (taphons) or populations (assemblages). In this study we elaborated on a specific aspect</w:t>
      </w:r>
    </w:p>
    <w:p>
      <w:pPr>
        <w:pStyle w:val="Normal"/>
        <w:spacing w:lineRule="exact" w:line="1"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0"/>
          <w:numId w:val="5"/>
        </w:numPr>
        <w:tabs>
          <w:tab w:val="left" w:pos="1360" w:leader="none"/>
        </w:tabs>
        <w:spacing w:lineRule="auto" w:line="391" w:before="0" w:after="0"/>
        <w:ind w:left="1240" w:right="1260" w:hanging="0"/>
        <w:rPr>
          <w:rFonts w:ascii="Arial" w:hAnsi="Arial" w:eastAsia="Arial" w:cs="Arial"/>
          <w:color w:val="00000A"/>
          <w:sz w:val="19"/>
          <w:szCs w:val="19"/>
        </w:rPr>
      </w:pPr>
      <w:r>
        <w:rPr>
          <w:rFonts w:eastAsia="Arial" w:cs="Arial" w:ascii="Arial" w:hAnsi="Arial"/>
          <w:color w:val="00000A"/>
          <w:sz w:val="19"/>
          <w:szCs w:val="19"/>
        </w:rPr>
        <w:t>anisotropy - of the spatial properties of taphonomic processes, investigating an often neglected aspect of the spatial distribution of taphonomic populations.</w:t>
      </w:r>
    </w:p>
    <w:p>
      <w:pPr>
        <w:pStyle w:val="Normal"/>
        <w:spacing w:lineRule="exact" w:line="1"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auto" w:line="451" w:before="0" w:after="0"/>
        <w:ind w:left="1240" w:right="1260" w:firstLine="299"/>
        <w:jc w:val="both"/>
        <w:rPr/>
      </w:pPr>
      <w:r>
        <w:rPr>
          <w:rFonts w:eastAsia="Arial" w:cs="Arial" w:ascii="Arial" w:hAnsi="Arial"/>
          <w:color w:val="00000A"/>
          <w:sz w:val="17"/>
          <w:szCs w:val="17"/>
        </w:rPr>
        <w:t xml:space="preserve">A multilevel analysis of anisotropy was conducted for the Early Pleistocene fossil-iferous locality Tsiotra Vryssi, from the fluvial Gerakarou Formation of the Mygdonia Basin, Greece. Di erential preservation of skeletal elements was also analysed in or-der to unravel the character and number of depositional processes and the degree of re-elaboration of the TSR fossil record. The results of the analyses suggested repeated </w:t>
      </w:r>
      <w:r>
        <w:rPr>
          <w:rFonts w:eastAsia="Arial" w:cs="Arial" w:ascii="Arial" w:hAnsi="Arial"/>
          <w:color w:val="00000A"/>
          <w:sz w:val="18"/>
          <w:szCs w:val="18"/>
        </w:rPr>
        <w:t>taphonomic dispersion processes, with winnowing of less dense, lighter elements and spatial anisotropic re-arrangement of a lag, autochthonous assemblage possibly accu-mulated over the migrating banks of a NW-SE oriented fluvial system.</w:t>
      </w:r>
    </w:p>
    <w:p>
      <w:pPr>
        <w:pStyle w:val="Normal"/>
        <w:spacing w:lineRule="exact" w:line="2" w:before="0" w:after="0"/>
        <w:rPr>
          <w:color w:val="00000A"/>
          <w:sz w:val="20"/>
          <w:szCs w:val="20"/>
        </w:rPr>
      </w:pPr>
      <w:r>
        <w:rPr>
          <w:color w:val="00000A"/>
          <w:sz w:val="20"/>
          <w:szCs w:val="20"/>
        </w:rPr>
      </w:r>
    </w:p>
    <w:p>
      <w:pPr>
        <w:pStyle w:val="Normal"/>
        <w:spacing w:lineRule="auto" w:line="376" w:before="0" w:after="0"/>
        <w:ind w:left="1240" w:right="1260" w:firstLine="299"/>
        <w:jc w:val="both"/>
        <w:rPr>
          <w:color w:val="00000A"/>
          <w:sz w:val="20"/>
          <w:szCs w:val="20"/>
        </w:rPr>
      </w:pPr>
      <w:r>
        <w:rPr>
          <w:rFonts w:eastAsia="Arial" w:cs="Arial" w:ascii="Arial" w:hAnsi="Arial"/>
          <w:color w:val="00000A"/>
          <w:sz w:val="20"/>
          <w:szCs w:val="20"/>
        </w:rPr>
        <w:t>We believe that this study contributes towards the development of a referential framework for the spatial taphonomic interpretation of other palaeontological, as well as archaeological, localities.</w:t>
      </w:r>
    </w:p>
    <w:p>
      <w:pPr>
        <w:pStyle w:val="Normal"/>
        <w:spacing w:lineRule="exact" w:line="344"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Acknowledgements</w:t>
      </w:r>
    </w:p>
    <w:p>
      <w:pPr>
        <w:pStyle w:val="Normal"/>
        <w:spacing w:lineRule="exact" w:line="315" w:before="0" w:after="0"/>
        <w:rPr>
          <w:color w:val="00000A"/>
          <w:sz w:val="20"/>
          <w:szCs w:val="20"/>
        </w:rPr>
      </w:pPr>
      <w:r>
        <w:rPr>
          <w:color w:val="00000A"/>
          <w:sz w:val="20"/>
          <w:szCs w:val="20"/>
        </w:rPr>
      </w:r>
    </w:p>
    <w:p>
      <w:pPr>
        <w:pStyle w:val="Normal"/>
        <w:spacing w:lineRule="auto" w:line="396" w:before="0" w:after="0"/>
        <w:ind w:left="1240" w:right="1260" w:firstLine="299"/>
        <w:jc w:val="both"/>
        <w:rPr>
          <w:color w:val="00000A"/>
          <w:sz w:val="20"/>
          <w:szCs w:val="20"/>
        </w:rPr>
      </w:pPr>
      <w:r>
        <w:rPr>
          <w:rFonts w:eastAsia="Arial" w:cs="Arial" w:ascii="Arial" w:hAnsi="Arial"/>
          <w:color w:val="00000A"/>
          <w:sz w:val="19"/>
          <w:szCs w:val="19"/>
        </w:rPr>
        <w:t>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w:t>
      </w:r>
    </w:p>
    <w:p>
      <w:pPr>
        <w:pStyle w:val="Normal"/>
        <w:spacing w:lineRule="exact" w:line="335"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20"/>
          <w:szCs w:val="20"/>
        </w:rPr>
        <w:t>References</w:t>
      </w:r>
    </w:p>
    <w:p>
      <w:pPr>
        <w:pStyle w:val="Normal"/>
        <w:spacing w:lineRule="exact" w:line="315" w:before="0" w:after="0"/>
        <w:rPr>
          <w:color w:val="00000A"/>
          <w:sz w:val="20"/>
          <w:szCs w:val="20"/>
        </w:rPr>
      </w:pPr>
      <w:r>
        <w:rPr>
          <w:color w:val="00000A"/>
          <w:sz w:val="20"/>
          <w:szCs w:val="20"/>
        </w:rPr>
      </w:r>
    </w:p>
    <w:p>
      <w:pPr>
        <w:pStyle w:val="Normal"/>
        <w:spacing w:lineRule="auto" w:line="396" w:before="0" w:after="0"/>
        <w:ind w:left="1440" w:right="1260" w:hanging="198"/>
        <w:jc w:val="both"/>
        <w:rPr>
          <w:color w:val="00000A"/>
          <w:sz w:val="20"/>
          <w:szCs w:val="20"/>
        </w:rPr>
      </w:pPr>
      <w:r>
        <w:rPr>
          <w:rFonts w:eastAsia="Arial" w:cs="Arial" w:ascii="Arial" w:hAnsi="Arial"/>
          <w:color w:val="00000A"/>
          <w:sz w:val="19"/>
          <w:szCs w:val="19"/>
        </w:rPr>
        <w:t>Aramendi, J., Uribelarrea, D., Arriaza, M. C., Arráiz, H., Barboni, D., Yravedra, J., Ortega, M. C., Gidna, A., Mabulla, A., Baquedano, E., Domínguez-Rodrigo, M., 2017. The paleoecology and taphonomy of AMK (Bed I, Olduvai Gorge) and its contributions to the understanding of the “Zinj” paleolandscape. Palaeogeography, Palaeoclimatology, Palaeoecology 488, 35–49.</w:t>
      </w:r>
    </w:p>
    <w:p>
      <w:pPr>
        <w:pStyle w:val="Normal"/>
        <w:spacing w:lineRule="exact" w:line="141"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Baddeley, A., Rubak, E., Turner, R., 2015. Spatial Point Patterns: Methodology and Applications with R. Chapman and Hall/CRC, London.</w:t>
      </w:r>
    </w:p>
    <w:p>
      <w:pPr>
        <w:pStyle w:val="Normal"/>
        <w:spacing w:lineRule="exact" w:line="147"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Balsey, J. R., Buddington, A. F., 1960. Magnetic susceptibility anisotropy and fabric of some adirondack granites and orthogneisses. American Journal of Science 258, 6–20.</w:t>
      </w:r>
    </w:p>
    <w:p>
      <w:pPr>
        <w:pStyle w:val="Normal"/>
        <w:spacing w:lineRule="exact" w:line="152"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8"/>
          <w:szCs w:val="18"/>
        </w:rPr>
        <w:t>Behrensmeyer, A., 1975a. Taphonomy and paleoecology in the hominid fossil record.</w:t>
      </w:r>
    </w:p>
    <w:p>
      <w:pPr>
        <w:pStyle w:val="Normal"/>
        <w:spacing w:lineRule="exact" w:line="152" w:before="0" w:after="0"/>
        <w:rPr>
          <w:color w:val="00000A"/>
          <w:sz w:val="20"/>
          <w:szCs w:val="20"/>
        </w:rPr>
      </w:pPr>
      <w:r>
        <w:rPr>
          <w:color w:val="00000A"/>
          <w:sz w:val="20"/>
          <w:szCs w:val="20"/>
        </w:rPr>
      </w:r>
    </w:p>
    <w:p>
      <w:pPr>
        <w:pStyle w:val="Normal"/>
        <w:spacing w:before="0" w:after="0"/>
        <w:ind w:left="1440" w:hanging="0"/>
        <w:rPr/>
      </w:pPr>
      <w:r>
        <w:rPr>
          <w:rFonts w:eastAsia="Arial" w:cs="Arial" w:ascii="Arial" w:hAnsi="Arial"/>
          <w:color w:val="00000A"/>
          <w:sz w:val="20"/>
          <w:szCs w:val="20"/>
        </w:rPr>
        <w:t>Yearbook of Physical Anthropology 19, 36–50.</w:t>
      </w:r>
    </w:p>
    <w:p>
      <w:pPr>
        <w:pStyle w:val="Normal"/>
        <w:spacing w:lineRule="exact" w:line="273"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Behrensmeyer, A. K., 1975b. The taphonomy and paleoecology of Plio-Pleistocene vertebrate assemblages East of Lake Rudolf, Kenya. Bulletin of the Museum of Comparative Zoology 146, 473–578.</w:t>
      </w:r>
    </w:p>
    <w:p>
      <w:pPr>
        <w:pStyle w:val="Normal"/>
        <w:spacing w:lineRule="exact" w:line="152"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Behrensmeyer, A. K., 1982. Time resolution in fuvial vertebrate assemblages. Paleobi-ology 8 (3), 211–227.</w:t>
      </w:r>
    </w:p>
    <w:p>
      <w:pPr>
        <w:pStyle w:val="Normal"/>
        <w:spacing w:lineRule="exact" w:line="14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Behrensmeyer, A. K., 1988. Vertebrate preservation in fluvial channels. Palaeogeogra-phy, Palaeoclimatology, Palaeoecology 63 (1), 183–199.</w:t>
      </w:r>
    </w:p>
    <w:p>
      <w:pPr>
        <w:pStyle w:val="Normal"/>
        <w:spacing w:lineRule="exact" w:line="147"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Benito-Calvo, A., de la Torre, I., 2011. Analysis of orientation patterns in Olduvai Bed I assemblages using GIS techniques: Implications for site formation processes. Journal of Human Evolution 61 (1), 50–60.</w:t>
      </w:r>
    </w:p>
    <w:p>
      <w:pPr>
        <w:pStyle w:val="Normal"/>
        <w:spacing w:lineRule="exact" w:line="152" w:before="0" w:after="0"/>
        <w:rPr>
          <w:color w:val="00000A"/>
          <w:sz w:val="20"/>
          <w:szCs w:val="20"/>
        </w:rPr>
      </w:pPr>
      <w:r>
        <w:rPr>
          <w:color w:val="00000A"/>
          <w:sz w:val="20"/>
          <w:szCs w:val="20"/>
        </w:rPr>
      </w:r>
    </w:p>
    <w:p>
      <w:pPr>
        <w:pStyle w:val="Normal"/>
        <w:spacing w:lineRule="auto" w:line="398" w:before="0" w:after="0"/>
        <w:ind w:left="1440" w:right="1260" w:hanging="198"/>
        <w:jc w:val="both"/>
        <w:rPr>
          <w:color w:val="00000A"/>
          <w:sz w:val="20"/>
          <w:szCs w:val="20"/>
        </w:rPr>
      </w:pPr>
      <w:r>
        <w:rPr>
          <w:rFonts w:eastAsia="Arial" w:cs="Arial" w:ascii="Arial" w:hAnsi="Arial"/>
          <w:color w:val="00000A"/>
          <w:sz w:val="19"/>
          <w:szCs w:val="19"/>
        </w:rPr>
        <w:t>Benito-Calvo, A., Martínez-Moreno, J., Mora, R., Roy, M., Roda, X., 2011. Trampling experiments at Cova Gran de Santa Linya, Pre-Pyrenees, Spain: their relevance for archaeological fabrics of the Upper–Middle Paleolithic assemblages . Journal of Ar-chaeological Science 38 (12), 3652–3661.</w:t>
      </w:r>
    </w:p>
    <w:p>
      <w:pPr>
        <w:pStyle w:val="Normal"/>
        <w:spacing w:lineRule="exact" w:line="13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Bertran, P., Texier, J.-P., 1995. Fabric Analysis: Application to Paleolithic Sites. Jour-nal of Archaeological Science 22 (4), 521–535.</w:t>
      </w:r>
    </w:p>
    <w:p>
      <w:pPr>
        <w:pStyle w:val="Normal"/>
        <w:spacing w:lineRule="exact" w:line="147" w:before="0" w:after="0"/>
        <w:rPr>
          <w:color w:val="00000A"/>
          <w:sz w:val="20"/>
          <w:szCs w:val="20"/>
        </w:rPr>
      </w:pPr>
      <w:r>
        <w:rPr>
          <w:color w:val="00000A"/>
          <w:sz w:val="20"/>
          <w:szCs w:val="20"/>
        </w:rPr>
      </w:r>
    </w:p>
    <w:p>
      <w:pPr>
        <w:pStyle w:val="Normal"/>
        <w:spacing w:lineRule="auto" w:line="412" w:before="0" w:after="0"/>
        <w:ind w:left="1440" w:right="1260" w:hanging="198"/>
        <w:jc w:val="both"/>
        <w:rPr>
          <w:color w:val="00000A"/>
          <w:sz w:val="20"/>
          <w:szCs w:val="20"/>
        </w:rPr>
      </w:pPr>
      <w:r>
        <w:rPr>
          <w:rFonts w:eastAsia="Arial" w:cs="Arial" w:ascii="Arial" w:hAnsi="Arial"/>
          <w:color w:val="00000A"/>
          <w:sz w:val="19"/>
          <w:szCs w:val="19"/>
        </w:rPr>
        <w:t>Bevan, A., Conolly, J., 2009. Modelling spatial heterogeneity and nonstationarity in artifact-rich landscapes. Journal of Archaeological Science 36 (4), 956–964.</w:t>
      </w:r>
    </w:p>
    <w:p>
      <w:pPr>
        <w:pStyle w:val="Normal"/>
        <w:spacing w:lineRule="exact" w:line="125" w:before="0" w:after="0"/>
        <w:rPr>
          <w:color w:val="00000A"/>
          <w:sz w:val="20"/>
          <w:szCs w:val="20"/>
        </w:rPr>
      </w:pPr>
      <w:r>
        <w:rPr>
          <w:color w:val="00000A"/>
          <w:sz w:val="20"/>
          <w:szCs w:val="20"/>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Boaz, D. D., 1982. Modern riverine taphonomy: its relevance to the interpretation of Plio-Pleistocene hominid paleoecology in the Omo basin, Ethiopia. Ph.D. thesis.</w:t>
      </w:r>
    </w:p>
    <w:p>
      <w:pPr>
        <w:pStyle w:val="Normal"/>
        <w:spacing w:lineRule="exact" w:line="101"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Boaz, N. T., Behrensmeyer, A. K., 1976. Hominid taphonomy: Transport of human skeletal parts in an artificial fluviatile environment. American Journal of Physical Anthropology 45 (1), 53–60.</w:t>
      </w:r>
    </w:p>
    <w:p>
      <w:pPr>
        <w:pStyle w:val="Normal"/>
        <w:spacing w:lineRule="exact" w:line="152" w:before="0" w:after="0"/>
        <w:rPr>
          <w:color w:val="00000A"/>
          <w:sz w:val="20"/>
          <w:szCs w:val="20"/>
        </w:rPr>
      </w:pPr>
      <w:r>
        <w:rPr>
          <w:color w:val="00000A"/>
          <w:sz w:val="20"/>
          <w:szCs w:val="20"/>
        </w:rPr>
      </w:r>
    </w:p>
    <w:p>
      <w:pPr>
        <w:pStyle w:val="Normal"/>
        <w:spacing w:lineRule="auto" w:line="376" w:before="0" w:after="0"/>
        <w:ind w:left="1440" w:right="1260" w:hanging="198"/>
        <w:jc w:val="both"/>
        <w:rPr/>
      </w:pPr>
      <w:r>
        <w:rPr>
          <w:rFonts w:eastAsia="Arial" w:cs="Arial" w:ascii="Arial" w:hAnsi="Arial"/>
          <w:color w:val="00000A"/>
          <w:sz w:val="20"/>
          <w:szCs w:val="20"/>
        </w:rPr>
        <w:t>Coard, R., 1999. One bone, two bones, wet bones, dry bones: Transport potentials under experimental conditions. Journal of Archaeological Science 26 (11), 1369– 1375.</w:t>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Coard, R., Dennell, R., 1995. Taphonomy of some articulated skeletal remains: Trans-port potential in an artificial environment. Journal of Archaeological Science 22 (3), 441–448.</w:t>
      </w:r>
    </w:p>
    <w:p>
      <w:pPr>
        <w:pStyle w:val="Normal"/>
        <w:spacing w:lineRule="exact" w:line="152"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Cobo-Sánchez, L., Aramendi, J., Domínguez-Rodrigo, M., 2014. Orientation patterns of wildebeest bones on the lake Masek floodplain (Serengeti, Tanzania) and their relevance to interpret anisotropy in the Olduvai lacustrine floodplain. Quaternary International 322–323 (0), 277–284, the Evolution of Hominin Behavior during the Oldowan-Acheulian Transition: Recent Evidence from Olduvai Gorge and Peninj (Tanzania).</w:t>
      </w:r>
    </w:p>
    <w:p>
      <w:pPr>
        <w:pStyle w:val="Normal"/>
        <w:spacing w:lineRule="exact" w:line="155"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Cremaschi, M., Trombino, L., Zerboni, A., In press. Palaeosoils and relict soils, a systematic review. In: Stoops, G., Marcelino, V., Mees, F. (Eds.), Interpretation of micromorphological features of soils and regoliths – Revised Edition. Elsevier, Oxford, pp. 873–904.</w:t>
      </w:r>
    </w:p>
    <w:p>
      <w:pPr>
        <w:pStyle w:val="Normal"/>
        <w:spacing w:lineRule="exact" w:line="153"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Dale, M., Fortin, M., 2014. Spatial Analysis: A Guide for Ecologists, second edition Edition. Cambridge University Press.</w:t>
      </w:r>
    </w:p>
    <w:p>
      <w:pPr>
        <w:pStyle w:val="Normal"/>
        <w:spacing w:lineRule="exact" w:line="147"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de la Torre, I., Benito-Calvo, A., 2013. Application of GIS methods to retrieve ori-entation patterns from imagery; a case study from Beds I and II, Olduvai Gorge (Tanzania). Journal of Archaeological Science 40 (5), 2446–2457.</w:t>
      </w:r>
    </w:p>
    <w:p>
      <w:pPr>
        <w:pStyle w:val="Normal"/>
        <w:spacing w:lineRule="exact" w:line="152" w:before="0" w:after="0"/>
        <w:rPr>
          <w:color w:val="00000A"/>
          <w:sz w:val="20"/>
          <w:szCs w:val="20"/>
        </w:rPr>
      </w:pPr>
      <w:r>
        <w:rPr>
          <w:color w:val="00000A"/>
          <w:sz w:val="20"/>
          <w:szCs w:val="20"/>
        </w:rPr>
      </w:r>
    </w:p>
    <w:p>
      <w:pPr>
        <w:pStyle w:val="Normal"/>
        <w:spacing w:lineRule="auto" w:line="420" w:before="0" w:after="0"/>
        <w:ind w:left="1440" w:right="1260" w:hanging="198"/>
        <w:jc w:val="both"/>
        <w:rPr>
          <w:color w:val="00000A"/>
          <w:sz w:val="20"/>
          <w:szCs w:val="20"/>
        </w:rPr>
      </w:pPr>
      <w:r>
        <w:rPr>
          <w:rFonts w:eastAsia="Arial" w:cs="Arial" w:ascii="Arial" w:hAnsi="Arial"/>
          <w:color w:val="00000A"/>
          <w:sz w:val="18"/>
          <w:szCs w:val="18"/>
        </w:rPr>
        <w:t>Domínguez-Rodrigo, M., Bunn, H., Mabulla, A., Baquedano, E., Uribelarrea, D., Pérez-González, A., Gidna, A., Yravedra, J., Diez-Martin, F., Egeland, C., Barba, R., Arriaza, M., Organista, E., Ansón, M., 2014a. On meat eating and human evolu-tion: A taphonomic analysis of BK4b (Upper Bed II, Olduvai Gorge, Tanzania), and its bearing on hominin megafaunal consumption . Quaternary International 322–323, 129–152, the Evolution of Hominin Behavior during the Oldowan-Acheulian Tran-sition: Recent Evidence from Olduvai Gorge and Peninj (Tanzania).</w:t>
      </w:r>
    </w:p>
    <w:p>
      <w:pPr>
        <w:pStyle w:val="Normal"/>
        <w:spacing w:lineRule="exact" w:line="128" w:before="0" w:after="0"/>
        <w:rPr>
          <w:color w:val="00000A"/>
          <w:sz w:val="20"/>
          <w:szCs w:val="20"/>
        </w:rPr>
      </w:pPr>
      <w:r>
        <w:rPr>
          <w:color w:val="00000A"/>
          <w:sz w:val="20"/>
          <w:szCs w:val="20"/>
        </w:rPr>
      </w:r>
    </w:p>
    <w:p>
      <w:pPr>
        <w:pStyle w:val="Normal"/>
        <w:spacing w:lineRule="auto" w:line="432" w:before="0" w:after="0"/>
        <w:ind w:left="1240" w:right="1260" w:hanging="0"/>
        <w:jc w:val="right"/>
        <w:rPr/>
      </w:pPr>
      <w:r>
        <w:rPr>
          <w:rFonts w:eastAsia="Arial" w:cs="Arial" w:ascii="Arial" w:hAnsi="Arial"/>
          <w:color w:val="00000A"/>
          <w:sz w:val="18"/>
          <w:szCs w:val="18"/>
        </w:rPr>
        <w:t xml:space="preserve">Domínguez-Rodrigo, M., Bunn, H., Pickering, T., Mabulla, A., Musiba, C., Baque-dano, E., Ashley, G., Diez-Martin, F., Santonja, M., Uribelarrea, D., Barba, R., Yravedra, J., Barboni, D., Arriaza, C., Gidna, A., 2012. Autochthony and orientation </w:t>
      </w:r>
      <w:r>
        <w:rPr>
          <w:rFonts w:eastAsia="Arial" w:cs="Arial" w:ascii="Arial" w:hAnsi="Arial"/>
          <w:color w:val="00000A"/>
          <w:sz w:val="20"/>
          <w:szCs w:val="20"/>
        </w:rPr>
        <w:t>patterns in Olduvai Bed I: a re-examination of the status of post-depositional biasing of archaeological assemblages from FLK North (FLKN). Journal of Archaeological Science 39 (7), 2116–2127.</w:t>
      </w:r>
    </w:p>
    <w:p>
      <w:pPr>
        <w:pStyle w:val="Normal"/>
        <w:spacing w:lineRule="exact" w:line="112" w:before="0" w:after="0"/>
        <w:rPr>
          <w:color w:val="00000A"/>
          <w:sz w:val="20"/>
          <w:szCs w:val="20"/>
        </w:rPr>
      </w:pPr>
      <w:r>
        <w:rPr>
          <w:color w:val="00000A"/>
          <w:sz w:val="20"/>
          <w:szCs w:val="20"/>
        </w:rPr>
      </w:r>
    </w:p>
    <w:p>
      <w:pPr>
        <w:pStyle w:val="Normal"/>
        <w:spacing w:lineRule="auto" w:line="420" w:before="0" w:after="0"/>
        <w:ind w:left="1440" w:right="1260" w:hanging="198"/>
        <w:jc w:val="both"/>
        <w:rPr>
          <w:color w:val="00000A"/>
          <w:sz w:val="20"/>
          <w:szCs w:val="20"/>
        </w:rPr>
      </w:pPr>
      <w:r>
        <w:rPr>
          <w:rFonts w:eastAsia="Arial" w:cs="Arial" w:ascii="Arial" w:hAnsi="Arial"/>
          <w:color w:val="00000A"/>
          <w:sz w:val="18"/>
          <w:szCs w:val="18"/>
        </w:rPr>
        <w:t>Domínguez-Rodrigo, M., Bunn, H. T., Yravedra, J., 2014b. A critical re-evaluation of bone surface modification models for inferring fossil hominin and carnivore inter-actions through a multivariate approach: Application to the FLK Zinj archaeofaunal assemblage (Olduvai Gorge, Tanzania). Quaternary International 322–323 (0), 32– 43, the Evolution of Hominin Behavior during the Oldowan-Acheulian Transition: Recent Evidence from Olduvai Gorge and Peninj (Tanzania).</w:t>
      </w:r>
    </w:p>
    <w:p>
      <w:pPr>
        <w:pStyle w:val="Normal"/>
        <w:spacing w:lineRule="exact" w:line="88"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Domínguez-Rodrigo, M., Cobo-Sánchez, L., Yravedra, J., Uribelarrea, D., Arriaza, C., Organista, E., Baquedano, E., 2017. Fluvial spatial taphonomy: a new method for the study of post-depositional processes. Archaeological and Anthropological Sciences, 1–21.</w:t>
      </w:r>
    </w:p>
    <w:p>
      <w:pPr>
        <w:pStyle w:val="Normal"/>
        <w:spacing w:lineRule="exact" w:line="113"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Domínguez-Rodrigo, M., Diez-Martín, F., Yravedra, J., Barba, R., Mabulla, A., Baque-dano, E., Uribelarrea, D., Sánchez, P., Eren, M. I., 2014c. Study of the SHK Main Site faunal assemblage, Olduvai Gorge, Tanzania: Implications for Bed II taphon-omy, paleoecology, and hominin utilization of megafauna. Quaternary International 322–323, 153–166.</w:t>
      </w:r>
    </w:p>
    <w:p>
      <w:pPr>
        <w:pStyle w:val="Normal"/>
        <w:spacing w:lineRule="exact" w:line="116" w:before="0" w:after="0"/>
        <w:rPr>
          <w:color w:val="00000A"/>
          <w:sz w:val="20"/>
          <w:szCs w:val="20"/>
        </w:rPr>
      </w:pPr>
      <w:r>
        <w:rPr>
          <w:color w:val="00000A"/>
          <w:sz w:val="20"/>
          <w:szCs w:val="20"/>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Domínguez-Rodrigo, M., Fernández-López, S., Alcalá, L., 2011. How Can Taphon-omy Be Defined in the XXI Century? Journal of Taphonomy 9 (1), 1–13.</w:t>
      </w:r>
    </w:p>
    <w:p>
      <w:pPr>
        <w:pStyle w:val="Normal"/>
        <w:spacing w:lineRule="exact" w:line="61"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Domínguez-Rodrigo, M., García-Pérez, A., 07 2013. Testing the Accuracy of Di erent A-Axis Types for Measuring the Orientation of Bones in the Archaeological and Paleontological Record. PLoS ONE 8 (7), e68955.</w:t>
      </w:r>
    </w:p>
    <w:p>
      <w:pPr>
        <w:pStyle w:val="Normal"/>
        <w:spacing w:lineRule="exact" w:line="112" w:before="0" w:after="0"/>
        <w:rPr>
          <w:color w:val="00000A"/>
          <w:sz w:val="20"/>
          <w:szCs w:val="20"/>
        </w:rPr>
      </w:pPr>
      <w:r>
        <w:rPr>
          <w:color w:val="00000A"/>
          <w:sz w:val="20"/>
          <w:szCs w:val="20"/>
        </w:rPr>
      </w:r>
    </w:p>
    <w:p>
      <w:pPr>
        <w:pStyle w:val="Normal"/>
        <w:spacing w:lineRule="auto" w:line="374" w:before="0" w:after="0"/>
        <w:ind w:left="1440" w:right="1260" w:hanging="198"/>
        <w:jc w:val="both"/>
        <w:rPr/>
      </w:pPr>
      <w:r>
        <w:rPr>
          <w:rFonts w:eastAsia="Arial" w:cs="Arial" w:ascii="Arial" w:hAnsi="Arial"/>
          <w:color w:val="00000A"/>
          <w:sz w:val="20"/>
          <w:szCs w:val="20"/>
        </w:rPr>
        <w:t>Domínguez-Rodrigo, M., Uribelarrea, D., Santonja, M., Bunn, H., García-Pérez, A., Pérez-González, A., Panera, J., Rubio-Jara, S., Mabulla, A., Baquedano, E., Yrave-dra, J., Diez-Martín, F., 2014d. Autochthonous anisotropy of archaeological mate-rials by the action of water: experimental and archaeological reassessment of the orientation patterns at the Olduvai sites. Journal of Archaeological Science 41 (0), 44–68.</w:t>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Eberth, D. A., Rogers, R. R., Fiorillo, A. R., 2007. A practical approach to the study of bonebeds. In: Rogers, R. R., Eberth, D. A., Fiorillo, A. R. (Eds.), Bonebeds. Genesis, Analysis, and Paleobiological Significance. The University of Chicago Press, pp. 265–332.</w:t>
      </w:r>
    </w:p>
    <w:p>
      <w:pPr>
        <w:pStyle w:val="Normal"/>
        <w:spacing w:lineRule="exact" w:line="113"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Efremov, I. A., 1940. Taphonomy: a new branch of paleontology. Pan American Geol-ogist 74, 81–93.</w:t>
      </w:r>
    </w:p>
    <w:p>
      <w:pPr>
        <w:pStyle w:val="Normal"/>
        <w:spacing w:lineRule="exact" w:line="107"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Felletti, F., Dall’Olio, E., Muttoni, G., 2016. Determining flow directions in turbidites: An integrates sedimentological and magnetic fabric study of the Miocene Marnoso Arenacea Formation (northern Apennines, Italy). Sedimentary Geology 335, 197– 215.</w:t>
      </w:r>
    </w:p>
    <w:p>
      <w:pPr>
        <w:pStyle w:val="Normal"/>
        <w:spacing w:lineRule="exact" w:line="113" w:before="0" w:after="0"/>
        <w:rPr>
          <w:color w:val="00000A"/>
          <w:sz w:val="20"/>
          <w:szCs w:val="20"/>
        </w:rPr>
      </w:pPr>
      <w:r>
        <w:rPr>
          <w:color w:val="00000A"/>
          <w:sz w:val="20"/>
          <w:szCs w:val="20"/>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Fernández-Jalvo, Y., Scott, L., Andrews, P., 2011. Taphonomy in palaeoecological in-terpretations. Quaternary Science Reviews 30 (11), 1296–1302.</w:t>
      </w:r>
    </w:p>
    <w:p>
      <w:pPr>
        <w:pStyle w:val="Normal"/>
        <w:spacing w:lineRule="exact" w:line="61" w:before="0" w:after="0"/>
        <w:rPr>
          <w:color w:val="00000A"/>
          <w:sz w:val="20"/>
          <w:szCs w:val="20"/>
        </w:rPr>
      </w:pPr>
      <w:r>
        <w:rPr>
          <w:color w:val="00000A"/>
          <w:sz w:val="20"/>
          <w:szCs w:val="20"/>
        </w:rPr>
      </w:r>
    </w:p>
    <w:p>
      <w:pPr>
        <w:pStyle w:val="Normal"/>
        <w:spacing w:lineRule="auto" w:line="398" w:before="0" w:after="0"/>
        <w:ind w:left="1440" w:right="1260" w:hanging="198"/>
        <w:jc w:val="both"/>
        <w:rPr>
          <w:color w:val="00000A"/>
          <w:sz w:val="20"/>
          <w:szCs w:val="20"/>
        </w:rPr>
      </w:pPr>
      <w:r>
        <w:rPr>
          <w:rFonts w:eastAsia="Arial" w:cs="Arial" w:ascii="Arial" w:hAnsi="Arial"/>
          <w:color w:val="00000A"/>
          <w:sz w:val="19"/>
          <w:szCs w:val="19"/>
        </w:rPr>
        <w:t>Fernández-López, R. S., Fernández-Jalvo, Y., Alcalá, L., 2002. Accumulation: tapho-nomic concept and other palaeontological uses. In: Renzi, M. D., Alonso, M. P., Belinchón, M., Peñalver, E., Montoya, P., Márquez-Aliaga, A. (Eds.), Current Top-ics on Taphonomy and Fossilization. pp. 37–47.</w:t>
      </w:r>
    </w:p>
    <w:p>
      <w:pPr>
        <w:pStyle w:val="Normal"/>
        <w:spacing w:lineRule="exact" w:line="98"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Fernández-López, S., 2006. Taphonomic alteration and evolutionary taphonomy. Jour-nal of Taphonomy 4 (3), 111–142.</w:t>
      </w:r>
    </w:p>
    <w:p>
      <w:pPr>
        <w:pStyle w:val="Normal"/>
        <w:spacing w:lineRule="exact" w:line="10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Fiorillo, A. R., 1988. A proposal for graphic presentation of orientation data from fossils. Contributions to Geology 26 (1), 1–4.</w:t>
      </w:r>
    </w:p>
    <w:p>
      <w:pPr>
        <w:pStyle w:val="Normal"/>
        <w:spacing w:lineRule="exact" w:line="107"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Fiorillo, A. R., 1991. Taphonomy and depositional setting of Careless Creek Quarry (Judith River Formation), Wheatland County, Montana, U.S.A. Palaeogeography, Palaeoclimatology, Palaeoecology 81 (3), 281–311.</w:t>
      </w:r>
    </w:p>
    <w:p>
      <w:pPr>
        <w:pStyle w:val="Normal"/>
        <w:spacing w:lineRule="exact" w:line="112" w:before="0" w:after="0"/>
        <w:rPr>
          <w:color w:val="00000A"/>
          <w:sz w:val="20"/>
          <w:szCs w:val="20"/>
        </w:rPr>
      </w:pPr>
      <w:r>
        <w:rPr>
          <w:color w:val="00000A"/>
          <w:sz w:val="20"/>
          <w:szCs w:val="20"/>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Frison, G. C., Todd, L. C., 1986. The Colby Mammoth Site: Taphonomy and Archae-ology of a Clovis Kill in Northern Wyoming. University of New Mexico Press.</w:t>
      </w:r>
    </w:p>
    <w:p>
      <w:pPr>
        <w:pStyle w:val="Normal"/>
        <w:spacing w:lineRule="exact" w:line="61" w:before="0" w:after="0"/>
        <w:rPr>
          <w:color w:val="00000A"/>
          <w:sz w:val="20"/>
          <w:szCs w:val="20"/>
        </w:rPr>
      </w:pPr>
      <w:r>
        <w:rPr>
          <w:color w:val="00000A"/>
          <w:sz w:val="20"/>
          <w:szCs w:val="20"/>
        </w:rPr>
      </w:r>
    </w:p>
    <w:p>
      <w:pPr>
        <w:pStyle w:val="Normal"/>
        <w:spacing w:lineRule="auto" w:line="403" w:before="0" w:after="0"/>
        <w:ind w:left="1440" w:right="1260" w:hanging="198"/>
        <w:jc w:val="both"/>
        <w:rPr/>
      </w:pPr>
      <w:r>
        <w:rPr>
          <w:rFonts w:eastAsia="Arial" w:cs="Arial" w:ascii="Arial" w:hAnsi="Arial"/>
          <w:color w:val="00000A"/>
          <w:sz w:val="19"/>
          <w:szCs w:val="19"/>
        </w:rPr>
        <w:t>Giusti, D., Arzarello, M., 2016. The need for a taphonomic perspective in spatial analy-sis: Formation processes at the Early Pleistocene site of Pirro Nord (P13), Apricena, Italy. Journal of Archaeological Science: Reports 8, 235–249.</w:t>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Giusti, D., Tourloukis, V., Konidaris, G., Thompson, N., Karkanas, P., Panagopoulou, E., Harvati, K., in press. Beyond maps: Patterns of formation processes at the Middle Pleistocene open-air site of Marathousa 1, Megalopolis basin, Greece. Quaternary International.</w:t>
      </w:r>
    </w:p>
    <w:p>
      <w:pPr>
        <w:pStyle w:val="Normal"/>
        <w:spacing w:lineRule="exact" w:line="153"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7"/>
          <w:szCs w:val="17"/>
        </w:rPr>
        <w:t>Hamilton, N., Rees, A. J., 1970. The use of magnetic fabric in palaeocurrent estimation.</w:t>
      </w:r>
    </w:p>
    <w:p>
      <w:pPr>
        <w:pStyle w:val="Normal"/>
        <w:spacing w:lineRule="exact" w:line="163" w:before="0" w:after="0"/>
        <w:rPr>
          <w:color w:val="00000A"/>
          <w:sz w:val="20"/>
          <w:szCs w:val="20"/>
        </w:rPr>
      </w:pPr>
      <w:r>
        <w:rPr>
          <w:color w:val="00000A"/>
          <w:sz w:val="20"/>
          <w:szCs w:val="20"/>
        </w:rPr>
      </w:r>
    </w:p>
    <w:p>
      <w:pPr>
        <w:pStyle w:val="Normal"/>
        <w:spacing w:before="0" w:after="0"/>
        <w:ind w:left="1440" w:hanging="0"/>
        <w:rPr>
          <w:color w:val="00000A"/>
          <w:sz w:val="20"/>
          <w:szCs w:val="20"/>
        </w:rPr>
      </w:pPr>
      <w:r>
        <w:rPr>
          <w:rFonts w:eastAsia="Arial" w:cs="Arial" w:ascii="Arial" w:hAnsi="Arial"/>
          <w:color w:val="00000A"/>
          <w:sz w:val="19"/>
          <w:szCs w:val="19"/>
        </w:rPr>
        <w:t>In: Runcorn, S. K. (Ed.), Palaeogeophysics. Academic, London, pp. 445–464.</w:t>
      </w:r>
    </w:p>
    <w:p>
      <w:pPr>
        <w:pStyle w:val="Normal"/>
        <w:spacing w:lineRule="exact" w:line="300"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Hill, A., 1976. On carnivore and weathering damage to bone. Current Anthropology 17, 335–336.</w:t>
      </w:r>
    </w:p>
    <w:p>
      <w:pPr>
        <w:pStyle w:val="Normal"/>
        <w:spacing w:lineRule="exact" w:line="14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Hrouda, F., 1982. Magnetic anisotropy of rocks and its application in geology and geophysics. Geophysical Surveys 5 (1), 37–82.</w:t>
      </w:r>
    </w:p>
    <w:p>
      <w:pPr>
        <w:pStyle w:val="Normal"/>
        <w:spacing w:lineRule="exact" w:line="147"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Hrouda, F., Janák, F., 1976. The changes in shape of the magnetic susceptibility ellip-soid during progressive metamorphism and deformation. Tectonophysics 34, 135– 148.</w:t>
      </w:r>
    </w:p>
    <w:p>
      <w:pPr>
        <w:pStyle w:val="Normal"/>
        <w:spacing w:lineRule="exact" w:line="152"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8"/>
          <w:szCs w:val="18"/>
        </w:rPr>
        <w:t>Jammalamadaka, S., Sengupta, A., Sengupta, A., 2001. Topics in Circular Statistics.</w:t>
      </w:r>
    </w:p>
    <w:p>
      <w:pPr>
        <w:pStyle w:val="Normal"/>
        <w:spacing w:lineRule="exact" w:line="152" w:before="0" w:after="0"/>
        <w:rPr>
          <w:color w:val="00000A"/>
          <w:sz w:val="20"/>
          <w:szCs w:val="20"/>
        </w:rPr>
      </w:pPr>
      <w:r>
        <w:rPr>
          <w:color w:val="00000A"/>
          <w:sz w:val="20"/>
          <w:szCs w:val="20"/>
        </w:rPr>
      </w:r>
    </w:p>
    <w:p>
      <w:pPr>
        <w:pStyle w:val="Normal"/>
        <w:spacing w:before="0" w:after="0"/>
        <w:ind w:left="1440" w:hanging="0"/>
        <w:rPr>
          <w:color w:val="00000A"/>
          <w:sz w:val="20"/>
          <w:szCs w:val="20"/>
        </w:rPr>
      </w:pPr>
      <w:r>
        <w:rPr>
          <w:rFonts w:eastAsia="Arial" w:cs="Arial" w:ascii="Arial" w:hAnsi="Arial"/>
          <w:color w:val="00000A"/>
          <w:sz w:val="20"/>
          <w:szCs w:val="20"/>
        </w:rPr>
        <w:t>Series on multivariate analysis. World Scientific.</w:t>
      </w:r>
    </w:p>
    <w:p>
      <w:pPr>
        <w:pStyle w:val="Normal"/>
        <w:spacing w:lineRule="exact" w:line="288"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Jelinek, V., 1981. Characterization of the magnetic fabrics of rocks. Tectonophysics 79, 63–67.</w:t>
      </w:r>
    </w:p>
    <w:p>
      <w:pPr>
        <w:pStyle w:val="Normal"/>
        <w:spacing w:lineRule="exact" w:line="147" w:before="0" w:after="0"/>
        <w:rPr>
          <w:color w:val="00000A"/>
          <w:sz w:val="20"/>
          <w:szCs w:val="20"/>
        </w:rPr>
      </w:pPr>
      <w:r>
        <w:rPr>
          <w:color w:val="00000A"/>
          <w:sz w:val="20"/>
          <w:szCs w:val="20"/>
        </w:rPr>
      </w:r>
    </w:p>
    <w:p>
      <w:pPr>
        <w:pStyle w:val="Normal"/>
        <w:spacing w:lineRule="auto" w:line="398" w:before="0" w:after="0"/>
        <w:ind w:left="1440" w:right="1260" w:hanging="198"/>
        <w:jc w:val="both"/>
        <w:rPr>
          <w:color w:val="00000A"/>
          <w:sz w:val="20"/>
          <w:szCs w:val="20"/>
        </w:rPr>
      </w:pPr>
      <w:r>
        <w:rPr>
          <w:rFonts w:eastAsia="Arial" w:cs="Arial" w:ascii="Arial" w:hAnsi="Arial"/>
          <w:color w:val="00000A"/>
          <w:sz w:val="19"/>
          <w:szCs w:val="19"/>
        </w:rPr>
        <w:t>Kaufmann, C., Gutiérrez, M. A., Álvarez, M. C., González, M. E., Massigoge, A., 2011. Fluvial dispersal potential of guanaco bones (Lama guanicoe) under controlled experimental conditions: the influence of age classes to the hydrodynamic behavior. Journal of Archaeological Science 38 (2), 334–344.</w:t>
      </w:r>
    </w:p>
    <w:p>
      <w:pPr>
        <w:pStyle w:val="Normal"/>
        <w:spacing w:lineRule="exact" w:line="137" w:before="0" w:after="0"/>
        <w:rPr>
          <w:color w:val="00000A"/>
          <w:sz w:val="20"/>
          <w:szCs w:val="20"/>
        </w:rPr>
      </w:pPr>
      <w:r>
        <w:rPr>
          <w:color w:val="00000A"/>
          <w:sz w:val="20"/>
          <w:szCs w:val="20"/>
        </w:rPr>
      </w:r>
    </w:p>
    <w:p>
      <w:pPr>
        <w:pStyle w:val="Normal"/>
        <w:spacing w:lineRule="auto" w:line="374" w:before="0" w:after="0"/>
        <w:ind w:left="1440" w:right="1260" w:hanging="198"/>
        <w:jc w:val="both"/>
        <w:rPr/>
      </w:pPr>
      <w:r>
        <w:rPr>
          <w:rFonts w:eastAsia="Arial" w:cs="Arial" w:ascii="Arial" w:hAnsi="Arial"/>
          <w:color w:val="00000A"/>
          <w:sz w:val="20"/>
          <w:szCs w:val="20"/>
        </w:rPr>
        <w:t>Konidaris, G. E., Kostopoulos, D. S., Koufos, G. D., V., T., Harvati, K., 2016. Tsio-tra Vryssi: a new vertebrate locality from the Early Pleistocene of Mygdonia Basin (Macedonia, Greece). In: XIV Annual Meeting of the European Association of Ver-tebrate Palaeontologists. Koninklijke Nederlandse Akademie Van Wetenschappen, p. 37.</w:t>
      </w:r>
    </w:p>
    <w:p>
      <w:pPr>
        <w:pStyle w:val="Normal"/>
        <w:spacing w:lineRule="auto" w:line="374" w:before="0" w:after="0"/>
        <w:ind w:left="1440" w:right="1260" w:hanging="198"/>
        <w:jc w:val="both"/>
        <w:rPr>
          <w:rFonts w:ascii="Arial" w:hAnsi="Arial" w:eastAsia="Arial" w:cs="Arial"/>
          <w:color w:val="00000A"/>
          <w:sz w:val="20"/>
          <w:szCs w:val="20"/>
        </w:rPr>
      </w:pPr>
      <w:r>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Konidaris, G. E., Tourloukis, V., Kostopoulos, D. S., Thompson, N., Giusti, D., Michai-lidis, D., Koufos, G. D., Harvati, K., 2015. Two new vertebrate localities from the Early Pleistocene of Mygdonia Basin (Macedonia, Greece): Preliminary results. Comptes Rendus Palevol 14 (5), 353–362.</w:t>
      </w:r>
    </w:p>
    <w:p>
      <w:pPr>
        <w:pStyle w:val="Normal"/>
        <w:spacing w:lineRule="exact" w:line="152"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Koufos, G. D., Konidaris, G. E., Harvati, K., in press. Revisiting Ursus etruscus (Car-nivora, Mammalia) from the Early Pleistocene of Greece with description of new material. Quaternary International.</w:t>
      </w:r>
    </w:p>
    <w:p>
      <w:pPr>
        <w:pStyle w:val="Normal"/>
        <w:spacing w:lineRule="exact" w:line="152"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Koufos, G. D., Syrides, G. E., Kostopoulos, D. S., Koliadimou, K. K., 1995. Prelim-inary results about the stratigraphy and the palaeoenvironment of Mygdonia Basin, Macedonia, Greece. Geobios 28 (Supplement 1), 243–249, first European Palaeon-tological Congress.</w:t>
      </w:r>
    </w:p>
    <w:p>
      <w:pPr>
        <w:pStyle w:val="Normal"/>
        <w:spacing w:lineRule="exact" w:line="153" w:before="0" w:after="0"/>
        <w:rPr>
          <w:color w:val="00000A"/>
          <w:sz w:val="20"/>
          <w:szCs w:val="20"/>
        </w:rPr>
      </w:pPr>
      <w:r>
        <w:rPr>
          <w:color w:val="00000A"/>
          <w:sz w:val="20"/>
          <w:szCs w:val="20"/>
        </w:rPr>
      </w:r>
    </w:p>
    <w:p>
      <w:pPr>
        <w:pStyle w:val="Normal"/>
        <w:spacing w:lineRule="auto" w:line="432" w:before="0" w:after="0"/>
        <w:ind w:left="1440" w:right="1260" w:hanging="198"/>
        <w:jc w:val="both"/>
        <w:rPr>
          <w:color w:val="00000A"/>
          <w:sz w:val="20"/>
          <w:szCs w:val="20"/>
        </w:rPr>
      </w:pPr>
      <w:r>
        <w:rPr>
          <w:rFonts w:eastAsia="Arial" w:cs="Arial" w:ascii="Arial" w:hAnsi="Arial"/>
          <w:color w:val="00000A"/>
          <w:sz w:val="18"/>
          <w:szCs w:val="18"/>
        </w:rPr>
        <w:t>Kühn, P., Aguilar, J., Miedema, R., 2010. Textural pedofeatures and related horizons. In: Stoops, G., Marcelino, V., Mees, F. (Eds.), Interpretation of micromorphological features of soils and regoliths. Elsevier, Oxford, pp. 217–250.</w:t>
      </w:r>
    </w:p>
    <w:p>
      <w:pPr>
        <w:pStyle w:val="Normal"/>
        <w:spacing w:lineRule="exact" w:line="118"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8"/>
          <w:szCs w:val="18"/>
        </w:rPr>
        <w:t>Lanza, R., Meloni, A., 2006. The Earth’s Magnetism: An Introduction to Geologists.</w:t>
      </w:r>
    </w:p>
    <w:p>
      <w:pPr>
        <w:pStyle w:val="Normal"/>
        <w:spacing w:lineRule="exact" w:line="152" w:before="0" w:after="0"/>
        <w:rPr>
          <w:color w:val="00000A"/>
          <w:sz w:val="20"/>
          <w:szCs w:val="20"/>
        </w:rPr>
      </w:pPr>
      <w:r>
        <w:rPr>
          <w:color w:val="00000A"/>
          <w:sz w:val="20"/>
          <w:szCs w:val="20"/>
        </w:rPr>
      </w:r>
    </w:p>
    <w:p>
      <w:pPr>
        <w:pStyle w:val="Normal"/>
        <w:spacing w:before="0" w:after="0"/>
        <w:ind w:left="1440" w:hanging="0"/>
        <w:rPr>
          <w:color w:val="00000A"/>
          <w:sz w:val="20"/>
          <w:szCs w:val="20"/>
        </w:rPr>
      </w:pPr>
      <w:r>
        <w:rPr>
          <w:rFonts w:eastAsia="Arial" w:cs="Arial" w:ascii="Arial" w:hAnsi="Arial"/>
          <w:color w:val="00000A"/>
          <w:sz w:val="20"/>
          <w:szCs w:val="20"/>
        </w:rPr>
        <w:t>Springer, Berlin.</w:t>
      </w:r>
    </w:p>
    <w:p>
      <w:pPr>
        <w:pStyle w:val="Normal"/>
        <w:spacing w:lineRule="exact" w:line="288"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Legendre, P., Legendre, L., 2012. Numerical Ecology. Developments in Environmental Modelling. Elsevier Science.</w:t>
      </w:r>
    </w:p>
    <w:p>
      <w:pPr>
        <w:pStyle w:val="Normal"/>
        <w:spacing w:lineRule="exact" w:line="147" w:before="0" w:after="0"/>
        <w:rPr>
          <w:color w:val="00000A"/>
          <w:sz w:val="20"/>
          <w:szCs w:val="20"/>
        </w:rPr>
      </w:pPr>
      <w:r>
        <w:rPr>
          <w:color w:val="00000A"/>
          <w:sz w:val="20"/>
          <w:szCs w:val="20"/>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Lenoble, A., Bertran, P., 2004. Fabric of Palaeolithic levels: methods and implications for site formation processes. Journal of Archaeological Science 31 (4), 457 – 469.</w:t>
      </w:r>
    </w:p>
    <w:p>
      <w:pPr>
        <w:pStyle w:val="Normal"/>
        <w:spacing w:lineRule="exact" w:line="101"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Lenoble, A., Bertran, P., Lacrampe, F., 2008. Solifluction-induced modifications of archaeological levels: simulation based on experimental data from a modern periglacial slope and application to French Palaeolithic sites. Journal of Archaeo-logical Science 35 (1), 99 – 110.</w:t>
      </w:r>
    </w:p>
    <w:p>
      <w:pPr>
        <w:pStyle w:val="Normal"/>
        <w:spacing w:lineRule="exact" w:line="153" w:before="0" w:after="0"/>
        <w:rPr>
          <w:color w:val="00000A"/>
          <w:sz w:val="20"/>
          <w:szCs w:val="20"/>
        </w:rPr>
      </w:pPr>
      <w:r>
        <w:rPr>
          <w:color w:val="00000A"/>
          <w:sz w:val="20"/>
          <w:szCs w:val="20"/>
        </w:rPr>
      </w:r>
    </w:p>
    <w:p>
      <w:pPr>
        <w:pStyle w:val="Normal"/>
        <w:spacing w:lineRule="auto" w:line="403" w:before="0" w:after="0"/>
        <w:ind w:left="1440" w:right="1260" w:hanging="198"/>
        <w:jc w:val="both"/>
        <w:rPr/>
      </w:pPr>
      <w:r>
        <w:rPr>
          <w:rFonts w:eastAsia="Arial" w:cs="Arial" w:ascii="Arial" w:hAnsi="Arial"/>
          <w:color w:val="00000A"/>
          <w:sz w:val="19"/>
          <w:szCs w:val="19"/>
        </w:rPr>
        <w:t>Lindbo, D. L., Stolt, M. H., Vepraskas, M. J., 2010. Redoximorphic features. In: Stoops, G., Marcelino, V., Mees, F. (Eds.), Interpretation of micromorphological features of soils and regoliths. Elsevier, Oxford, pp. 129–147.</w:t>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Liu, B., Saito, Y., Yamazaki, T., Abdelayem, A., Oda, H., Hori, K., Zhao, Q., 2001. Paleocurrent analysis for the Late Pleistocene-Holocene incised-valley fill of the Yangtze delta, China by using anisotropy of magnetic susceptibility data. Marine Geology 176, 175–189.</w:t>
      </w:r>
    </w:p>
    <w:p>
      <w:pPr>
        <w:pStyle w:val="Normal"/>
        <w:spacing w:lineRule="exact" w:line="13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Lloyd, C., Atkinson, P., 2004. Archaeology and geostatistics. Journal of Archaeological Science 31 (2), 151 – 165.</w:t>
      </w:r>
    </w:p>
    <w:p>
      <w:pPr>
        <w:pStyle w:val="Normal"/>
        <w:spacing w:lineRule="exact" w:line="131" w:before="0" w:after="0"/>
        <w:rPr>
          <w:color w:val="00000A"/>
          <w:sz w:val="20"/>
          <w:szCs w:val="20"/>
        </w:rPr>
      </w:pPr>
      <w:r>
        <w:rPr>
          <w:color w:val="00000A"/>
          <w:sz w:val="20"/>
          <w:szCs w:val="20"/>
        </w:rPr>
      </w:r>
    </w:p>
    <w:p>
      <w:pPr>
        <w:pStyle w:val="Normal"/>
        <w:spacing w:lineRule="auto" w:line="412" w:before="0" w:after="0"/>
        <w:ind w:left="1440" w:right="1260" w:hanging="198"/>
        <w:jc w:val="both"/>
        <w:rPr>
          <w:color w:val="00000A"/>
          <w:sz w:val="20"/>
          <w:szCs w:val="20"/>
        </w:rPr>
      </w:pPr>
      <w:r>
        <w:rPr>
          <w:rFonts w:eastAsia="Arial" w:cs="Arial" w:ascii="Arial" w:hAnsi="Arial"/>
          <w:color w:val="00000A"/>
          <w:sz w:val="19"/>
          <w:szCs w:val="19"/>
        </w:rPr>
        <w:t>Lowrie, W., Hirt, A. M., 1987. Anisotropy of magnetic susceptibility in the scaglia rossa pelagic limestone. arth and Planetary Science Letters 82, 349–356.</w:t>
      </w:r>
    </w:p>
    <w:p>
      <w:pPr>
        <w:pStyle w:val="Normal"/>
        <w:spacing w:lineRule="exact" w:line="109"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Lyman, R., 1994. Vertebrate Taphonomy. Cambridge Manuals in Archaeology. Cam-bridge University Press.</w:t>
      </w:r>
    </w:p>
    <w:p>
      <w:pPr>
        <w:pStyle w:val="Normal"/>
        <w:spacing w:lineRule="exact" w:line="131"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Lyman, R. L., 2010. What taphonomy is, what it isn’t, and why taphonomists should care about the di erence. Journal of Taphonomy 8 (1), 1–16.</w:t>
      </w:r>
    </w:p>
    <w:p>
      <w:pPr>
        <w:pStyle w:val="Normal"/>
        <w:spacing w:lineRule="exact" w:line="131"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Markofsky, S., Bevan, A., 2012. Directional analysis of surface artefact distributions: a case study from the Murghab Delta, Turkmenistan. Journal of Archaeological Sci-ence 39 (2), 428 – 439.</w:t>
      </w:r>
    </w:p>
    <w:p>
      <w:pPr>
        <w:pStyle w:val="Normal"/>
        <w:spacing w:lineRule="exact" w:line="136" w:before="0" w:after="0"/>
        <w:rPr>
          <w:color w:val="00000A"/>
          <w:sz w:val="20"/>
          <w:szCs w:val="20"/>
        </w:rPr>
      </w:pPr>
      <w:r>
        <w:rPr>
          <w:color w:val="00000A"/>
          <w:sz w:val="20"/>
          <w:szCs w:val="20"/>
        </w:rPr>
      </w:r>
    </w:p>
    <w:p>
      <w:pPr>
        <w:pStyle w:val="Normal"/>
        <w:spacing w:lineRule="auto" w:line="403" w:before="0" w:after="0"/>
        <w:ind w:left="1440" w:right="1260" w:hanging="198"/>
        <w:jc w:val="both"/>
        <w:rPr>
          <w:color w:val="00000A"/>
          <w:sz w:val="20"/>
          <w:szCs w:val="20"/>
        </w:rPr>
      </w:pPr>
      <w:r>
        <w:rPr>
          <w:rFonts w:eastAsia="Arial" w:cs="Arial" w:ascii="Arial" w:hAnsi="Arial"/>
          <w:color w:val="00000A"/>
          <w:sz w:val="19"/>
          <w:szCs w:val="19"/>
        </w:rPr>
        <w:t>Miall, A. D., 1977. Lithofacies Types and Vertical Profile Models in Braided River Deposits: A Summary. In: Miall, A. D. (Ed.), Fluvial Sedimentology. Vol. Memoir 5. Canadian Society of Petroleum Geologists, Calgary, pp. 597–604.</w:t>
      </w:r>
    </w:p>
    <w:p>
      <w:pPr>
        <w:pStyle w:val="Normal"/>
        <w:spacing w:lineRule="exact" w:line="119"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9"/>
          <w:szCs w:val="19"/>
        </w:rPr>
        <w:t>Miall, A. D., 1982. Analysis of fluvial depositional systems. AAPG, Tulsa, Okla.</w:t>
      </w:r>
    </w:p>
    <w:p>
      <w:pPr>
        <w:pStyle w:val="Normal"/>
        <w:spacing w:lineRule="exact" w:line="284"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Murphy, C. P., 1986. Thin section preparation of soils and sediments. AB Academic Publishers, Berkhamsted.</w:t>
      </w:r>
    </w:p>
    <w:p>
      <w:pPr>
        <w:pStyle w:val="Normal"/>
        <w:spacing w:lineRule="exact" w:line="131"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Nash, D. T., Petraglia, M. D. (Eds.), 1987. Natural formation processes and the archae-ological record. Vol. 352 of International Series. British Archaeological Reports, Oxford.</w:t>
      </w:r>
    </w:p>
    <w:p>
      <w:pPr>
        <w:pStyle w:val="Normal"/>
        <w:spacing w:lineRule="exact" w:line="136" w:before="0" w:after="0"/>
        <w:rPr>
          <w:color w:val="00000A"/>
          <w:sz w:val="20"/>
          <w:szCs w:val="20"/>
        </w:rPr>
      </w:pPr>
      <w:r>
        <w:rPr>
          <w:color w:val="00000A"/>
          <w:sz w:val="20"/>
          <w:szCs w:val="20"/>
        </w:rPr>
      </w:r>
    </w:p>
    <w:p>
      <w:pPr>
        <w:pStyle w:val="Normal"/>
        <w:spacing w:lineRule="auto" w:line="376" w:before="0" w:after="0"/>
        <w:ind w:left="1440" w:right="1260" w:hanging="198"/>
        <w:jc w:val="both"/>
        <w:rPr/>
      </w:pPr>
      <w:r>
        <w:rPr>
          <w:rFonts w:eastAsia="Arial" w:cs="Arial" w:ascii="Arial" w:hAnsi="Arial"/>
          <w:color w:val="00000A"/>
          <w:sz w:val="20"/>
          <w:szCs w:val="20"/>
        </w:rPr>
        <w:t>Novak, B., Housen, B., Kitamura, Y., Kanamatsuc, T., Kawamura, K., 2014. Magnetic fabric analyses as a method for determining sediment transport and deposition in deep sea sediments. Marine Geology 356, 19–30.</w:t>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Organista, E., Domínguez-Rodrigo, M., Yravedra, J., Uribelarrea, D., Arriaza, M. C., Ortega, M. C., Mabulla, A., Gidna, A., Baquedano, E., 2017. Biotic and abiotic processes a ecting the formation of {BK} Level 4c (Bed II, Olduvai Gorge) and their bearing on hominin behavior at the site. Palaeogeography, Palaeoclimatology, Palaeoecology 488, 59–75.</w:t>
      </w:r>
    </w:p>
    <w:p>
      <w:pPr>
        <w:pStyle w:val="Normal"/>
        <w:spacing w:lineRule="exact" w:line="156"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Palombo, M. R., 2010. A scenario of human dispersal in the northwestern Mediter-ranean throughout the Early to Middle Pleistocene. Quaternary International 223–224 (0), 179–194.</w:t>
      </w:r>
    </w:p>
    <w:p>
      <w:pPr>
        <w:pStyle w:val="Normal"/>
        <w:spacing w:lineRule="exact" w:line="152"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Palombo, M. R., 2016. To what extent could functional diversity be a useful tool in inferring ecosystem responses to past climate changes? Quaternary International 413 (Part B), 15–31.</w:t>
      </w:r>
    </w:p>
    <w:p>
      <w:pPr>
        <w:pStyle w:val="Normal"/>
        <w:spacing w:lineRule="exact" w:line="152"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Pante, M. C., Blumenschine, R. J., 2010. Fluvial transport of bovid long bones frag-mented by the feeding activities of hominins and carnivores. Journal of Archaeolog-ical Science 37 (4), 846 – 854.</w:t>
      </w:r>
    </w:p>
    <w:p>
      <w:pPr>
        <w:pStyle w:val="Normal"/>
        <w:spacing w:lineRule="exact" w:line="152"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Parés, J. M., Hassold, N. J. C., Rea, D. K., van der Pluijm, B. A., 2007. Paleocurrent di-rections from paleomagnetic reorentiation of magnetic fabrics in deep-sea sediments at the Antarctic Peninsula Pacific margin (ODP sites 1095, 1101). Marine Geology 242, 261–269.</w:t>
      </w:r>
    </w:p>
    <w:p>
      <w:pPr>
        <w:pStyle w:val="Normal"/>
        <w:spacing w:lineRule="exact" w:line="153" w:before="0" w:after="0"/>
        <w:rPr>
          <w:color w:val="00000A"/>
          <w:sz w:val="20"/>
          <w:szCs w:val="20"/>
        </w:rPr>
      </w:pPr>
      <w:r>
        <w:rPr>
          <w:color w:val="00000A"/>
          <w:sz w:val="20"/>
          <w:szCs w:val="20"/>
        </w:rPr>
      </w:r>
    </w:p>
    <w:p>
      <w:pPr>
        <w:pStyle w:val="Normal"/>
        <w:spacing w:lineRule="auto" w:line="374" w:before="0" w:after="0"/>
        <w:ind w:left="1440" w:right="1260" w:hanging="198"/>
        <w:jc w:val="both"/>
        <w:rPr>
          <w:color w:val="00000A"/>
          <w:sz w:val="20"/>
          <w:szCs w:val="20"/>
        </w:rPr>
      </w:pPr>
      <w:r>
        <w:rPr>
          <w:rFonts w:eastAsia="Arial" w:cs="Arial" w:ascii="Arial" w:hAnsi="Arial"/>
          <w:color w:val="00000A"/>
          <w:sz w:val="20"/>
          <w:szCs w:val="20"/>
        </w:rPr>
        <w:t>Petraglia, M. D., Nash, D. T., 1987. The impact of fluvial processes on experimen-tal sites. In: Nash, D. T., Petraglia, M. D. (Eds.), Natural formation processes and the archaeological record. Vol. 352 of International Series. British Archaeological Reports, Oxford, pp. 108–130.</w:t>
      </w:r>
    </w:p>
    <w:p>
      <w:pPr>
        <w:pStyle w:val="Normal"/>
        <w:spacing w:lineRule="exact" w:line="153"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Petraglia, M. D., Potts, R., 1994. Water Flow and the Formation of Early Pleistocene Artifact Sites in Olduvai Gorge, Tanzania. Journal of Anthropological Archaeology 13 (3), 228–254.</w:t>
      </w:r>
    </w:p>
    <w:p>
      <w:pPr>
        <w:pStyle w:val="Normal"/>
        <w:spacing w:lineRule="exact" w:line="152" w:before="0" w:after="0"/>
        <w:rPr>
          <w:color w:val="00000A"/>
          <w:sz w:val="20"/>
          <w:szCs w:val="20"/>
        </w:rPr>
      </w:pPr>
      <w:r>
        <w:rPr>
          <w:color w:val="00000A"/>
          <w:sz w:val="20"/>
          <w:szCs w:val="20"/>
        </w:rPr>
      </w:r>
    </w:p>
    <w:p>
      <w:pPr>
        <w:pStyle w:val="Normal"/>
        <w:spacing w:lineRule="auto" w:line="379" w:before="0" w:after="0"/>
        <w:ind w:left="1440" w:right="1260" w:hanging="198"/>
        <w:jc w:val="both"/>
        <w:rPr/>
      </w:pPr>
      <w:r>
        <w:rPr>
          <w:rFonts w:eastAsia="Arial" w:cs="Arial" w:ascii="Arial" w:hAnsi="Arial"/>
          <w:color w:val="00000A"/>
          <w:sz w:val="20"/>
          <w:szCs w:val="20"/>
        </w:rPr>
        <w:t>R Core Team, 2017. R: A Language and Environment for Statistical Computing. R Foundation for Statistical Computing, Vienna, Austria.</w:t>
      </w:r>
    </w:p>
    <w:p>
      <w:pPr>
        <w:pStyle w:val="Normal"/>
        <w:spacing w:lineRule="auto" w:line="379" w:before="0" w:after="0"/>
        <w:ind w:left="1440" w:right="1260" w:hanging="198"/>
        <w:jc w:val="both"/>
        <w:rPr>
          <w:rFonts w:ascii="Arial" w:hAnsi="Arial" w:eastAsia="Arial" w:cs="Arial"/>
          <w:color w:val="00000A"/>
          <w:sz w:val="20"/>
          <w:szCs w:val="20"/>
        </w:rPr>
      </w:pPr>
      <w:r>
        <w:rPr/>
      </w:r>
    </w:p>
    <w:p>
      <w:pPr>
        <w:pStyle w:val="Normal"/>
        <w:spacing w:lineRule="auto" w:line="448" w:before="0" w:after="0"/>
        <w:ind w:left="1440" w:right="1260" w:hanging="198"/>
        <w:jc w:val="both"/>
        <w:rPr>
          <w:color w:val="00000A"/>
          <w:sz w:val="20"/>
          <w:szCs w:val="20"/>
        </w:rPr>
      </w:pPr>
      <w:r>
        <w:rPr>
          <w:rFonts w:eastAsia="Arial" w:cs="Arial" w:ascii="Arial" w:hAnsi="Arial"/>
          <w:color w:val="00000A"/>
          <w:sz w:val="18"/>
          <w:szCs w:val="18"/>
        </w:rPr>
        <w:t>Rosenberg, M., Anderson, C., 2011. Passage: Pattern analysis, spatial statistics and geographic exegesis. version 2. Methods in Ecology and Evolution 2 (3), 229–232.</w:t>
      </w:r>
    </w:p>
    <w:p>
      <w:pPr>
        <w:pStyle w:val="Normal"/>
        <w:spacing w:lineRule="exact" w:line="101"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8"/>
          <w:szCs w:val="18"/>
        </w:rPr>
        <w:t>Rosenberg, M. S., 2004. Wavelet analysis for detecting anisotropy in point patterns.</w:t>
      </w:r>
    </w:p>
    <w:p>
      <w:pPr>
        <w:pStyle w:val="Normal"/>
        <w:spacing w:lineRule="exact" w:line="152" w:before="0" w:after="0"/>
        <w:rPr>
          <w:color w:val="00000A"/>
          <w:sz w:val="20"/>
          <w:szCs w:val="20"/>
        </w:rPr>
      </w:pPr>
      <w:r>
        <w:rPr>
          <w:color w:val="00000A"/>
          <w:sz w:val="20"/>
          <w:szCs w:val="20"/>
        </w:rPr>
      </w:r>
    </w:p>
    <w:p>
      <w:pPr>
        <w:pStyle w:val="Normal"/>
        <w:spacing w:before="0" w:after="0"/>
        <w:ind w:left="1440" w:hanging="0"/>
        <w:rPr>
          <w:color w:val="00000A"/>
          <w:sz w:val="20"/>
          <w:szCs w:val="20"/>
        </w:rPr>
      </w:pPr>
      <w:r>
        <w:rPr>
          <w:rFonts w:eastAsia="Arial" w:cs="Arial" w:ascii="Arial" w:hAnsi="Arial"/>
          <w:color w:val="00000A"/>
          <w:sz w:val="20"/>
          <w:szCs w:val="20"/>
        </w:rPr>
        <w:t>Journal of Vegetation Science 15 (2), 277–284.</w:t>
      </w:r>
    </w:p>
    <w:p>
      <w:pPr>
        <w:pStyle w:val="Normal"/>
        <w:spacing w:lineRule="exact" w:line="288" w:before="0" w:after="0"/>
        <w:rPr>
          <w:color w:val="00000A"/>
          <w:sz w:val="20"/>
          <w:szCs w:val="20"/>
        </w:rPr>
      </w:pPr>
      <w:r>
        <w:rPr>
          <w:color w:val="00000A"/>
          <w:sz w:val="20"/>
          <w:szCs w:val="20"/>
        </w:rPr>
      </w:r>
    </w:p>
    <w:p>
      <w:pPr>
        <w:pStyle w:val="Normal"/>
        <w:spacing w:lineRule="auto" w:line="398" w:before="0" w:after="0"/>
        <w:ind w:left="1440" w:right="1260" w:hanging="198"/>
        <w:jc w:val="both"/>
        <w:rPr>
          <w:color w:val="00000A"/>
          <w:sz w:val="20"/>
          <w:szCs w:val="20"/>
        </w:rPr>
      </w:pPr>
      <w:r>
        <w:rPr>
          <w:rFonts w:eastAsia="Arial" w:cs="Arial" w:ascii="Arial" w:hAnsi="Arial"/>
          <w:color w:val="00000A"/>
          <w:sz w:val="19"/>
          <w:szCs w:val="19"/>
        </w:rPr>
        <w:t>Schick, K. D., 1987. Experimentally-derived criteria for assessing hydrologic distur-bance of archaeological sites. In: Nash, D. T., Petraglia, M. D. (Eds.), Natural for-mation processes and the archaeological record. Vol. 352 of International Series. British Archaeological Reports, Oxford, pp. 86–107.</w:t>
      </w:r>
    </w:p>
    <w:p>
      <w:pPr>
        <w:pStyle w:val="Normal"/>
        <w:spacing w:lineRule="exact" w:line="137"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Schi er, M. B., 1987. Formation processes of the archaeological record. University of New Mexico Press, Albuquerque.</w:t>
      </w:r>
    </w:p>
    <w:p>
      <w:pPr>
        <w:pStyle w:val="Normal"/>
        <w:spacing w:lineRule="exact" w:line="147" w:before="0" w:after="0"/>
        <w:rPr>
          <w:color w:val="00000A"/>
          <w:sz w:val="20"/>
          <w:szCs w:val="20"/>
        </w:rPr>
      </w:pPr>
      <w:r>
        <w:rPr>
          <w:color w:val="00000A"/>
          <w:sz w:val="20"/>
          <w:szCs w:val="20"/>
        </w:rPr>
      </w:r>
    </w:p>
    <w:p>
      <w:pPr>
        <w:pStyle w:val="Normal"/>
        <w:spacing w:lineRule="auto" w:line="412" w:before="0" w:after="0"/>
        <w:ind w:left="1440" w:right="1260" w:hanging="198"/>
        <w:jc w:val="both"/>
        <w:rPr>
          <w:color w:val="00000A"/>
          <w:sz w:val="20"/>
          <w:szCs w:val="20"/>
        </w:rPr>
      </w:pPr>
      <w:r>
        <w:rPr>
          <w:rFonts w:eastAsia="Arial" w:cs="Arial" w:ascii="Arial" w:hAnsi="Arial"/>
          <w:color w:val="00000A"/>
          <w:sz w:val="19"/>
          <w:szCs w:val="19"/>
        </w:rPr>
        <w:t>Stacey, F. D., Joplin, G., Lindsay, J., 1960. Magnetic anisotropy and fabric of some foliated rocks from se australia. Geofisica Pura e Applicata 47, 30–40.</w:t>
      </w:r>
    </w:p>
    <w:p>
      <w:pPr>
        <w:pStyle w:val="Normal"/>
        <w:spacing w:lineRule="exact" w:line="125" w:before="0" w:after="0"/>
        <w:rPr>
          <w:color w:val="00000A"/>
          <w:sz w:val="20"/>
          <w:szCs w:val="20"/>
        </w:rPr>
      </w:pPr>
      <w:r>
        <w:rPr>
          <w:color w:val="00000A"/>
          <w:sz w:val="20"/>
          <w:szCs w:val="20"/>
        </w:rPr>
      </w:r>
    </w:p>
    <w:p>
      <w:pPr>
        <w:pStyle w:val="Normal"/>
        <w:spacing w:lineRule="auto" w:line="379" w:before="0" w:after="0"/>
        <w:ind w:left="1440" w:right="1260" w:hanging="198"/>
        <w:jc w:val="both"/>
        <w:rPr>
          <w:color w:val="00000A"/>
          <w:sz w:val="20"/>
          <w:szCs w:val="20"/>
        </w:rPr>
      </w:pPr>
      <w:r>
        <w:rPr>
          <w:rFonts w:eastAsia="Arial" w:cs="Arial" w:ascii="Arial" w:hAnsi="Arial"/>
          <w:color w:val="00000A"/>
          <w:sz w:val="20"/>
          <w:szCs w:val="20"/>
        </w:rPr>
        <w:t>Tarling, D. H., Hrouda, F., 1993. The Magnetic Anisotropy of Rocks. Chapman and Hall, London.</w:t>
      </w:r>
    </w:p>
    <w:p>
      <w:pPr>
        <w:pStyle w:val="Normal"/>
        <w:spacing w:lineRule="exact" w:line="147" w:before="0" w:after="0"/>
        <w:rPr>
          <w:color w:val="00000A"/>
          <w:sz w:val="20"/>
          <w:szCs w:val="20"/>
        </w:rPr>
      </w:pPr>
      <w:r>
        <w:rPr>
          <w:color w:val="00000A"/>
          <w:sz w:val="20"/>
          <w:szCs w:val="20"/>
        </w:rPr>
      </w:r>
    </w:p>
    <w:p>
      <w:pPr>
        <w:pStyle w:val="Normal"/>
        <w:spacing w:before="0" w:after="0"/>
        <w:ind w:left="1240" w:hanging="0"/>
        <w:rPr>
          <w:color w:val="00000A"/>
          <w:sz w:val="20"/>
          <w:szCs w:val="20"/>
        </w:rPr>
      </w:pPr>
      <w:r>
        <w:rPr>
          <w:rFonts w:eastAsia="Arial" w:cs="Arial" w:ascii="Arial" w:hAnsi="Arial"/>
          <w:color w:val="00000A"/>
          <w:sz w:val="18"/>
          <w:szCs w:val="18"/>
        </w:rPr>
        <w:t>Toots, H., 1965. Orientation and distribution of fossils as environmental indicators. In:</w:t>
      </w:r>
    </w:p>
    <w:p>
      <w:pPr>
        <w:pStyle w:val="Normal"/>
        <w:spacing w:lineRule="exact" w:line="152" w:before="0" w:after="0"/>
        <w:rPr>
          <w:color w:val="00000A"/>
          <w:sz w:val="20"/>
          <w:szCs w:val="20"/>
        </w:rPr>
      </w:pPr>
      <w:r>
        <w:rPr>
          <w:color w:val="00000A"/>
          <w:sz w:val="20"/>
          <w:szCs w:val="20"/>
        </w:rPr>
      </w:r>
    </w:p>
    <w:p>
      <w:pPr>
        <w:pStyle w:val="Normal"/>
        <w:spacing w:before="0" w:after="0"/>
        <w:ind w:left="1440" w:hanging="0"/>
        <w:rPr>
          <w:color w:val="00000A"/>
          <w:sz w:val="20"/>
          <w:szCs w:val="20"/>
        </w:rPr>
      </w:pPr>
      <w:r>
        <w:rPr>
          <w:rFonts w:eastAsia="Arial" w:cs="Arial" w:ascii="Arial" w:hAnsi="Arial"/>
          <w:color w:val="00000A"/>
          <w:sz w:val="18"/>
          <w:szCs w:val="18"/>
        </w:rPr>
        <w:t>Nineteenth Field Conference of the Wyoming Geological Association. pp. 219–292.</w:t>
      </w:r>
    </w:p>
    <w:p>
      <w:pPr>
        <w:pStyle w:val="Normal"/>
        <w:spacing w:lineRule="exact" w:line="311" w:before="0" w:after="0"/>
        <w:rPr>
          <w:color w:val="00000A"/>
          <w:sz w:val="20"/>
          <w:szCs w:val="20"/>
        </w:rPr>
      </w:pPr>
      <w:r>
        <w:rPr>
          <w:color w:val="00000A"/>
          <w:sz w:val="20"/>
          <w:szCs w:val="20"/>
        </w:rPr>
      </w:r>
    </w:p>
    <w:p>
      <w:pPr>
        <w:pStyle w:val="Normal"/>
        <w:spacing w:lineRule="auto" w:line="376" w:before="0" w:after="0"/>
        <w:ind w:left="1440" w:right="1260" w:hanging="198"/>
        <w:jc w:val="both"/>
        <w:rPr>
          <w:color w:val="00000A"/>
          <w:sz w:val="20"/>
          <w:szCs w:val="20"/>
        </w:rPr>
      </w:pPr>
      <w:r>
        <w:rPr>
          <w:rFonts w:eastAsia="Arial" w:cs="Arial" w:ascii="Arial" w:hAnsi="Arial"/>
          <w:color w:val="00000A"/>
          <w:sz w:val="20"/>
          <w:szCs w:val="20"/>
        </w:rPr>
        <w:t>Voorhies, M., 1969. Taphonomy and population dynamics of an early Pliocene ver-tebrate fauna, Knox County, Nebraska. Contributions to Geology, University of Wyoming Special Paper 1, 1–69.</w:t>
      </w:r>
    </w:p>
    <w:p>
      <w:pPr>
        <w:pStyle w:val="Normal"/>
        <w:spacing w:lineRule="exact" w:line="152" w:before="0" w:after="0"/>
        <w:rPr>
          <w:color w:val="00000A"/>
          <w:sz w:val="20"/>
          <w:szCs w:val="20"/>
        </w:rPr>
      </w:pPr>
      <w:r>
        <w:rPr>
          <w:color w:val="00000A"/>
          <w:sz w:val="20"/>
          <w:szCs w:val="20"/>
        </w:rPr>
      </w:r>
    </w:p>
    <w:p>
      <w:pPr>
        <w:pStyle w:val="Normal"/>
        <w:spacing w:lineRule="auto" w:line="379" w:before="0" w:after="0"/>
        <w:ind w:left="1440" w:right="1260" w:hanging="198"/>
        <w:jc w:val="both"/>
        <w:rPr>
          <w:rFonts w:ascii="Arial" w:hAnsi="Arial" w:eastAsia="Arial" w:cs="Arial"/>
          <w:color w:val="00000A"/>
          <w:sz w:val="17"/>
          <w:szCs w:val="17"/>
        </w:rPr>
      </w:pPr>
      <w:r>
        <w:rPr>
          <w:rFonts w:eastAsia="Arial" w:cs="Arial" w:ascii="Arial" w:hAnsi="Arial"/>
          <w:color w:val="00000A"/>
          <w:sz w:val="20"/>
          <w:szCs w:val="20"/>
        </w:rPr>
        <w:t>Woodcock, N., Naylor, M., 1983. Randomness testing in three-dimensional orientation data. Journal of Structural Geology 5 (5), 539 – 548.</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27"/>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k"/>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T"/>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43583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LibreOffice/5.2.7.2$Linux_x86 LibreOffice_project/20m0$Build-2</Application>
  <Pages>33</Pages>
  <Words>11639</Words>
  <Characters>68500</Characters>
  <CharactersWithSpaces>79866</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2018-09-26T19:06:45Z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