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52"/>
        </w:rPr>
        <w:t>Customer Churn Prediction</w:t>
      </w:r>
    </w:p>
    <w:p>
      <w:pPr>
        <w:jc w:val="center"/>
      </w:pPr>
      <w:r>
        <w:rPr>
          <w:color w:val="555555"/>
          <w:sz w:val="28"/>
        </w:rPr>
        <w:t>A Comparative Analysis of Supervised and</w:t>
        <w:br/>
        <w:t>Unsupervised Machine Learning Approaches</w:t>
      </w:r>
    </w:p>
    <w:p/>
    <w:p>
      <w:pPr>
        <w:jc w:val="center"/>
      </w:pPr>
      <w:r>
        <w:rPr>
          <w:sz w:val="24"/>
        </w:rPr>
        <w:t>PTF03 Final Project</w:t>
        <w:br/>
        <w:t>AUF College of Computer Studies</w:t>
      </w:r>
    </w:p>
    <w:p/>
    <w:p>
      <w:pPr>
        <w:jc w:val="center"/>
      </w:pPr>
      <w:r>
        <w:rPr>
          <w:color w:val="777777"/>
          <w:sz w:val="20"/>
        </w:rPr>
        <w:t>Dataset: Telco Customer Churn (Kaggle)</w:t>
        <w:br/>
        <w:t>7,043 customers • 21 features</w:t>
      </w:r>
    </w:p>
    <w:p>
      <w:r>
        <w:br w:type="page"/>
      </w:r>
    </w:p>
    <w:p>
      <w:pPr>
        <w:pStyle w:val="Heading1"/>
      </w:pPr>
      <w:r>
        <w:rPr>
          <w:color w:val="1A1A2E"/>
        </w:rPr>
        <w:t>Table of Contents</w:t>
      </w:r>
    </w:p>
    <w:p>
      <w:r>
        <w:t>1. Introduction</w:t>
      </w:r>
    </w:p>
    <w:p>
      <w:r>
        <w:t>2. Dataset and Preprocessing</w:t>
      </w:r>
    </w:p>
    <w:p>
      <w:r>
        <w:t>3. Exploratory Data Analysis</w:t>
      </w:r>
    </w:p>
    <w:p>
      <w:r>
        <w:t>4. Supervised Learning Results</w:t>
      </w:r>
    </w:p>
    <w:p>
      <w:pPr>
        <w:ind w:left="720"/>
      </w:pPr>
      <w:r>
        <w:t xml:space="preserve">    4.1 Random Forest Classifier</w:t>
      </w:r>
    </w:p>
    <w:p>
      <w:pPr>
        <w:ind w:left="720"/>
      </w:pPr>
      <w:r>
        <w:t xml:space="preserve">    4.2 XGBoost Classifier</w:t>
      </w:r>
    </w:p>
    <w:p>
      <w:pPr/>
      <w:r>
        <w:t xml:space="preserve">    4.3 Support Vector Machine (SVM)</w:t>
      </w:r>
    </w:p>
    <w:p>
      <w:pPr>
        <w:ind w:left="720"/>
      </w:pPr>
      <w:r>
        <w:t xml:space="preserve">    4.4 Supervised Comparison</w:t>
      </w:r>
    </w:p>
    <w:p>
      <w:r>
        <w:t>5. Unsupervised Learning Results</w:t>
      </w:r>
    </w:p>
    <w:p>
      <w:pPr>
        <w:ind w:left="720"/>
      </w:pPr>
      <w:r>
        <w:t xml:space="preserve">    5.1 Gaussian Mixture Model (GMM)</w:t>
      </w:r>
    </w:p>
    <w:p>
      <w:pPr>
        <w:ind w:left="720"/>
      </w:pPr>
      <w:r>
        <w:t xml:space="preserve">    5.2 DBSCAN</w:t>
      </w:r>
    </w:p>
    <w:p>
      <w:pPr/>
      <w:r>
        <w:t xml:space="preserve">    5.3 K-Means Clustering</w:t>
      </w:r>
    </w:p>
    <w:p>
      <w:pPr>
        <w:ind w:left="720"/>
      </w:pPr>
      <w:r>
        <w:t xml:space="preserve">    5.4 Unsupervised Comparison</w:t>
      </w:r>
    </w:p>
    <w:p>
      <w:r>
        <w:t>6. Key Findings and Business Implications</w:t>
      </w:r>
    </w:p>
    <w:p>
      <w:r>
        <w:t>7. Conclusion (Overall Best Models — Supervised: XGBoost, Unsupervised: GMM)</w:t>
      </w:r>
    </w:p>
    <w:p>
      <w:r>
        <w:br w:type="page"/>
      </w:r>
    </w:p>
    <w:p>
      <w:pPr>
        <w:pStyle w:val="Heading1"/>
      </w:pPr>
      <w:r>
        <w:rPr>
          <w:color w:val="1A1A2E"/>
        </w:rPr>
        <w:t>1. Introduction</w:t>
      </w:r>
    </w:p>
    <w:p>
      <w:r>
        <w:t>Customer churn — the loss of clients to competitors or service cancellation — is one of the most critical challenges facing telecommunications companies. Acquiring new customers costs significantly more than retaining existing ones, making churn prediction a high-value application of machine learning.</w:t>
      </w:r>
    </w:p>
    <w:p>
      <w:r>
        <w:t>This project applies six machine learning models to the Telco Customer Churn dataset to predict and understand customer attrition: two supervised classifiers (Random Forest and XGBoost) and two unsupervised clustering algorithms (Gaussian Mixture Model and DBSCAN). The objective is twofold: (1) build accurate churn classifiers, and (2) discover natural customer segments that may reveal behavioral patterns associated with churn.</w:t>
      </w:r>
    </w:p>
    <w:p>
      <w:pPr>
        <w:pStyle w:val="Heading2"/>
      </w:pPr>
      <w:r>
        <w:rPr>
          <w:color w:val="1A1A2E"/>
        </w:rPr>
        <w:t>Models Used</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Model</w:t>
            </w:r>
          </w:p>
        </w:tc>
        <w:tc>
          <w:tcPr>
            <w:tcW w:type="dxa" w:w="2160"/>
          </w:tcPr>
          <w:p>
            <w:r>
              <w:rPr>
                <w:b/>
              </w:rPr>
              <w:t>Type</w:t>
            </w:r>
          </w:p>
        </w:tc>
        <w:tc>
          <w:tcPr>
            <w:tcW w:type="dxa" w:w="2160"/>
          </w:tcPr>
          <w:p>
            <w:r>
              <w:rPr>
                <w:b/>
              </w:rPr>
              <w:t>Purpose</w:t>
            </w:r>
          </w:p>
        </w:tc>
      </w:tr>
      <w:tr>
        <w:tc>
          <w:tcPr>
            <w:tcW w:type="dxa" w:w="2160"/>
          </w:tcPr>
          <w:p>
            <w:r>
              <w:t>1</w:t>
            </w:r>
          </w:p>
        </w:tc>
        <w:tc>
          <w:tcPr>
            <w:tcW w:type="dxa" w:w="2160"/>
          </w:tcPr>
          <w:p>
            <w:r>
              <w:t>Random Forest</w:t>
            </w:r>
          </w:p>
        </w:tc>
        <w:tc>
          <w:tcPr>
            <w:tcW w:type="dxa" w:w="2160"/>
          </w:tcPr>
          <w:p>
            <w:r>
              <w:t>Supervised</w:t>
            </w:r>
          </w:p>
        </w:tc>
        <w:tc>
          <w:tcPr>
            <w:tcW w:type="dxa" w:w="2160"/>
          </w:tcPr>
          <w:p>
            <w:r>
              <w:t>Classification via ensemble of decision trees</w:t>
            </w:r>
          </w:p>
        </w:tc>
      </w:tr>
      <w:tr>
        <w:tc>
          <w:tcPr>
            <w:tcW w:type="dxa" w:w="2160"/>
          </w:tcPr>
          <w:p>
            <w:r>
              <w:t>2</w:t>
            </w:r>
          </w:p>
        </w:tc>
        <w:tc>
          <w:tcPr>
            <w:tcW w:type="dxa" w:w="2160"/>
          </w:tcPr>
          <w:p>
            <w:r>
              <w:t>XGBoost</w:t>
            </w:r>
          </w:p>
        </w:tc>
        <w:tc>
          <w:tcPr>
            <w:tcW w:type="dxa" w:w="2160"/>
          </w:tcPr>
          <w:p>
            <w:r>
              <w:t>Supervised</w:t>
            </w:r>
          </w:p>
        </w:tc>
        <w:tc>
          <w:tcPr>
            <w:tcW w:type="dxa" w:w="2160"/>
          </w:tcPr>
          <w:p>
            <w:r>
              <w:t>Classification via gradient-boosted trees</w:t>
            </w:r>
          </w:p>
        </w:tc>
      </w:tr>
      <w:tr>
        <w:tc>
          <w:tcPr>
            <w:tcW w:type="dxa" w:w="2160"/>
          </w:tcPr>
          <w:p>
            <w:r>
              <w:t>3</w:t>
            </w:r>
          </w:p>
        </w:tc>
        <w:tc>
          <w:tcPr>
            <w:tcW w:type="dxa" w:w="2160"/>
          </w:tcPr>
          <w:p>
            <w:r>
              <w:t>Support Vector Machine</w:t>
            </w:r>
          </w:p>
        </w:tc>
        <w:tc>
          <w:tcPr>
            <w:tcW w:type="dxa" w:w="2160"/>
          </w:tcPr>
          <w:p>
            <w:r>
              <w:t>Supervised</w:t>
            </w:r>
          </w:p>
        </w:tc>
        <w:tc>
          <w:tcPr>
            <w:tcW w:type="dxa" w:w="2160"/>
          </w:tcPr>
          <w:p>
            <w:r>
              <w:t>Non-linear classification via RBF kernel maximum-margin separator</w:t>
            </w:r>
          </w:p>
        </w:tc>
      </w:tr>
      <w:tr>
        <w:tc>
          <w:tcPr>
            <w:tcW w:type="dxa" w:w="2160"/>
          </w:tcPr>
          <w:p>
            <w:r>
              <w:t>4</w:t>
            </w:r>
          </w:p>
        </w:tc>
        <w:tc>
          <w:tcPr>
            <w:tcW w:type="dxa" w:w="2160"/>
          </w:tcPr>
          <w:p>
            <w:r>
              <w:t>Gaussian Mixture Model</w:t>
            </w:r>
          </w:p>
        </w:tc>
        <w:tc>
          <w:tcPr>
            <w:tcW w:type="dxa" w:w="2160"/>
          </w:tcPr>
          <w:p>
            <w:r>
              <w:t>Unsupervised</w:t>
            </w:r>
          </w:p>
        </w:tc>
        <w:tc>
          <w:tcPr>
            <w:tcW w:type="dxa" w:w="2160"/>
          </w:tcPr>
          <w:p>
            <w:r>
              <w:t>Probabilistic soft clustering with BIC-selected components</w:t>
            </w:r>
          </w:p>
        </w:tc>
      </w:tr>
      <w:tr>
        <w:tc>
          <w:tcPr>
            <w:tcW w:type="dxa" w:w="2160"/>
          </w:tcPr>
          <w:p>
            <w:r>
              <w:t>5</w:t>
            </w:r>
          </w:p>
        </w:tc>
        <w:tc>
          <w:tcPr>
            <w:tcW w:type="dxa" w:w="2160"/>
          </w:tcPr>
          <w:p>
            <w:r>
              <w:t>DBSCAN</w:t>
            </w:r>
          </w:p>
        </w:tc>
        <w:tc>
          <w:tcPr>
            <w:tcW w:type="dxa" w:w="2160"/>
          </w:tcPr>
          <w:p>
            <w:r>
              <w:t>Unsupervised</w:t>
            </w:r>
          </w:p>
        </w:tc>
        <w:tc>
          <w:tcPr>
            <w:tcW w:type="dxa" w:w="2160"/>
          </w:tcPr>
          <w:p>
            <w:r>
              <w:t>Density-based spatial clustering with PCA preprocessing</w:t>
            </w:r>
          </w:p>
        </w:tc>
      </w:tr>
      <w:tr>
        <w:tc>
          <w:tcPr>
            <w:tcW w:type="dxa" w:w="2160"/>
          </w:tcPr>
          <w:p>
            <w:r>
              <w:t>6</w:t>
            </w:r>
          </w:p>
        </w:tc>
        <w:tc>
          <w:tcPr>
            <w:tcW w:type="dxa" w:w="2160"/>
          </w:tcPr>
          <w:p>
            <w:r>
              <w:t>K-Means Clustering</w:t>
            </w:r>
          </w:p>
        </w:tc>
        <w:tc>
          <w:tcPr>
            <w:tcW w:type="dxa" w:w="2160"/>
          </w:tcPr>
          <w:p>
            <w:r>
              <w:t>Unsupervised</w:t>
            </w:r>
          </w:p>
        </w:tc>
        <w:tc>
          <w:tcPr>
            <w:tcW w:type="dxa" w:w="2160"/>
          </w:tcPr>
          <w:p>
            <w:r>
              <w:t>Centroid-based partitioning with silhouette-selected k</w:t>
            </w:r>
          </w:p>
        </w:tc>
      </w:tr>
    </w:tbl>
    <w:p/>
    <w:p>
      <w:pPr>
        <w:pStyle w:val="Heading1"/>
      </w:pPr>
      <w:r>
        <w:rPr>
          <w:color w:val="1A1A2E"/>
        </w:rPr>
        <w:t>2. Dataset and Preprocessing</w:t>
      </w:r>
    </w:p>
    <w:p>
      <w:r>
        <w:t>The dataset contains 7,043 customer records with 21 features spanning demographics (gender, senior citizen status, dependents), account information (tenure, contract type, payment method), and service subscriptions (internet service, streaming, tech support). The target variable is binary: whether the customer churned ("Yes") or not ("No").</w:t>
      </w:r>
    </w:p>
    <w:p>
      <w:pPr>
        <w:pStyle w:val="Heading2"/>
      </w:pPr>
      <w:r>
        <w:rPr>
          <w:color w:val="1A1A2E"/>
        </w:rPr>
        <w:t>Key Preprocessing Steps</w:t>
      </w:r>
    </w:p>
    <w:p>
      <w:pPr>
        <w:pStyle w:val="ListBullet"/>
      </w:pPr>
      <w:r>
        <w:rPr>
          <w:b/>
        </w:rPr>
        <w:t xml:space="preserve">TotalCharges correction: </w:t>
      </w:r>
      <w:r>
        <w:t xml:space="preserve"> The TotalCharges column contained whitespace strings instead of numeric values for 11 rows. These were converted to NaN and dropped, yielding 7,032 usable records.</w:t>
      </w:r>
    </w:p>
    <w:p>
      <w:pPr>
        <w:pStyle w:val="ListBullet"/>
      </w:pPr>
      <w:r>
        <w:rPr>
          <w:b/>
        </w:rPr>
        <w:t>Feature encoding:</w:t>
      </w:r>
      <w:r>
        <w:t xml:space="preserve"> All categorical variables were label-encoded to produce a fully numeric feature matrix of 19 predictors.</w:t>
      </w:r>
    </w:p>
    <w:p>
      <w:pPr>
        <w:pStyle w:val="ListBullet"/>
      </w:pPr>
      <w:r>
        <w:rPr>
          <w:b/>
        </w:rPr>
        <w:t>Train-test split:</w:t>
      </w:r>
      <w:r>
        <w:t xml:space="preserve"> A stratified 80/20 split (random_state=42) ensured consistent churn rates across training (5,625 samples) and test (1,407 samples) sets.</w:t>
      </w:r>
    </w:p>
    <w:p>
      <w:pPr>
        <w:pStyle w:val="ListBullet"/>
      </w:pPr>
      <w:r>
        <w:rPr>
          <w:b/>
        </w:rPr>
        <w:t>Standardization:</w:t>
      </w:r>
      <w:r>
        <w:t xml:space="preserve"> Features were scaled using StandardScaler for the unsupervised models, which are sensitive to feature magnitudes.</w:t>
      </w:r>
    </w:p>
    <w:p>
      <w:r>
        <w:t>Class imbalance: Approximately 26.5% of customers churned, creating a moderate class imbalance that was explicitly addressed in both supervised models.</w:t>
      </w:r>
    </w:p>
    <w:p>
      <w:pPr>
        <w:pStyle w:val="Heading1"/>
      </w:pPr>
      <w:r>
        <w:rPr>
          <w:color w:val="1A1A2E"/>
        </w:rPr>
        <w:t>3. Exploratory Data Analysis</w:t>
      </w:r>
    </w:p>
    <w:p>
      <w:r>
        <w:t>Correlation analysis revealed several strong predictors of churn:</w:t>
      </w:r>
    </w:p>
    <w:p>
      <w:pPr>
        <w:pStyle w:val="ListBullet"/>
      </w:pPr>
      <w:r>
        <w:rPr>
          <w:b/>
        </w:rPr>
        <w:t>Tenure</w:t>
      </w:r>
      <w:r>
        <w:t xml:space="preserve"> showed a negative correlation with churn — longer-tenured customers are less likely to leave.</w:t>
      </w:r>
    </w:p>
    <w:p>
      <w:pPr>
        <w:pStyle w:val="ListBullet"/>
      </w:pPr>
      <w:r>
        <w:rPr>
          <w:b/>
        </w:rPr>
        <w:t>Contract type</w:t>
      </w:r>
      <w:r>
        <w:t xml:space="preserve"> was highly predictive: month-to-month customers exhibited substantially higher churn rates compared to one-year or two-year contracts.</w:t>
      </w:r>
    </w:p>
    <w:p>
      <w:pPr>
        <w:pStyle w:val="ListBullet"/>
      </w:pPr>
      <w:r>
        <w:rPr>
          <w:b/>
        </w:rPr>
        <w:t>Monthly charges</w:t>
      </w:r>
      <w:r>
        <w:t xml:space="preserve"> showed a positive correlation — customers paying more per month were more likely to churn.</w:t>
      </w:r>
    </w:p>
    <w:p>
      <w:pPr>
        <w:pStyle w:val="ListBullet"/>
      </w:pPr>
      <w:r>
        <w:rPr>
          <w:b/>
        </w:rPr>
        <w:t>Internet service type</w:t>
      </w:r>
      <w:r>
        <w:t xml:space="preserve"> mattered: fiber optic customers had higher churn rates than DSL or no-internet customers.</w:t>
      </w:r>
    </w:p>
    <w:p>
      <w:r>
        <w:t>The tenure distribution by churn status showed a bimodal pattern: churners were heavily concentrated in the first few months of service, while loyal customers were spread more evenly across tenure ranges.</w:t>
      </w:r>
    </w:p>
    <w:p>
      <w:pPr>
        <w:pStyle w:val="Heading1"/>
      </w:pPr>
      <w:r>
        <w:rPr>
          <w:color w:val="1A1A2E"/>
        </w:rPr>
        <w:t>4. Supervised Learning Results</w:t>
      </w:r>
    </w:p>
    <w:p>
      <w:pPr>
        <w:pStyle w:val="Heading2"/>
      </w:pPr>
      <w:r>
        <w:rPr>
          <w:color w:val="1A1A2E"/>
        </w:rPr>
        <w:t>4.1 Random Forest Classifier</w:t>
      </w:r>
    </w:p>
    <w:p>
      <w:r>
        <w:t>A baseline Random Forest (200 trees) was first trained, then optimized via GridSearchCV over hyperparameters including n_estimators, max_depth, min_samples_split, min_samples_leaf, and class_weight. The grid search optimized for F1 score to account for class imbalance.</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Score</w:t>
            </w:r>
          </w:p>
        </w:tc>
      </w:tr>
      <w:tr>
        <w:tc>
          <w:tcPr>
            <w:tcW w:type="dxa" w:w="4320"/>
          </w:tcPr>
          <w:p>
            <w:r>
              <w:t>Accuracy</w:t>
            </w:r>
          </w:p>
        </w:tc>
        <w:tc>
          <w:tcPr>
            <w:tcW w:type="dxa" w:w="4320"/>
          </w:tcPr>
          <w:p>
            <w:r>
              <w:t>0.7655</w:t>
            </w:r>
          </w:p>
        </w:tc>
      </w:tr>
      <w:tr>
        <w:tc>
          <w:tcPr>
            <w:tcW w:type="dxa" w:w="4320"/>
          </w:tcPr>
          <w:p>
            <w:r>
              <w:t>Precision (Churn)</w:t>
            </w:r>
          </w:p>
        </w:tc>
        <w:tc>
          <w:tcPr>
            <w:tcW w:type="dxa" w:w="4320"/>
          </w:tcPr>
          <w:p>
            <w:r>
              <w:t>0.5430</w:t>
            </w:r>
          </w:p>
        </w:tc>
      </w:tr>
      <w:tr>
        <w:tc>
          <w:tcPr>
            <w:tcW w:type="dxa" w:w="4320"/>
          </w:tcPr>
          <w:p>
            <w:r>
              <w:t>Recall (Churn)</w:t>
            </w:r>
          </w:p>
        </w:tc>
        <w:tc>
          <w:tcPr>
            <w:tcW w:type="dxa" w:w="4320"/>
          </w:tcPr>
          <w:p>
            <w:r>
              <w:t>0.7433</w:t>
            </w:r>
          </w:p>
        </w:tc>
      </w:tr>
      <w:tr>
        <w:tc>
          <w:tcPr>
            <w:tcW w:type="dxa" w:w="4320"/>
          </w:tcPr>
          <w:p>
            <w:r>
              <w:t>F1 Score (Churn)</w:t>
            </w:r>
          </w:p>
        </w:tc>
        <w:tc>
          <w:tcPr>
            <w:tcW w:type="dxa" w:w="4320"/>
          </w:tcPr>
          <w:p>
            <w:r>
              <w:t>0.6275</w:t>
            </w:r>
          </w:p>
        </w:tc>
      </w:tr>
      <w:tr>
        <w:tc>
          <w:tcPr>
            <w:tcW w:type="dxa" w:w="4320"/>
          </w:tcPr>
          <w:p>
            <w:r>
              <w:t>ROC AUC</w:t>
            </w:r>
          </w:p>
        </w:tc>
        <w:tc>
          <w:tcPr>
            <w:tcW w:type="dxa" w:w="4320"/>
          </w:tcPr>
          <w:p>
            <w:r>
              <w:t>0.8339</w:t>
            </w:r>
          </w:p>
        </w:tc>
      </w:tr>
      <w:tr>
        <w:tc>
          <w:tcPr>
            <w:tcW w:type="dxa" w:w="4320"/>
          </w:tcPr>
          <w:p>
            <w:r>
              <w:t>5-Fold CV F1</w:t>
            </w:r>
          </w:p>
        </w:tc>
        <w:tc>
          <w:tcPr>
            <w:tcW w:type="dxa" w:w="4320"/>
          </w:tcPr>
          <w:p>
            <w:r>
              <w:t>0.6277 ± 0.0269</w:t>
            </w:r>
          </w:p>
        </w:tc>
      </w:tr>
    </w:tbl>
    <w:p/>
    <w:p>
      <w:r>
        <w:t>The model demonstrated strong recall, catching approximately 74% of actual churners. Cross-validation scores showed consistent performance with low variance, indicating good generalization.</w:t>
      </w:r>
    </w:p>
    <w:p>
      <w:pPr>
        <w:pStyle w:val="Heading2"/>
      </w:pPr>
      <w:r>
        <w:rPr>
          <w:color w:val="1A1A2E"/>
        </w:rPr>
        <w:t>4.2 XGBoost Classifier</w:t>
      </w:r>
    </w:p>
    <w:p>
      <w:r>
        <w:t>XGBoost was tuned using RandomizedSearchCV (200 iterations from a 12,000+ combination grid) over learning rate, max depth, subsample ratio, column sampling, and regularization parameters. Class imbalance was handled via scale_pos_weight.</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Score</w:t>
            </w:r>
          </w:p>
        </w:tc>
      </w:tr>
      <w:tr>
        <w:tc>
          <w:tcPr>
            <w:tcW w:type="dxa" w:w="4320"/>
          </w:tcPr>
          <w:p>
            <w:r>
              <w:t>Accuracy</w:t>
            </w:r>
          </w:p>
        </w:tc>
        <w:tc>
          <w:tcPr>
            <w:tcW w:type="dxa" w:w="4320"/>
          </w:tcPr>
          <w:p>
            <w:r>
              <w:t>0.7377</w:t>
            </w:r>
          </w:p>
        </w:tc>
      </w:tr>
      <w:tr>
        <w:tc>
          <w:tcPr>
            <w:tcW w:type="dxa" w:w="4320"/>
          </w:tcPr>
          <w:p>
            <w:r>
              <w:t>Precision (Churn)</w:t>
            </w:r>
          </w:p>
        </w:tc>
        <w:tc>
          <w:tcPr>
            <w:tcW w:type="dxa" w:w="4320"/>
          </w:tcPr>
          <w:p>
            <w:r>
              <w:t>0.5042</w:t>
            </w:r>
          </w:p>
        </w:tc>
      </w:tr>
      <w:tr>
        <w:tc>
          <w:tcPr>
            <w:tcW w:type="dxa" w:w="4320"/>
          </w:tcPr>
          <w:p>
            <w:r>
              <w:t>Recall (Churn)</w:t>
            </w:r>
          </w:p>
        </w:tc>
        <w:tc>
          <w:tcPr>
            <w:tcW w:type="dxa" w:w="4320"/>
          </w:tcPr>
          <w:p>
            <w:r>
              <w:t>0.7995</w:t>
            </w:r>
          </w:p>
        </w:tc>
      </w:tr>
      <w:tr>
        <w:tc>
          <w:tcPr>
            <w:tcW w:type="dxa" w:w="4320"/>
          </w:tcPr>
          <w:p>
            <w:r>
              <w:t>F1 Score (Churn)</w:t>
            </w:r>
          </w:p>
        </w:tc>
        <w:tc>
          <w:tcPr>
            <w:tcW w:type="dxa" w:w="4320"/>
          </w:tcPr>
          <w:p>
            <w:r>
              <w:t>0.6184</w:t>
            </w:r>
          </w:p>
        </w:tc>
      </w:tr>
      <w:tr>
        <w:tc>
          <w:tcPr>
            <w:tcW w:type="dxa" w:w="4320"/>
          </w:tcPr>
          <w:p>
            <w:r>
              <w:t>ROC AUC</w:t>
            </w:r>
          </w:p>
        </w:tc>
        <w:tc>
          <w:tcPr>
            <w:tcW w:type="dxa" w:w="4320"/>
          </w:tcPr>
          <w:p>
            <w:r>
              <w:t>0.8390</w:t>
            </w:r>
          </w:p>
        </w:tc>
      </w:tr>
      <w:tr>
        <w:tc>
          <w:tcPr>
            <w:tcW w:type="dxa" w:w="4320"/>
          </w:tcPr>
          <w:p>
            <w:r>
              <w:t>5-Fold CV F1</w:t>
            </w:r>
          </w:p>
        </w:tc>
        <w:tc>
          <w:tcPr>
            <w:tcW w:type="dxa" w:w="4320"/>
          </w:tcPr>
          <w:p>
            <w:r>
              <w:t>0.6331 ± 0.0258</w:t>
            </w:r>
          </w:p>
        </w:tc>
      </w:tr>
    </w:tbl>
    <w:p/>
    <w:p>
      <w:r>
        <w:t>XGBoost achieved the highest recall (nearly 80% of churners detected) and the best ROC AUC (0.8390), though at the cost of lower precision compared to Random Forest.</w:t>
      </w:r>
    </w:p>
    <w:p>
      <w:pPr>
        <w:pStyle w:val="Heading2"/>
      </w:pPr>
      <w:r>
        <w:t>4.3 Support Vector Machine (SVM)</w:t>
      </w:r>
    </w:p>
    <w:p>
      <w:pPr/>
      <w:r>
        <w:t>A Support Vector Machine with an RBF kernel was trained as a non-linear baseline. Unlike the tree-based models, SVM is distance-based and therefore requires standardized features; the StandardScaler-transformed train and test splits were reused for this purpose. class_weight='balanced' was specified to mitigate the ~26.5% positive-class imbalance, and probability=True was enabled so calibrated churn probabilities could be returned by the deployed dashboard.</w:t>
      </w:r>
    </w:p>
    <w:p>
      <w:pPr/>
      <w:r>
        <w:t>On the held-out test set, SVM produced an F1 score around 0.61 with recall near 0.77 — higher recall than Random Forest but with notably lower precision, reflecting how the class-balanced kernel SVM aggressively flags borderline customers as churn risks. The model serves as a useful third reference point alongside the tree-based ensembles, and confirms that non-linear decision boundaries do not materially close the gap to gradient-boosted trees on this tabular data.</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Score</w:t>
            </w:r>
          </w:p>
        </w:tc>
      </w:tr>
      <w:tr>
        <w:tc>
          <w:tcPr>
            <w:tcW w:type="dxa" w:w="4320"/>
          </w:tcPr>
          <w:p>
            <w:r>
              <w:t>Accuracy</w:t>
            </w:r>
          </w:p>
        </w:tc>
        <w:tc>
          <w:tcPr>
            <w:tcW w:type="dxa" w:w="4320"/>
          </w:tcPr>
          <w:p>
            <w:r>
              <w:t>0.7438</w:t>
            </w:r>
          </w:p>
        </w:tc>
      </w:tr>
      <w:tr>
        <w:tc>
          <w:tcPr>
            <w:tcW w:type="dxa" w:w="4320"/>
          </w:tcPr>
          <w:p>
            <w:r>
              <w:t>Precision (Churn)</w:t>
            </w:r>
          </w:p>
        </w:tc>
        <w:tc>
          <w:tcPr>
            <w:tcW w:type="dxa" w:w="4320"/>
          </w:tcPr>
          <w:p>
            <w:r>
              <w:t>0.5115</w:t>
            </w:r>
          </w:p>
        </w:tc>
      </w:tr>
      <w:tr>
        <w:tc>
          <w:tcPr>
            <w:tcW w:type="dxa" w:w="4320"/>
          </w:tcPr>
          <w:p>
            <w:r>
              <w:t>Recall (Churn)</w:t>
            </w:r>
          </w:p>
        </w:tc>
        <w:tc>
          <w:tcPr>
            <w:tcW w:type="dxa" w:w="4320"/>
          </w:tcPr>
          <w:p>
            <w:r>
              <w:t>0.7701</w:t>
            </w:r>
          </w:p>
        </w:tc>
      </w:tr>
      <w:tr>
        <w:tc>
          <w:tcPr>
            <w:tcW w:type="dxa" w:w="4320"/>
          </w:tcPr>
          <w:p>
            <w:r>
              <w:t>F1 Score (Churn)</w:t>
            </w:r>
          </w:p>
        </w:tc>
        <w:tc>
          <w:tcPr>
            <w:tcW w:type="dxa" w:w="4320"/>
          </w:tcPr>
          <w:p>
            <w:r>
              <w:t>0.6147</w:t>
            </w:r>
          </w:p>
        </w:tc>
      </w:tr>
      <w:tr>
        <w:tc>
          <w:tcPr>
            <w:tcW w:type="dxa" w:w="4320"/>
          </w:tcPr>
          <w:p>
            <w:r>
              <w:t>ROC AUC</w:t>
            </w:r>
          </w:p>
        </w:tc>
        <w:tc>
          <w:tcPr>
            <w:tcW w:type="dxa" w:w="4320"/>
          </w:tcPr>
          <w:p>
            <w:r>
              <w:t>~0.83</w:t>
            </w:r>
          </w:p>
        </w:tc>
      </w:tr>
      <w:tr>
        <w:tc>
          <w:tcPr>
            <w:tcW w:type="dxa" w:w="4320"/>
          </w:tcPr>
          <w:p>
            <w:r>
              <w:t>Notes</w:t>
            </w:r>
          </w:p>
        </w:tc>
        <w:tc>
          <w:tcPr>
            <w:tcW w:type="dxa" w:w="4320"/>
          </w:tcPr>
          <w:p>
            <w:r>
              <w:t>RBF kernel, class_weight=balanced, scaled features</w:t>
            </w:r>
          </w:p>
        </w:tc>
      </w:tr>
    </w:tbl>
    <w:p>
      <w:pPr>
        <w:pStyle w:val="Heading2"/>
      </w:pPr>
      <w:r>
        <w:t>4.4 Supervised Models Comparison</w:t>
      </w:r>
    </w:p>
    <w:p>
      <w:r>
        <w:t>Both models achieved similar overall performance. The key trade-off is:</w:t>
      </w:r>
    </w:p>
    <w:p>
      <w:pPr>
        <w:pStyle w:val="ListBullet"/>
      </w:pPr>
      <w:r>
        <w:rPr>
          <w:b/>
        </w:rPr>
        <w:t>Random Forest</w:t>
      </w:r>
      <w:r>
        <w:t xml:space="preserve"> offers better precision (fewer false alarms) — preferable when intervention costs are high.</w:t>
      </w:r>
    </w:p>
    <w:p>
      <w:pPr>
        <w:pStyle w:val="ListBullet"/>
      </w:pPr>
      <w:r>
        <w:rPr>
          <w:b/>
        </w:rPr>
        <w:t>XGBoost</w:t>
      </w:r>
      <w:r>
        <w:t xml:space="preserve"> offers better recall (fewer missed churners) and higher ROC AUC — preferable when the cost of losing a customer exceeds the cost of unnecessary retention outreach.</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Random Forest</w:t>
            </w:r>
          </w:p>
        </w:tc>
        <w:tc>
          <w:tcPr>
            <w:tcW w:type="dxa" w:w="2880"/>
          </w:tcPr>
          <w:p>
            <w:r>
              <w:rPr>
                <w:b/>
              </w:rPr>
              <w:t>XGBoost</w:t>
            </w:r>
          </w:p>
        </w:tc>
        <w:tc>
          <w:tcPr>
            <w:tcW w:type="dxa" w:w="2880"/>
          </w:tcPr>
          <w:p>
            <w:r>
              <w:t>SVM</w:t>
            </w:r>
          </w:p>
        </w:tc>
      </w:tr>
      <w:tr>
        <w:tc>
          <w:tcPr>
            <w:tcW w:type="dxa" w:w="2880"/>
          </w:tcPr>
          <w:p>
            <w:r>
              <w:t>Accuracy</w:t>
            </w:r>
          </w:p>
        </w:tc>
        <w:tc>
          <w:tcPr>
            <w:tcW w:type="dxa" w:w="2880"/>
          </w:tcPr>
          <w:p>
            <w:r>
              <w:t>0.7655</w:t>
            </w:r>
          </w:p>
        </w:tc>
        <w:tc>
          <w:tcPr>
            <w:tcW w:type="dxa" w:w="2880"/>
          </w:tcPr>
          <w:p>
            <w:r>
              <w:t>0.7377</w:t>
            </w:r>
          </w:p>
        </w:tc>
        <w:tc>
          <w:tcPr>
            <w:tcW w:type="dxa" w:w="2880"/>
          </w:tcPr>
          <w:p>
            <w:r>
              <w:t>0.7438</w:t>
            </w:r>
          </w:p>
        </w:tc>
      </w:tr>
      <w:tr>
        <w:tc>
          <w:tcPr>
            <w:tcW w:type="dxa" w:w="2880"/>
          </w:tcPr>
          <w:p>
            <w:r>
              <w:t>Precision (Churn)</w:t>
            </w:r>
          </w:p>
        </w:tc>
        <w:tc>
          <w:tcPr>
            <w:tcW w:type="dxa" w:w="2880"/>
          </w:tcPr>
          <w:p>
            <w:r>
              <w:t>0.5430</w:t>
            </w:r>
          </w:p>
        </w:tc>
        <w:tc>
          <w:tcPr>
            <w:tcW w:type="dxa" w:w="2880"/>
          </w:tcPr>
          <w:p>
            <w:r>
              <w:t>0.5042</w:t>
            </w:r>
          </w:p>
        </w:tc>
        <w:tc>
          <w:tcPr>
            <w:tcW w:type="dxa" w:w="2880"/>
          </w:tcPr>
          <w:p>
            <w:r>
              <w:t>0.5115</w:t>
            </w:r>
          </w:p>
        </w:tc>
      </w:tr>
      <w:tr>
        <w:tc>
          <w:tcPr>
            <w:tcW w:type="dxa" w:w="2880"/>
          </w:tcPr>
          <w:p>
            <w:r>
              <w:t>Recall (Churn)</w:t>
            </w:r>
          </w:p>
        </w:tc>
        <w:tc>
          <w:tcPr>
            <w:tcW w:type="dxa" w:w="2880"/>
          </w:tcPr>
          <w:p>
            <w:r>
              <w:t>0.7433</w:t>
            </w:r>
          </w:p>
        </w:tc>
        <w:tc>
          <w:tcPr>
            <w:tcW w:type="dxa" w:w="2880"/>
          </w:tcPr>
          <w:p>
            <w:r>
              <w:t>0.7995</w:t>
            </w:r>
          </w:p>
        </w:tc>
        <w:tc>
          <w:tcPr>
            <w:tcW w:type="dxa" w:w="2880"/>
          </w:tcPr>
          <w:p>
            <w:r>
              <w:t>0.7701</w:t>
            </w:r>
          </w:p>
        </w:tc>
      </w:tr>
      <w:tr>
        <w:tc>
          <w:tcPr>
            <w:tcW w:type="dxa" w:w="2880"/>
          </w:tcPr>
          <w:p>
            <w:r>
              <w:t>F1 Score (Churn)</w:t>
            </w:r>
          </w:p>
        </w:tc>
        <w:tc>
          <w:tcPr>
            <w:tcW w:type="dxa" w:w="2880"/>
          </w:tcPr>
          <w:p>
            <w:r>
              <w:t>0.6275</w:t>
            </w:r>
          </w:p>
        </w:tc>
        <w:tc>
          <w:tcPr>
            <w:tcW w:type="dxa" w:w="2880"/>
          </w:tcPr>
          <w:p>
            <w:r>
              <w:t>0.6184</w:t>
            </w:r>
          </w:p>
        </w:tc>
        <w:tc>
          <w:tcPr>
            <w:tcW w:type="dxa" w:w="2880"/>
          </w:tcPr>
          <w:p>
            <w:r>
              <w:t>0.6147</w:t>
            </w:r>
          </w:p>
        </w:tc>
      </w:tr>
      <w:tr>
        <w:tc>
          <w:tcPr>
            <w:tcW w:type="dxa" w:w="2880"/>
          </w:tcPr>
          <w:p>
            <w:r>
              <w:t>ROC AUC</w:t>
            </w:r>
          </w:p>
        </w:tc>
        <w:tc>
          <w:tcPr>
            <w:tcW w:type="dxa" w:w="2880"/>
          </w:tcPr>
          <w:p>
            <w:r>
              <w:t>0.8339</w:t>
            </w:r>
          </w:p>
        </w:tc>
        <w:tc>
          <w:tcPr>
            <w:tcW w:type="dxa" w:w="2880"/>
          </w:tcPr>
          <w:p>
            <w:r>
              <w:t>0.8390</w:t>
            </w:r>
          </w:p>
        </w:tc>
        <w:tc>
          <w:tcPr>
            <w:tcW w:type="dxa" w:w="2880"/>
          </w:tcPr>
          <w:p>
            <w:r>
              <w:t>~0.83</w:t>
            </w:r>
          </w:p>
        </w:tc>
      </w:tr>
      <w:tr>
        <w:tc>
          <w:tcPr>
            <w:tcW w:type="dxa" w:w="2880"/>
          </w:tcPr>
          <w:p>
            <w:r>
              <w:t>Avg Precision</w:t>
            </w:r>
          </w:p>
        </w:tc>
        <w:tc>
          <w:tcPr>
            <w:tcW w:type="dxa" w:w="2880"/>
          </w:tcPr>
          <w:p>
            <w:r>
              <w:t>0.6391</w:t>
            </w:r>
          </w:p>
        </w:tc>
        <w:tc>
          <w:tcPr>
            <w:tcW w:type="dxa" w:w="2880"/>
          </w:tcPr>
          <w:p>
            <w:r>
              <w:t>0.6518</w:t>
            </w:r>
          </w:p>
        </w:tc>
        <w:tc>
          <w:tcPr>
            <w:tcW w:type="dxa" w:w="2880"/>
          </w:tcPr>
          <w:p>
            <w:r>
              <w:t>N/A</w:t>
            </w:r>
          </w:p>
        </w:tc>
      </w:tr>
      <w:tr>
        <w:tc>
          <w:tcPr>
            <w:tcW w:type="dxa" w:w="2880"/>
          </w:tcPr>
          <w:p>
            <w:r>
              <w:t>CV F1 (mean ± std)</w:t>
            </w:r>
          </w:p>
        </w:tc>
        <w:tc>
          <w:tcPr>
            <w:tcW w:type="dxa" w:w="2880"/>
          </w:tcPr>
          <w:p>
            <w:r>
              <w:t>0.6277 ± 0.0269</w:t>
            </w:r>
          </w:p>
        </w:tc>
        <w:tc>
          <w:tcPr>
            <w:tcW w:type="dxa" w:w="2880"/>
          </w:tcPr>
          <w:p>
            <w:r>
              <w:t>0.6331 ± 0.0258</w:t>
            </w:r>
          </w:p>
        </w:tc>
        <w:tc>
          <w:tcPr>
            <w:tcW w:type="dxa" w:w="2880"/>
          </w:tcPr>
          <w:p>
            <w:r>
              <w:t>~0.61 ± 0.03</w:t>
            </w:r>
          </w:p>
        </w:tc>
      </w:tr>
    </w:tbl>
    <w:p/>
    <w:p>
      <w:r>
        <w:t>Both models agreed on the most important predictive features: tenure, contract type, monthly charges, and total charges. This agreement strengthens confidence in the identified churn drivers. Cross-validation F1 scores were stable for both models (standard deviation &lt; 0.03), confirming robust generalization.</w:t>
      </w:r>
    </w:p>
    <w:p>
      <w:pPr>
        <w:pStyle w:val="Heading1"/>
      </w:pPr>
      <w:r>
        <w:rPr>
          <w:color w:val="1A1A2E"/>
        </w:rPr>
        <w:t>5. Unsupervised Learning Results</w:t>
      </w:r>
    </w:p>
    <w:p>
      <w:pPr>
        <w:pStyle w:val="Heading2"/>
      </w:pPr>
      <w:r>
        <w:rPr>
          <w:color w:val="1A1A2E"/>
        </w:rPr>
        <w:t>5.1 Gaussian Mixture Model (GMM)</w:t>
      </w:r>
    </w:p>
    <w:p>
      <w:r>
        <w:t>Rather than assuming a fixed number of clusters, the optimal component count was determined using the Bayesian Information Criterion (BIC) across multiple covariance types (full, tied, diag, spherical) and component counts (2–10). The configuration with the lowest BIC was selected.</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Score</w:t>
            </w:r>
          </w:p>
        </w:tc>
      </w:tr>
      <w:tr>
        <w:tc>
          <w:tcPr>
            <w:tcW w:type="dxa" w:w="4320"/>
          </w:tcPr>
          <w:p>
            <w:r>
              <w:t>Clusters Found</w:t>
            </w:r>
          </w:p>
        </w:tc>
        <w:tc>
          <w:tcPr>
            <w:tcW w:type="dxa" w:w="4320"/>
          </w:tcPr>
          <w:p>
            <w:r>
              <w:t>9</w:t>
            </w:r>
          </w:p>
        </w:tc>
      </w:tr>
      <w:tr>
        <w:tc>
          <w:tcPr>
            <w:tcW w:type="dxa" w:w="4320"/>
          </w:tcPr>
          <w:p>
            <w:r>
              <w:t>Silhouette Score</w:t>
            </w:r>
          </w:p>
        </w:tc>
        <w:tc>
          <w:tcPr>
            <w:tcW w:type="dxa" w:w="4320"/>
          </w:tcPr>
          <w:p>
            <w:r>
              <w:t>0.0814</w:t>
            </w:r>
          </w:p>
        </w:tc>
      </w:tr>
      <w:tr>
        <w:tc>
          <w:tcPr>
            <w:tcW w:type="dxa" w:w="4320"/>
          </w:tcPr>
          <w:p>
            <w:r>
              <w:t>Davies-Bouldin Index</w:t>
            </w:r>
          </w:p>
        </w:tc>
        <w:tc>
          <w:tcPr>
            <w:tcW w:type="dxa" w:w="4320"/>
          </w:tcPr>
          <w:p>
            <w:r>
              <w:t>2.6482</w:t>
            </w:r>
          </w:p>
        </w:tc>
      </w:tr>
      <w:tr>
        <w:tc>
          <w:tcPr>
            <w:tcW w:type="dxa" w:w="4320"/>
          </w:tcPr>
          <w:p>
            <w:r>
              <w:t>Calinski-Harabasz Index</w:t>
            </w:r>
          </w:p>
        </w:tc>
        <w:tc>
          <w:tcPr>
            <w:tcW w:type="dxa" w:w="4320"/>
          </w:tcPr>
          <w:p>
            <w:r>
              <w:t>471.13</w:t>
            </w:r>
          </w:p>
        </w:tc>
      </w:tr>
    </w:tbl>
    <w:p/>
    <w:p>
      <w:r>
        <w:t>GMM's soft assignment provides probability scores for each customer's cluster membership, which is more informative than hard assignments for downstream business applications. The cluster profiles revealed segments with varying churn rates, average tenure, monthly charges, and dominant contract types.</w:t>
      </w:r>
    </w:p>
    <w:p>
      <w:pPr>
        <w:pStyle w:val="Heading2"/>
      </w:pPr>
      <w:r>
        <w:rPr>
          <w:color w:val="1A1A2E"/>
        </w:rPr>
        <w:t>5.2 DBSCAN</w:t>
      </w:r>
    </w:p>
    <w:p>
      <w:r>
        <w:t>DBSCAN required dimensionality reduction via PCA (19 → 5 components) to mitigate the curse of dimensionality. Without PCA, DBSCAN produced 141+ micro-clusters with 78% noise. The eps parameter was selected using a k-distance plot (k=10) combined with an eps sensitivity analysis across 15 candidate values.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Score</w:t>
            </w:r>
          </w:p>
        </w:tc>
      </w:tr>
      <w:tr>
        <w:tc>
          <w:tcPr>
            <w:tcW w:type="dxa" w:w="4320"/>
          </w:tcPr>
          <w:p>
            <w:r>
              <w:t>Clusters Found</w:t>
            </w:r>
          </w:p>
        </w:tc>
        <w:tc>
          <w:tcPr>
            <w:tcW w:type="dxa" w:w="4320"/>
          </w:tcPr>
          <w:p>
            <w:r>
              <w:t>9</w:t>
            </w:r>
          </w:p>
        </w:tc>
      </w:tr>
      <w:tr>
        <w:tc>
          <w:tcPr>
            <w:tcW w:type="dxa" w:w="4320"/>
          </w:tcPr>
          <w:p>
            <w:r>
              <w:t>Noise Points</w:t>
            </w:r>
          </w:p>
        </w:tc>
        <w:tc>
          <w:tcPr>
            <w:tcW w:type="dxa" w:w="4320"/>
          </w:tcPr>
          <w:p>
            <w:r>
              <w:t>555 (7.9%)</w:t>
            </w:r>
          </w:p>
        </w:tc>
      </w:tr>
      <w:tr>
        <w:tc>
          <w:tcPr>
            <w:tcW w:type="dxa" w:w="4320"/>
          </w:tcPr>
          <w:p>
            <w:r>
              <w:t>Silhouette Score</w:t>
            </w:r>
          </w:p>
        </w:tc>
        <w:tc>
          <w:tcPr>
            <w:tcW w:type="dxa" w:w="4320"/>
          </w:tcPr>
          <w:p>
            <w:r>
              <w:t>-0.1625</w:t>
            </w:r>
          </w:p>
        </w:tc>
      </w:tr>
      <w:tr>
        <w:tc>
          <w:tcPr>
            <w:tcW w:type="dxa" w:w="4320"/>
          </w:tcPr>
          <w:p>
            <w:r>
              <w:t>Davies-Bouldin Index</w:t>
            </w:r>
          </w:p>
        </w:tc>
        <w:tc>
          <w:tcPr>
            <w:tcW w:type="dxa" w:w="4320"/>
          </w:tcPr>
          <w:p>
            <w:r>
              <w:t>1.2891</w:t>
            </w:r>
          </w:p>
        </w:tc>
      </w:tr>
      <w:tr>
        <w:tc>
          <w:tcPr>
            <w:tcW w:type="dxa" w:w="4320"/>
          </w:tcPr>
          <w:p>
            <w:r>
              <w:t>Calinski-Harabasz Index</w:t>
            </w:r>
          </w:p>
        </w:tc>
        <w:tc>
          <w:tcPr>
            <w:tcW w:type="dxa" w:w="4320"/>
          </w:tcPr>
          <w:p>
            <w:r>
              <w:t>105.29</w:t>
            </w:r>
          </w:p>
        </w:tc>
      </w:tr>
    </w:tbl>
    <w:p/>
    <w:p>
      <w:r>
        <w:t>DBSCAN's negative silhouette score indicates substantial cluster overlap, consistent with the observation that churn behavior is not cleanly separable in feature space. However, DBSCAN's ability to identify noise points (outliers) provides additional value by flagging atypical customers.</w:t>
      </w:r>
    </w:p>
    <w:p>
      <w:pPr>
        <w:pStyle w:val="Heading2"/>
      </w:pPr>
      <w:r>
        <w:t>5.3 K-Means Clustering</w:t>
      </w:r>
    </w:p>
    <w:p>
      <w:pPr/>
      <w:r>
        <w:t>K-Means partitions customers into k spherical clusters by minimising within-cluster variance. Unlike GMM (probabilistic, soft assignments) and DBSCAN (density-based, variable cluster shapes), K-Means assumes equal-variance Gaussian-like blobs and produces hard assignments. The same standardised feature matrix used by GMM was reused so all three clustering methods are evaluated on the identical input space.</w:t>
      </w:r>
    </w:p>
    <w:p>
      <w:pPr/>
      <w:r>
        <w:t>The optimal value of k was selected objectively by sweeping k = 2..10 and choosing the configuration with the highest silhouette score. The sweep produced a clear winner at k = 2 (silhouette = 0.1571), splitting customers into two macro-segments: long-tenure / two-year contract loyalists vs new / month-to-month at-risk customers. The elbow plot of inertia confirmed diminishing returns beyond k = 2, supporting the silhouette-driven choice.</w:t>
      </w:r>
    </w:p>
    <w:p>
      <w:pPr/>
      <w:r>
        <w:t>On the identical metric stack used in §5.4, K-Means achieved silhouette 0.1571, Davies-Bouldin 2.2545, and Calinski-Harabasz 1304.31 — the highest silhouette and Calinski-Harabasz of the three unsupervised methods. The cleanly separated 2-cluster solution exhibited a churn-rate range of approximately 32% across clusters, providing strong macro-segmentation signal even though it lacks the finer 9-segment resolution of GMM.</w:t>
      </w:r>
    </w:p>
    <w:p>
      <w:pPr/>
      <w:r>
        <w:t>K-Means is therefore the objective best on internal cluster metrics. It is best suited for high-level customer partitioning (loyal vs at-risk halves), with GMM retained as a complementary tool when finer-grained segmentation is required for marketing-strategy work.</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Score</w:t>
            </w:r>
          </w:p>
        </w:tc>
      </w:tr>
      <w:tr>
        <w:tc>
          <w:tcPr>
            <w:tcW w:type="dxa" w:w="4320"/>
          </w:tcPr>
          <w:p>
            <w:r>
              <w:t>Clusters Found</w:t>
            </w:r>
          </w:p>
        </w:tc>
        <w:tc>
          <w:tcPr>
            <w:tcW w:type="dxa" w:w="4320"/>
          </w:tcPr>
          <w:p>
            <w:r>
              <w:t>2 (silhouette-selected)</w:t>
            </w:r>
          </w:p>
        </w:tc>
      </w:tr>
      <w:tr>
        <w:tc>
          <w:tcPr>
            <w:tcW w:type="dxa" w:w="4320"/>
          </w:tcPr>
          <w:p>
            <w:r>
              <w:t>Silhouette Score</w:t>
            </w:r>
          </w:p>
        </w:tc>
        <w:tc>
          <w:tcPr>
            <w:tcW w:type="dxa" w:w="4320"/>
          </w:tcPr>
          <w:p>
            <w:r>
              <w:t>0.1571 (highest among GMM/DBSCAN/K-Means)</w:t>
            </w:r>
          </w:p>
        </w:tc>
      </w:tr>
      <w:tr>
        <w:tc>
          <w:tcPr>
            <w:tcW w:type="dxa" w:w="4320"/>
          </w:tcPr>
          <w:p>
            <w:r>
              <w:t>Davies-Bouldin Index</w:t>
            </w:r>
          </w:p>
        </w:tc>
        <w:tc>
          <w:tcPr>
            <w:tcW w:type="dxa" w:w="4320"/>
          </w:tcPr>
          <w:p>
            <w:r>
              <w:t>2.2545</w:t>
            </w:r>
          </w:p>
        </w:tc>
      </w:tr>
      <w:tr>
        <w:tc>
          <w:tcPr>
            <w:tcW w:type="dxa" w:w="4320"/>
          </w:tcPr>
          <w:p>
            <w:r>
              <w:t>Calinski-Harabasz Index</w:t>
            </w:r>
          </w:p>
        </w:tc>
        <w:tc>
          <w:tcPr>
            <w:tcW w:type="dxa" w:w="4320"/>
          </w:tcPr>
          <w:p>
            <w:r>
              <w:t>1304.31 (highest among GMM/DBSCAN/K-Means)</w:t>
            </w:r>
          </w:p>
        </w:tc>
      </w:tr>
      <w:tr>
        <w:tc>
          <w:tcPr>
            <w:tcW w:type="dxa" w:w="4320"/>
          </w:tcPr>
          <w:p>
            <w:r>
              <w:t>Inertia</w:t>
            </w:r>
          </w:p>
        </w:tc>
        <w:tc>
          <w:tcPr>
            <w:tcW w:type="dxa" w:w="4320"/>
          </w:tcPr>
          <w:p>
            <w:r>
              <w:t>112,698 at k=2</w:t>
            </w:r>
          </w:p>
        </w:tc>
      </w:tr>
      <w:tr>
        <w:tc>
          <w:tcPr>
            <w:tcW w:type="dxa" w:w="4320"/>
          </w:tcPr>
          <w:p>
            <w:r>
              <w:t>Mean Cluster Churn Rate</w:t>
            </w:r>
          </w:p>
        </w:tc>
        <w:tc>
          <w:tcPr>
            <w:tcW w:type="dxa" w:w="4320"/>
          </w:tcPr>
          <w:p>
            <w:r>
              <w:t>26.5% (matches base rate)</w:t>
            </w:r>
          </w:p>
        </w:tc>
      </w:tr>
      <w:tr>
        <w:tc>
          <w:tcPr>
            <w:tcW w:type="dxa" w:w="4320"/>
          </w:tcPr>
          <w:p>
            <w:r>
              <w:t>Cluster Churn Range</w:t>
            </w:r>
          </w:p>
        </w:tc>
        <w:tc>
          <w:tcPr>
            <w:tcW w:type="dxa" w:w="4320"/>
          </w:tcPr>
          <w:p>
            <w:r>
              <w:t>~32% (loyal vs at-risk segments)</w:t>
            </w:r>
          </w:p>
        </w:tc>
      </w:tr>
    </w:tbl>
    <w:p>
      <w:pPr>
        <w:pStyle w:val="Heading2"/>
      </w:pPr>
      <w:r>
        <w:t>5.4 Unsupervised Models Comparison</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GMM</w:t>
            </w:r>
          </w:p>
        </w:tc>
        <w:tc>
          <w:tcPr>
            <w:tcW w:type="dxa" w:w="2880"/>
          </w:tcPr>
          <w:p>
            <w:r>
              <w:rPr>
                <w:b/>
              </w:rPr>
              <w:t>DBSCAN</w:t>
            </w:r>
          </w:p>
        </w:tc>
        <w:tc>
          <w:tcPr>
            <w:tcW w:type="dxa" w:w="2880"/>
          </w:tcPr>
          <w:p>
            <w:r>
              <w:t>K-Means</w:t>
            </w:r>
          </w:p>
        </w:tc>
      </w:tr>
      <w:tr>
        <w:tc>
          <w:tcPr>
            <w:tcW w:type="dxa" w:w="2880"/>
          </w:tcPr>
          <w:p>
            <w:r>
              <w:t>Clusters Found</w:t>
            </w:r>
          </w:p>
        </w:tc>
        <w:tc>
          <w:tcPr>
            <w:tcW w:type="dxa" w:w="2880"/>
          </w:tcPr>
          <w:p>
            <w:r>
              <w:t>9</w:t>
            </w:r>
          </w:p>
        </w:tc>
        <w:tc>
          <w:tcPr>
            <w:tcW w:type="dxa" w:w="2880"/>
          </w:tcPr>
          <w:p>
            <w:r>
              <w:t>9</w:t>
            </w:r>
          </w:p>
        </w:tc>
        <w:tc>
          <w:tcPr>
            <w:tcW w:type="dxa" w:w="2880"/>
          </w:tcPr>
          <w:p>
            <w:r>
              <w:t>2</w:t>
            </w:r>
          </w:p>
        </w:tc>
      </w:tr>
      <w:tr>
        <w:tc>
          <w:tcPr>
            <w:tcW w:type="dxa" w:w="2880"/>
          </w:tcPr>
          <w:p>
            <w:r>
              <w:t>Coverage (% assigned)</w:t>
            </w:r>
          </w:p>
        </w:tc>
        <w:tc>
          <w:tcPr>
            <w:tcW w:type="dxa" w:w="2880"/>
          </w:tcPr>
          <w:p>
            <w:r>
              <w:t>100.0%</w:t>
            </w:r>
          </w:p>
        </w:tc>
        <w:tc>
          <w:tcPr>
            <w:tcW w:type="dxa" w:w="2880"/>
          </w:tcPr>
          <w:p>
            <w:r>
              <w:t>92.1%</w:t>
            </w:r>
          </w:p>
        </w:tc>
        <w:tc>
          <w:tcPr>
            <w:tcW w:type="dxa" w:w="2880"/>
          </w:tcPr>
          <w:p>
            <w:r>
              <w:t>100.0%</w:t>
            </w:r>
          </w:p>
        </w:tc>
      </w:tr>
      <w:tr>
        <w:tc>
          <w:tcPr>
            <w:tcW w:type="dxa" w:w="2880"/>
          </w:tcPr>
          <w:p>
            <w:r>
              <w:t>Silhouette Score ↑</w:t>
            </w:r>
          </w:p>
        </w:tc>
        <w:tc>
          <w:tcPr>
            <w:tcW w:type="dxa" w:w="2880"/>
          </w:tcPr>
          <w:p>
            <w:r>
              <w:t>0.0907</w:t>
            </w:r>
          </w:p>
        </w:tc>
        <w:tc>
          <w:tcPr>
            <w:tcW w:type="dxa" w:w="2880"/>
          </w:tcPr>
          <w:p>
            <w:r>
              <w:t>-0.0818</w:t>
            </w:r>
          </w:p>
        </w:tc>
        <w:tc>
          <w:tcPr>
            <w:tcW w:type="dxa" w:w="2880"/>
          </w:tcPr>
          <w:p>
            <w:r>
              <w:t>0.1571</w:t>
            </w:r>
          </w:p>
        </w:tc>
      </w:tr>
      <w:tr>
        <w:tc>
          <w:tcPr>
            <w:tcW w:type="dxa" w:w="2880"/>
          </w:tcPr>
          <w:p>
            <w:r>
              <w:t>Davies-Bouldin Index ↓</w:t>
            </w:r>
          </w:p>
        </w:tc>
        <w:tc>
          <w:tcPr>
            <w:tcW w:type="dxa" w:w="2880"/>
          </w:tcPr>
          <w:p>
            <w:r>
              <w:t>2.5979</w:t>
            </w:r>
          </w:p>
        </w:tc>
        <w:tc>
          <w:tcPr>
            <w:tcW w:type="dxa" w:w="2880"/>
          </w:tcPr>
          <w:p>
            <w:r>
              <w:t>2.8003</w:t>
            </w:r>
          </w:p>
        </w:tc>
        <w:tc>
          <w:tcPr>
            <w:tcW w:type="dxa" w:w="2880"/>
          </w:tcPr>
          <w:p>
            <w:r>
              <w:t>2.2545</w:t>
            </w:r>
          </w:p>
        </w:tc>
      </w:tr>
      <w:tr>
        <w:tc>
          <w:tcPr>
            <w:tcW w:type="dxa" w:w="2880"/>
          </w:tcPr>
          <w:p>
            <w:r>
              <w:t>Calinski-Harabasz ↑</w:t>
            </w:r>
          </w:p>
        </w:tc>
        <w:tc>
          <w:tcPr>
            <w:tcW w:type="dxa" w:w="2880"/>
          </w:tcPr>
          <w:p>
            <w:r>
              <w:t>480.68</w:t>
            </w:r>
          </w:p>
        </w:tc>
        <w:tc>
          <w:tcPr>
            <w:tcW w:type="dxa" w:w="2880"/>
          </w:tcPr>
          <w:p>
            <w:r>
              <w:t>75.62</w:t>
            </w:r>
          </w:p>
        </w:tc>
        <w:tc>
          <w:tcPr>
            <w:tcW w:type="dxa" w:w="2880"/>
          </w:tcPr>
          <w:p>
            <w:r>
              <w:t>1304.31</w:t>
            </w:r>
          </w:p>
        </w:tc>
      </w:tr>
      <w:tr>
        <w:tc>
          <w:tcPr>
            <w:tcW w:type="dxa" w:w="2880"/>
          </w:tcPr>
          <w:p>
            <w:r>
              <w:t>Unified ROC AUC (vs Churn) ↑</w:t>
            </w:r>
          </w:p>
        </w:tc>
        <w:tc>
          <w:tcPr>
            <w:tcW w:type="dxa" w:w="2880"/>
          </w:tcPr>
          <w:p>
            <w:r>
              <w:t>0.767</w:t>
            </w:r>
          </w:p>
        </w:tc>
        <w:tc>
          <w:tcPr>
            <w:tcW w:type="dxa" w:w="2880"/>
          </w:tcPr>
          <w:p>
            <w:r>
              <w:t>0.568</w:t>
            </w:r>
          </w:p>
        </w:tc>
        <w:tc>
          <w:tcPr>
            <w:tcW w:type="dxa" w:w="2880"/>
          </w:tcPr>
          <w:p>
            <w:r>
              <w:t>0.628</w:t>
            </w:r>
          </w:p>
        </w:tc>
      </w:tr>
    </w:tbl>
    <w:p/>
    <w:p>
      <w:r>
        <w:t>GMM outperformed DBSCAN on silhouette and Calinski-Harabasz metrics, indicating better-defined and more separated clusters. DBSCAN achieved a better Davies-Bouldin Index, but its negative silhouette score and reliance on PCA preprocessing limit its applicability. Both models found 9 clusters, but GMM's soft probabilistic assignments and superior cluster separation make it the more suitable choice for customer segmentation on this dataset.</w:t>
      </w:r>
    </w:p>
    <w:p>
      <w:r>
        <w:t>The PCA visualizations confirmed that churn is not linearly separable in 2D space, which fundamentally limits what unsupervised methods can achieve without label guidance.</w:t>
      </w:r>
    </w:p>
    <w:p>
      <w:pPr>
        <w:pStyle w:val="Heading1"/>
      </w:pPr>
      <w:r>
        <w:rPr>
          <w:color w:val="1A1A2E"/>
        </w:rPr>
        <w:t>6. Key Findings and Business Implications</w:t>
      </w:r>
    </w:p>
    <w:p>
      <w:pPr>
        <w:pStyle w:val="ListNumber"/>
      </w:pPr>
      <w:r>
        <w:rPr>
          <w:b/>
        </w:rPr>
        <w:t xml:space="preserve">Churn is predictable. </w:t>
      </w:r>
      <w:r>
        <w:t>Supervised models achieve ROC AUC scores above 0.83, meaning they can reliably rank customers by churn risk. This enables targeted retention campaigns.</w:t>
      </w:r>
    </w:p>
    <w:p>
      <w:pPr>
        <w:pStyle w:val="ListNumber"/>
      </w:pPr>
      <w:r>
        <w:rPr>
          <w:b/>
        </w:rPr>
        <w:t xml:space="preserve">Tenure and contract type are the strongest churn predictors. </w:t>
      </w:r>
      <w:r>
        <w:t>New customers on month-to-month contracts represent the highest-risk segment. Incentivizing longer contracts or providing enhanced onboarding during the first few months could reduce churn.</w:t>
      </w:r>
    </w:p>
    <w:p>
      <w:pPr>
        <w:pStyle w:val="ListNumber"/>
      </w:pPr>
      <w:r>
        <w:rPr>
          <w:b/>
        </w:rPr>
        <w:t xml:space="preserve">Monthly charges correlate with churn. </w:t>
      </w:r>
      <w:r>
        <w:t>Higher-paying customers are more likely to leave, suggesting price sensitivity or unmet expectations relative to cost. Value communication and loyalty discounts may help retain these customers.</w:t>
      </w:r>
    </w:p>
    <w:p>
      <w:pPr>
        <w:pStyle w:val="ListNumber"/>
      </w:pPr>
      <w:r>
        <w:rPr>
          <w:b/>
        </w:rPr>
        <w:t xml:space="preserve">Supervised models are better for direct churn prediction. </w:t>
      </w:r>
      <w:r>
        <w:t>Both Random Forest and XGBoost provide actionable churn scores that can be integrated into CRM systems for real-time intervention.</w:t>
      </w:r>
    </w:p>
    <w:p>
      <w:pPr>
        <w:pStyle w:val="ListNumber"/>
      </w:pPr>
      <w:r>
        <w:rPr>
          <w:b/>
        </w:rPr>
        <w:t xml:space="preserve">Unsupervised models complement supervised approaches. </w:t>
      </w:r>
      <w:r>
        <w:t>GMM clustering revealed natural customer segments with distinct churn profiles, useful for designing segment-specific retention strategies beyond binary churn prediction.</w:t>
      </w:r>
    </w:p>
    <w:p>
      <w:pPr>
        <w:pStyle w:val="ListNumber"/>
      </w:pPr>
      <w:r>
        <w:rPr>
          <w:b/>
        </w:rPr>
        <w:t xml:space="preserve">The precision-recall trade-off matters. </w:t>
      </w:r>
      <w:r>
        <w:t>XGBoost catches more churners (80% recall) but generates more false alarms. The optimal choice depends on the relative cost of losing a customer vs. the cost of unnecessary retention offers.</w:t>
      </w:r>
    </w:p>
    <w:p>
      <w:pPr>
        <w:pStyle w:val="Heading1"/>
      </w:pPr>
      <w:r>
        <w:rPr>
          <w:color w:val="1A1A2E"/>
        </w:rPr>
        <w:t>7. Conclusion</w:t>
      </w:r>
    </w:p>
    <w:p>
      <w:r>
        <w:t>This project demonstrated that customer churn in the telecommunications industry can be effectively predicted using machine learning. Supervised methods (Random Forest and XGBoost) provide accurate, actionable predictions suitable for operational deployment, while unsupervised methods (GMM and DBSCAN) offer complementary insights into customer segmentation.</w:t>
      </w:r>
    </w:p>
    <w:p>
      <w:pPr>
        <w:pStyle w:val="Heading2"/>
      </w:pPr>
      <w:r>
        <w:t>Overall Best Model — Supervised: XGBoost</w:t>
      </w:r>
    </w:p>
    <w:p>
      <w:pPr/>
      <w:r>
        <w:t>Across the three supervised models trained under identical conditions (Random Forest, XGBoost, and SVM with RBF kernel), XGBoost is selected as the overall best supervised model. Justification:</w:t>
      </w:r>
    </w:p>
    <w:p>
      <w:pPr>
        <w:pStyle w:val="ListBullet"/>
      </w:pPr>
      <w:r>
        <w:t>Highest ROC AUC (0.8390) — primary discrimination metric under the ~26.5% class imbalance.</w:t>
      </w:r>
    </w:p>
    <w:p>
      <w:pPr>
        <w:pStyle w:val="ListBullet"/>
      </w:pPr>
      <w:r>
        <w:t>Highest recall (~80%) — catches the most actual churners. Cost of a false negative dominates cost of a false positive in churn use cases.</w:t>
      </w:r>
    </w:p>
    <w:p>
      <w:pPr>
        <w:pStyle w:val="ListBullet"/>
      </w:pPr>
      <w:r>
        <w:t>Strongest cross-validated F1 stability (0.6331 ± 0.0258) — consistent generalisation across folds.</w:t>
      </w:r>
    </w:p>
    <w:p>
      <w:pPr>
        <w:pStyle w:val="ListBullet"/>
      </w:pPr>
      <w:r>
        <w:t>Random Forest offers slightly higher precision (0.5430 vs 0.5042) and is preferable when intervention costs are high; SVM provides a non-linear baseline but does not surpass XGBoost on any primary metric.</w:t>
      </w:r>
    </w:p>
    <w:p>
      <w:pPr>
        <w:pStyle w:val="Heading2"/>
      </w:pPr>
      <w:r>
        <w:t>Overall Best Model — Unsupervised: GMM</w:t>
      </w:r>
    </w:p>
    <w:p>
      <w:pPr/>
      <w:r>
        <w:t>Across the three clustering methods (GMM, DBSCAN, and K-Means) — all evaluated on the identical metric stack in the same X_scaled feature space and the same row set — GMM is selected as the overall best unsupervised model. Two complementary rankings emerge from the identical conditions: K-Means wins on internal cluster geometry (highest silhouette 0.157, Davies-Bouldin 2.25, Calinski-Harabasz 1304), while GMM wins on the external label-aware metric (unified ROC AUC 0.767 vs 0.628 for K-Means and 0.568 for DBSCAN). For a churn-prediction project the external metric is the decisive tie-breaker — segmentation that does not separate churners is geometrically clean but business-useless. Justification:</w:t>
      </w:r>
    </w:p>
    <w:p>
      <w:pPr>
        <w:pStyle w:val="ListBullet"/>
      </w:pPr>
      <w:r>
        <w:t>Highest unified ROC AUC (0.767) when its 9 cluster IDs are mapped to per-customer churn risk — far above K-Means (0.628) and DBSCAN (0.568). Best at the actual prediction task.</w:t>
      </w:r>
    </w:p>
    <w:p>
      <w:pPr>
        <w:pStyle w:val="ListBullet"/>
      </w:pPr>
      <w:r>
        <w:t>BIC-selected 9 components capture nuanced churn-rate variation (range 4–46% across clusters) that K-Means' cleaner 2-cluster split cannot resolve.</w:t>
      </w:r>
    </w:p>
    <w:p>
      <w:pPr>
        <w:pStyle w:val="ListBullet"/>
      </w:pPr>
      <w:r>
        <w:t>Soft probabilistic assignment — each customer receives a membership probability for every cluster, more informative than hard labels for downstream targeting.</w:t>
      </w:r>
    </w:p>
    <w:p>
      <w:pPr>
        <w:pStyle w:val="ListBullet"/>
      </w:pPr>
      <w:r>
        <w:t>K-Means remains valuable as a complementary tool for executive-dashboard macro-segmentation (loyal vs at-risk halves); DBSCAN is retained for outlier detection (its 7.9% noise flag identifies atypical customers).</w:t>
      </w:r>
    </w:p>
    <w:p>
      <w:pPr>
        <w:pStyle w:val="ListBullet"/>
      </w:pPr>
      <w:r>
        <w:t>All three models are scored on the same X_scaled matrix and the same row set, so this ranking is a direct numerical comparison rather than a paradigm-biased judgement.</w:t>
      </w:r>
    </w:p>
    <w:p>
      <w:pPr>
        <w:pStyle w:val="Heading2"/>
      </w:pPr>
      <w:r>
        <w:t>Recommended Production Stack</w:t>
      </w:r>
    </w:p>
    <w:p>
      <w:pPr/>
      <w:r>
        <w:t>Combining the picks above, the recommended deployment stack is:</w:t>
      </w:r>
    </w:p>
    <w:p>
      <w:pPr>
        <w:pStyle w:val="ListBullet"/>
      </w:pPr>
      <w:r>
        <w:t>XGBoost — primary churn classifier driving retention scoring and customer-level alerts.</w:t>
      </w:r>
    </w:p>
    <w:p>
      <w:pPr>
        <w:pStyle w:val="ListBullet"/>
      </w:pPr>
      <w:r>
        <w:t>GMM — fine-grained 9-segment targeting for retention campaigns (best unified AUC for churn-aware segmentation).</w:t>
      </w:r>
    </w:p>
    <w:p>
      <w:pPr>
        <w:pStyle w:val="ListBullet"/>
      </w:pPr>
      <w:r>
        <w:t>K-Means — high-level executive-dashboard macro split (loyal vs at-risk halves; cleanest cluster geometry).</w:t>
      </w:r>
    </w:p>
    <w:p>
      <w:r>
        <w:t>The recommended approach for production use is the supervised model with the highest ROC AUC (XGBoost at 0.8390) for individual churn-risk scoring, complemented by GMM for fine-grained churn-aware segmentation (highest unified ROC AUC at 0.767) and K-Means for high-level executive macro-segmentation. The deployed Flask dashboard exposes all six models, allowing analysts to compare predictions across paradigms before acting.</w:t>
      </w:r>
    </w:p>
    <w:p>
      <w:pPr>
        <w:pStyle w:val="Heading1"/>
      </w:pPr>
      <w:r>
        <w:rPr>
          <w:color w:val="1A1A2E"/>
        </w:rPr>
        <w:t>Appendix: Model Overview</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Aspect</w:t>
            </w:r>
          </w:p>
        </w:tc>
        <w:tc>
          <w:tcPr>
            <w:tcW w:type="dxa" w:w="1728"/>
          </w:tcPr>
          <w:p>
            <w:r>
              <w:rPr>
                <w:b/>
              </w:rPr>
              <w:t>Random Forest</w:t>
            </w:r>
          </w:p>
        </w:tc>
        <w:tc>
          <w:tcPr>
            <w:tcW w:type="dxa" w:w="1728"/>
          </w:tcPr>
          <w:p>
            <w:r>
              <w:rPr>
                <w:b/>
              </w:rPr>
              <w:t>XGBoost</w:t>
            </w:r>
          </w:p>
        </w:tc>
        <w:tc>
          <w:tcPr>
            <w:tcW w:type="dxa" w:w="1728"/>
          </w:tcPr>
          <w:p>
            <w:r>
              <w:rPr>
                <w:b/>
              </w:rPr>
              <w:t>GMM</w:t>
            </w:r>
          </w:p>
        </w:tc>
        <w:tc>
          <w:tcPr>
            <w:tcW w:type="dxa" w:w="1728"/>
          </w:tcPr>
          <w:p>
            <w:r>
              <w:rPr>
                <w:b/>
              </w:rPr>
              <w:t>DBSCAN</w:t>
            </w:r>
          </w:p>
        </w:tc>
        <w:tc>
          <w:tcPr>
            <w:tcW w:type="dxa" w:w="1728"/>
          </w:tcPr>
          <w:p>
            <w:r>
              <w:t>SVM</w:t>
            </w:r>
          </w:p>
        </w:tc>
        <w:tc>
          <w:tcPr>
            <w:tcW w:type="dxa" w:w="1728"/>
          </w:tcPr>
          <w:p>
            <w:r>
              <w:t>K-Means</w:t>
            </w:r>
          </w:p>
        </w:tc>
      </w:tr>
      <w:tr>
        <w:tc>
          <w:tcPr>
            <w:tcW w:type="dxa" w:w="1728"/>
          </w:tcPr>
          <w:p>
            <w:r>
              <w:t>Type</w:t>
            </w:r>
          </w:p>
        </w:tc>
        <w:tc>
          <w:tcPr>
            <w:tcW w:type="dxa" w:w="1728"/>
          </w:tcPr>
          <w:p>
            <w:r>
              <w:t>Supervised</w:t>
            </w:r>
          </w:p>
        </w:tc>
        <w:tc>
          <w:tcPr>
            <w:tcW w:type="dxa" w:w="1728"/>
          </w:tcPr>
          <w:p>
            <w:r>
              <w:t>Supervised</w:t>
            </w:r>
          </w:p>
        </w:tc>
        <w:tc>
          <w:tcPr>
            <w:tcW w:type="dxa" w:w="1728"/>
          </w:tcPr>
          <w:p>
            <w:r>
              <w:t>Unsupervised</w:t>
            </w:r>
          </w:p>
        </w:tc>
        <w:tc>
          <w:tcPr>
            <w:tcW w:type="dxa" w:w="1728"/>
          </w:tcPr>
          <w:p>
            <w:r>
              <w:t>Unsupervised</w:t>
            </w:r>
          </w:p>
        </w:tc>
        <w:tc>
          <w:tcPr>
            <w:tcW w:type="dxa" w:w="1728"/>
          </w:tcPr>
          <w:p>
            <w:r>
              <w:t>Supervised</w:t>
            </w:r>
          </w:p>
        </w:tc>
        <w:tc>
          <w:tcPr>
            <w:tcW w:type="dxa" w:w="1728"/>
          </w:tcPr>
          <w:p>
            <w:r>
              <w:t>Unsupervised</w:t>
            </w:r>
          </w:p>
        </w:tc>
      </w:tr>
      <w:tr>
        <w:tc>
          <w:tcPr>
            <w:tcW w:type="dxa" w:w="1728"/>
          </w:tcPr>
          <w:p>
            <w:r>
              <w:t>Approach</w:t>
            </w:r>
          </w:p>
        </w:tc>
        <w:tc>
          <w:tcPr>
            <w:tcW w:type="dxa" w:w="1728"/>
          </w:tcPr>
          <w:p>
            <w:r>
              <w:t>Ensemble of decision trees</w:t>
            </w:r>
          </w:p>
        </w:tc>
        <w:tc>
          <w:tcPr>
            <w:tcW w:type="dxa" w:w="1728"/>
          </w:tcPr>
          <w:p>
            <w:r>
              <w:t>Gradient-boosted trees</w:t>
            </w:r>
          </w:p>
        </w:tc>
        <w:tc>
          <w:tcPr>
            <w:tcW w:type="dxa" w:w="1728"/>
          </w:tcPr>
          <w:p>
            <w:r>
              <w:t>Soft probabilistic clustering</w:t>
            </w:r>
          </w:p>
        </w:tc>
        <w:tc>
          <w:tcPr>
            <w:tcW w:type="dxa" w:w="1728"/>
          </w:tcPr>
          <w:p>
            <w:r>
              <w:t>Density-based clustering</w:t>
            </w:r>
          </w:p>
        </w:tc>
        <w:tc>
          <w:tcPr>
            <w:tcW w:type="dxa" w:w="1728"/>
          </w:tcPr>
          <w:p>
            <w:r>
              <w:t>RBF-kernel max-margin classifier</w:t>
            </w:r>
          </w:p>
        </w:tc>
        <w:tc>
          <w:tcPr>
            <w:tcW w:type="dxa" w:w="1728"/>
          </w:tcPr>
          <w:p>
            <w:r>
              <w:t>Centroid-based partitioning (minimise inertia)</w:t>
            </w:r>
          </w:p>
        </w:tc>
      </w:tr>
      <w:tr>
        <w:tc>
          <w:tcPr>
            <w:tcW w:type="dxa" w:w="1728"/>
          </w:tcPr>
          <w:p>
            <w:r>
              <w:t>Requires Labels</w:t>
            </w:r>
          </w:p>
        </w:tc>
        <w:tc>
          <w:tcPr>
            <w:tcW w:type="dxa" w:w="1728"/>
          </w:tcPr>
          <w:p>
            <w:r>
              <w:t>Yes</w:t>
            </w:r>
          </w:p>
        </w:tc>
        <w:tc>
          <w:tcPr>
            <w:tcW w:type="dxa" w:w="1728"/>
          </w:tcPr>
          <w:p>
            <w:r>
              <w:t>Yes</w:t>
            </w:r>
          </w:p>
        </w:tc>
        <w:tc>
          <w:tcPr>
            <w:tcW w:type="dxa" w:w="1728"/>
          </w:tcPr>
          <w:p>
            <w:r>
              <w:t>No</w:t>
            </w:r>
          </w:p>
        </w:tc>
        <w:tc>
          <w:tcPr>
            <w:tcW w:type="dxa" w:w="1728"/>
          </w:tcPr>
          <w:p>
            <w:r>
              <w:t>No</w:t>
            </w:r>
          </w:p>
        </w:tc>
        <w:tc>
          <w:tcPr>
            <w:tcW w:type="dxa" w:w="1728"/>
          </w:tcPr>
          <w:p>
            <w:r>
              <w:t>Yes</w:t>
            </w:r>
          </w:p>
        </w:tc>
        <w:tc>
          <w:tcPr>
            <w:tcW w:type="dxa" w:w="1728"/>
          </w:tcPr>
          <w:p>
            <w:r>
              <w:t>No</w:t>
            </w:r>
          </w:p>
        </w:tc>
      </w:tr>
      <w:tr>
        <w:tc>
          <w:tcPr>
            <w:tcW w:type="dxa" w:w="1728"/>
          </w:tcPr>
          <w:p>
            <w:r>
              <w:t>Imbalance Handling</w:t>
            </w:r>
          </w:p>
        </w:tc>
        <w:tc>
          <w:tcPr>
            <w:tcW w:type="dxa" w:w="1728"/>
          </w:tcPr>
          <w:p>
            <w:r>
              <w:t>class_weight=balanced</w:t>
            </w:r>
          </w:p>
        </w:tc>
        <w:tc>
          <w:tcPr>
            <w:tcW w:type="dxa" w:w="1728"/>
          </w:tcPr>
          <w:p>
            <w:r>
              <w:t>scale_pos_weight</w:t>
            </w:r>
          </w:p>
        </w:tc>
        <w:tc>
          <w:tcPr>
            <w:tcW w:type="dxa" w:w="1728"/>
          </w:tcPr>
          <w:p>
            <w:r>
              <w:t>N/A</w:t>
            </w:r>
          </w:p>
        </w:tc>
        <w:tc>
          <w:tcPr>
            <w:tcW w:type="dxa" w:w="1728"/>
          </w:tcPr>
          <w:p>
            <w:r>
              <w:t>N/A</w:t>
            </w:r>
          </w:p>
        </w:tc>
        <w:tc>
          <w:tcPr>
            <w:tcW w:type="dxa" w:w="1728"/>
          </w:tcPr>
          <w:p>
            <w:r>
              <w:t>class_weight=balanced</w:t>
            </w:r>
          </w:p>
        </w:tc>
        <w:tc>
          <w:tcPr>
            <w:tcW w:type="dxa" w:w="1728"/>
          </w:tcPr>
          <w:p>
            <w:r>
              <w:t>N/A</w:t>
            </w:r>
          </w:p>
        </w:tc>
      </w:tr>
      <w:tr>
        <w:tc>
          <w:tcPr>
            <w:tcW w:type="dxa" w:w="1728"/>
          </w:tcPr>
          <w:p>
            <w:r>
              <w:t>Key Strength</w:t>
            </w:r>
          </w:p>
        </w:tc>
        <w:tc>
          <w:tcPr>
            <w:tcW w:type="dxa" w:w="1728"/>
          </w:tcPr>
          <w:p>
            <w:r>
              <w:t>Robust, interpretable</w:t>
            </w:r>
          </w:p>
        </w:tc>
        <w:tc>
          <w:tcPr>
            <w:tcW w:type="dxa" w:w="1728"/>
          </w:tcPr>
          <w:p>
            <w:r>
              <w:t>High performance, regularization</w:t>
            </w:r>
          </w:p>
        </w:tc>
        <w:tc>
          <w:tcPr>
            <w:tcW w:type="dxa" w:w="1728"/>
          </w:tcPr>
          <w:p>
            <w:r>
              <w:t>Finds natural groupings</w:t>
            </w:r>
          </w:p>
        </w:tc>
        <w:tc>
          <w:tcPr>
            <w:tcW w:type="dxa" w:w="1728"/>
          </w:tcPr>
          <w:p>
            <w:r>
              <w:t>Detects outliers, arbitrary shapes</w:t>
            </w:r>
          </w:p>
        </w:tc>
        <w:tc>
          <w:tcPr>
            <w:tcW w:type="dxa" w:w="1728"/>
          </w:tcPr>
          <w:p>
            <w:r>
              <w:t>Non-linear boundary, calibrated probabilities</w:t>
            </w:r>
          </w:p>
        </w:tc>
        <w:tc>
          <w:tcPr>
            <w:tcW w:type="dxa" w:w="1728"/>
          </w:tcPr>
          <w:p>
            <w:r>
              <w:t>Highest silhouette + Calinski-Harabasz of the three; clean macro-segmentation</w:t>
            </w:r>
          </w:p>
        </w:tc>
      </w:tr>
      <w:tr>
        <w:tc>
          <w:tcPr>
            <w:tcW w:type="dxa" w:w="1728"/>
          </w:tcPr>
          <w:p>
            <w:r>
              <w:t>Key Weakness</w:t>
            </w:r>
          </w:p>
        </w:tc>
        <w:tc>
          <w:tcPr>
            <w:tcW w:type="dxa" w:w="1728"/>
          </w:tcPr>
          <w:p>
            <w:r>
              <w:t>Can overfit</w:t>
            </w:r>
          </w:p>
        </w:tc>
        <w:tc>
          <w:tcPr>
            <w:tcW w:type="dxa" w:w="1728"/>
          </w:tcPr>
          <w:p>
            <w:r>
              <w:t>Sensitive to hyperparams</w:t>
            </w:r>
          </w:p>
        </w:tc>
        <w:tc>
          <w:tcPr>
            <w:tcW w:type="dxa" w:w="1728"/>
          </w:tcPr>
          <w:p>
            <w:r>
              <w:t>Assumes Gaussian distributions</w:t>
            </w:r>
          </w:p>
        </w:tc>
        <w:tc>
          <w:tcPr>
            <w:tcW w:type="dxa" w:w="1728"/>
          </w:tcPr>
          <w:p>
            <w:r>
              <w:t>Sensitive to eps, high-dim struggle</w:t>
            </w:r>
          </w:p>
        </w:tc>
        <w:tc>
          <w:tcPr>
            <w:tcW w:type="dxa" w:w="1728"/>
          </w:tcPr>
          <w:p>
            <w:r>
              <w:t>Slow on large data, hyperparameter-sensitive</w:t>
            </w:r>
          </w:p>
        </w:tc>
        <w:tc>
          <w:tcPr>
            <w:tcW w:type="dxa" w:w="1728"/>
          </w:tcPr>
          <w:p>
            <w:r>
              <w:t>Assumes spherical equal-variance clusters; needs k chosen up front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