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0"/>
      </w:pPr>
      <w:r>
        <w:rPr>
          <w:rFonts w:ascii="Arial" w:cs="Arial" w:eastAsia="Arial" w:hAnsi="Arial"/>
          <w:b/>
          <w:bCs/>
          <w:color w:val="111111"/>
          <w:sz w:val="32"/>
          <w:szCs w:val="32"/>
        </w:rPr>
        <w:t xml:space="preserve">Self-Service Take-Home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In One line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Candidates complete an open-ended, multi-block assignment inside the tool (discussion, diagrams, notes, and more); the client gets a role ranking and per-applicant strengths/weaknesses without the classic take-home cost curve.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What it is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A self-service take-home where candidates work through multiple blocks in the browser.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Interactive discussion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Diagrams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Written notes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Other real work artifacts produced in-session</w:t>
      </w:r>
    </w:p>
    <w:p>
      <w:pPr>
        <w:spacing w:after="120"/>
      </w:pP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Built for depth (assignment / project-style judgment) while remaining structured and scoreable across a full hiring cohort.</w:t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224"/>
      </w:tblGrid>
      <w:tr>
        <w:tc>
          <w:tcPr>
            <w:tcW w:type="dxa" w:w="3000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Attribute</w:t>
            </w:r>
          </w:p>
        </w:tc>
        <w:tc>
          <w:tcPr>
            <w:tcW w:type="dxa" w:w="7224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3000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Format</w:t>
            </w:r>
          </w:p>
        </w:tc>
        <w:tc>
          <w:tcPr>
            <w:tcW w:type="dxa" w:w="7224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Private assignment journey (multi-block)</w:t>
            </w:r>
          </w:p>
        </w:tc>
      </w:tr>
      <w:tr>
        <w:tc>
          <w:tcPr>
            <w:tcW w:type="dxa" w:w="3000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Scope</w:t>
            </w:r>
          </w:p>
        </w:tc>
        <w:tc>
          <w:tcPr>
            <w:tcW w:type="dxa" w:w="7224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Open-ended work sample across several blocks</w:t>
            </w:r>
          </w:p>
        </w:tc>
      </w:tr>
      <w:tr>
        <w:tc>
          <w:tcPr>
            <w:tcW w:type="dxa" w:w="3000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Mode</w:t>
            </w:r>
          </w:p>
        </w:tc>
        <w:tc>
          <w:tcPr>
            <w:tcW w:type="dxa" w:w="7224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Candidate-led, async-friendly</w:t>
            </w:r>
          </w:p>
        </w:tc>
      </w:tr>
      <w:tr>
        <w:tc>
          <w:tcPr>
            <w:tcW w:type="dxa" w:w="3000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Core activity</w:t>
            </w:r>
          </w:p>
        </w:tc>
        <w:tc>
          <w:tcPr>
            <w:tcW w:type="dxa" w:w="7224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Real work in-tool: dialog, diagrams, notes, multi-step reasoning</w:t>
            </w:r>
          </w:p>
        </w:tc>
      </w:tr>
      <w:tr>
        <w:tc>
          <w:tcPr>
            <w:tcW w:type="dxa" w:w="3000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Who reviews</w:t>
            </w:r>
          </w:p>
        </w:tc>
        <w:tc>
          <w:tcPr>
            <w:tcW w:type="dxa" w:w="7224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Product produces rankings and reports; humans review selectively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Inputs</w:t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5424"/>
      </w:tblGrid>
      <w:tr>
        <w:tc>
          <w:tcPr>
            <w:tcW w:type="dxa" w:w="2800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Input</w:t>
            </w:r>
          </w:p>
        </w:tc>
        <w:tc>
          <w:tcPr>
            <w:tcW w:type="dxa" w:w="2000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Required?</w:t>
            </w:r>
          </w:p>
        </w:tc>
        <w:tc>
          <w:tcPr>
            <w:tcW w:type="dxa" w:w="5424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Signals from Self-Service Skill Check</w:t>
            </w:r>
          </w:p>
        </w:tc>
        <w:tc>
          <w:tcPr>
            <w:tcW w:type="dxa" w:w="2000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Optional</w:t>
            </w:r>
          </w:p>
        </w:tc>
        <w:tc>
          <w:tcPr>
            <w:tcW w:type="dxa" w:w="5424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Rankings and strength/weakness packs from the first product used to personalize depth, route candidates, or calibrate the take-home bar.</w:t>
            </w:r>
          </w:p>
        </w:tc>
      </w:tr>
      <w:tr>
        <w:tc>
          <w:tcPr>
            <w:tcW w:type="dxa" w:w="2800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Take-home exercise description</w:t>
            </w:r>
          </w:p>
        </w:tc>
        <w:tc>
          <w:tcPr>
            <w:tcW w:type="dxa" w:w="2000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Recommended, but optional</w:t>
            </w:r>
          </w:p>
        </w:tc>
        <w:tc>
          <w:tcPr>
            <w:tcW w:type="dxa" w:w="5424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Your brief for the multi-block assignment. If you do not have one, we can design the exercise ourselves from the role (and optional screening signals).</w:t>
            </w:r>
          </w:p>
        </w:tc>
      </w:tr>
    </w:tbl>
    <w:p>
      <w:pPr>
        <w:spacing w:before="140"/>
      </w:pP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You can start with only a job/role context and let us author the blocks, or bring an existing take-home and we turn it into a structured multi-block interactive experience.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Candidate experience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Receive access to the assignment (link / invitation).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Progress through multiple blocks that mirror real role work.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Interact with the environment: discuss, sketch, note, iterate.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Complete the journey with full process visibility not only a final deliverable.</w:t>
      </w:r>
    </w:p>
    <w:p>
      <w:pPr>
        <w:spacing w:before="80"/>
      </w:pP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Unlike a classic take-home, the system captures how the candidate works, not only what they produce at the end.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What the client gets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Same reporting model as Self-Service Skill Check:</w:t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224"/>
      </w:tblGrid>
      <w:tr>
        <w:tc>
          <w:tcPr>
            <w:tcW w:type="dxa" w:w="3000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Deliverable</w:t>
            </w:r>
          </w:p>
        </w:tc>
        <w:tc>
          <w:tcPr>
            <w:tcW w:type="dxa" w:w="7224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000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Job-position report</w:t>
            </w:r>
          </w:p>
        </w:tc>
        <w:tc>
          <w:tcPr>
            <w:tcW w:type="dxa" w:w="7224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Ranking of candidates on expected role performance.</w:t>
            </w:r>
          </w:p>
        </w:tc>
      </w:tr>
      <w:tr>
        <w:tc>
          <w:tcPr>
            <w:tcW w:type="dxa" w:w="3000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Per-applicant report</w:t>
            </w:r>
          </w:p>
        </w:tc>
        <w:tc>
          <w:tcPr>
            <w:tcW w:type="dxa" w:w="7224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Strengths and weaknesses for human review and process design.</w:t>
            </w:r>
          </w:p>
        </w:tc>
      </w:tr>
      <w:tr>
        <w:tc>
          <w:tcPr>
            <w:tcW w:type="dxa" w:w="3000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Comparable cohort</w:t>
            </w:r>
          </w:p>
        </w:tc>
        <w:tc>
          <w:tcPr>
            <w:tcW w:type="dxa" w:w="7224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Same blocks and markers for every candidate on that role.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Two ways this product creates value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22222"/>
          <w:sz w:val="24"/>
          <w:szCs w:val="24"/>
        </w:rPr>
        <w:t xml:space="preserve">A. Take-homes where they were not viable before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For high-volume roles, classic take-homes fail economics: too many submissions, too much senior review time, slow cycle time.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Self-Service Take-Home makes a real work sample economically viable because evaluation is structured and report-driven. You can run take-homes on roles that previously skipped them.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22222"/>
          <w:sz w:val="24"/>
          <w:szCs w:val="24"/>
        </w:rPr>
        <w:t xml:space="preserve">B. Lower cost on high-profile offers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For senior / premium roles, take-homes still burn expensive reviewer hours and calendar lag.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Use this product to reduce cost and resources to run and evaluate take-homes without lowering the bar. Same ranking + per-person report, less ad-hoc grading.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When to use it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After a light screen or Self-Service Skill Check, as a work sample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For roles that should have a take-home but review cost blocked it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For high-profile pipelines where take-home quality matters and reviewer load is painful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Anytime you need depth + consistency across many applicants for the same job position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Why it fits "hire a lot, fast"</w:t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224"/>
      </w:tblGrid>
      <w:tr>
        <w:tc>
          <w:tcPr>
            <w:tcW w:type="dxa" w:w="3000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Without this product</w:t>
            </w:r>
          </w:p>
        </w:tc>
        <w:tc>
          <w:tcPr>
            <w:tcW w:type="dxa" w:w="7224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With Self-Service Take-Home</w:t>
            </w:r>
          </w:p>
        </w:tc>
      </w:tr>
      <w:tr>
        <w:tc>
          <w:tcPr>
            <w:tcW w:type="dxa" w:w="3000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Take-homes only for a few premium roles</w:t>
            </w:r>
          </w:p>
        </w:tc>
        <w:tc>
          <w:tcPr>
            <w:tcW w:type="dxa" w:w="7224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Viable work samples at higher volume</w:t>
            </w:r>
          </w:p>
        </w:tc>
      </w:tr>
      <w:tr>
        <w:tc>
          <w:tcPr>
            <w:tcW w:type="dxa" w:w="3000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Multi-day lag and uneven grading</w:t>
            </w:r>
          </w:p>
        </w:tc>
        <w:tc>
          <w:tcPr>
            <w:tcW w:type="dxa" w:w="7224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Structured multi-block journey + role ranking</w:t>
            </w:r>
          </w:p>
        </w:tc>
      </w:tr>
      <w:tr>
        <w:tc>
          <w:tcPr>
            <w:tcW w:type="dxa" w:w="3000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AI-polished PDFs with no process</w:t>
            </w:r>
          </w:p>
        </w:tc>
        <w:tc>
          <w:tcPr>
            <w:tcW w:type="dxa" w:w="7224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In-tool work + interactive signal</w:t>
            </w:r>
          </w:p>
        </w:tc>
      </w:tr>
      <w:tr>
        <w:tc>
          <w:tcPr>
            <w:tcW w:type="dxa" w:w="3000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Senior engineers grade every packet</w:t>
            </w:r>
          </w:p>
        </w:tc>
        <w:tc>
          <w:tcPr>
            <w:tcW w:type="dxa" w:w="7224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Reports first; humans on exceptions and finals</w:t>
            </w:r>
          </w:p>
        </w:tc>
      </w:tr>
    </w:tbl>
    <w:p>
      <w:pPr>
        <w:spacing w:before="360"/>
      </w:pPr>
    </w:p>
    <w:p>
      <w:pPr>
        <w:spacing w:after="80"/>
      </w:pPr>
      <w:r>
        <w:rPr>
          <w:rFonts w:ascii="Arial" w:cs="Arial" w:eastAsia="Arial" w:hAnsi="Arial"/>
          <w:i/>
          <w:iCs/>
          <w:color w:val="374151"/>
          <w:sz w:val="20"/>
          <w:szCs w:val="20"/>
        </w:rPr>
        <w:t xml:space="preserve">Uncertain Systems — work samples that scale without scaling review chaos.</w:t>
      </w:r>
    </w:p>
    <w:sectPr>
      <w:headerReference w:type="default" r:id="rId7"/>
      <w:footerReference w:type="default" r:id="rId8"/>
      <w:pgSz w:w="12240" w:h="15840" w:orient="portrait"/>
      <w:pgMar w:top="1008" w:right="1008" w:bottom="1008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5E7EB" w:sz="6" w:space="4"/>
      </w:pBdr>
      <w:spacing w:before="80"/>
    </w:pPr>
    <w:r>
      <w:rPr>
        <w:rFonts w:ascii="Arial" w:cs="Arial" w:eastAsia="Arial" w:hAnsi="Arial"/>
        <w:color w:val="9CA3AF"/>
        <w:sz w:val="16"/>
        <w:szCs w:val="16"/>
      </w:rPr>
      <w:t xml:space="preserve">uncertain.systems  ·  Page </w:t>
    </w:r>
    <w:r>
      <w:rPr>
        <w:rFonts w:ascii="Arial" w:cs="Arial" w:eastAsia="Arial" w:hAnsi="Arial"/>
        <w:color w:val="9CA3A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5E7EB" w:sz="6" w:space="4"/>
      </w:pBdr>
      <w:spacing w:after="120"/>
    </w:pPr>
    <w:r>
      <w:rPr>
        <w:rFonts w:ascii="Arial" w:cs="Arial" w:eastAsia="Arial" w:hAnsi="Arial"/>
        <w:color w:val="6B7280"/>
        <w:sz w:val="18"/>
        <w:szCs w:val="18"/>
      </w:rPr>
      <w:t xml:space="preserve">Uncertain Systems  ·  Hiring product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Arial" w:cs="Arial" w:eastAsia="Arial" w:hAnsi="Arial"/>
      <w:b/>
      <w:bCs/>
      <w:color w:val="111111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22222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2026-07-23T11:03:26.089Z</dcterms:created>
  <dcterms:modified xsi:type="dcterms:W3CDTF">2026-07-23T11:03:26.090Z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