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/>
        <w:jc w:val="left"/>
      </w:pPr>
      <w:r>
        <w:drawing>
          <wp:inline xmlns:a="http://schemas.openxmlformats.org/drawingml/2006/main" xmlns:pic="http://schemas.openxmlformats.org/drawingml/2006/picture">
            <wp:extent cx="1965960" cy="4434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subi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443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클라우드 아키텍처</w:t>
      </w:r>
    </w:p>
    <w:p>
      <w:pPr>
        <w:pStyle w:val="Subtitle"/>
      </w:pPr>
      <w:r>
        <w:t>KakaoCloud 기반 Musubi 운영 구조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648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anum Gothic" w:hAnsi="Nanum Gothic" w:eastAsia="Nanum Gothic"/>
                <w:b/>
                <w:color w:val="1F4D78"/>
                <w:sz w:val="20"/>
              </w:rPr>
              <w:t>최종 발표용 기준 문서</w:t>
            </w:r>
          </w:p>
          <w:p>
            <w:pPr>
              <w:spacing w:after="0"/>
            </w:pPr>
            <w:r>
              <w:rPr>
                <w:rFonts w:ascii="Nanum Gothic" w:hAnsi="Nanum Gothic" w:eastAsia="Nanum Gothic"/>
                <w:sz w:val="18"/>
              </w:rPr>
              <w:t>운영 코드·배포 구성·현행 정책을 기준으로 작성했습니다. 확인되지 않은 기능은 완료로 표기하지 않았습니다.</w:t>
            </w:r>
          </w:p>
        </w:tc>
      </w:tr>
    </w:tbl>
    <w:p>
      <w:pPr>
        <w:spacing w:after="0"/>
      </w:pPr>
    </w:p>
    <w:p>
      <w:pPr>
        <w:spacing w:before="360"/>
      </w:pPr>
      <w:r>
        <w:rPr>
          <w:rFonts w:ascii="Nanum Gothic" w:hAnsi="Nanum Gothic" w:eastAsia="Nanum Gothic"/>
          <w:color w:val="606B75"/>
          <w:sz w:val="20"/>
        </w:rPr>
        <w:t>문서 버전  Final 1.0</w:t>
        <w:br/>
        <w:t>기준일  2026-08-14</w:t>
        <w:br/>
        <w:t>서비스  Musubi (movieverse.cloud)</w:t>
      </w:r>
    </w:p>
    <w:p>
      <w:r>
        <w:br w:type="page"/>
      </w:r>
    </w:p>
    <w:p>
      <w:pPr>
        <w:pStyle w:val="Heading1"/>
      </w:pPr>
      <w:r>
        <w:t>문서 정보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7"/>
              </w:rPr>
              <w:t>항목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7"/>
              </w:rPr>
              <w:t>내용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최종 배포 구조, 트래픽·보안·운영 경계를 발표용으로 설명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범위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Public LB, Private KKE, DB/GPU VM, Object Storage, Registry, NAT/Bastion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작성 기준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Kubernetes manifests, 운영 문서, 실제 서버 구성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상태 표기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완료: 운영/코드 확인 · 부분: 조건부 또는 제한 운영 · 계획: 향후 적용</w:t>
            </w:r>
          </w:p>
        </w:tc>
      </w:tr>
    </w:tbl>
    <w:p>
      <w:pPr>
        <w:spacing w:after="0"/>
      </w:pPr>
    </w:p>
    <w:p>
      <w:pPr>
        <w:pStyle w:val="Heading1"/>
      </w:pPr>
      <w:r>
        <w:t>최신화 요약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구분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기존 문서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최종 반영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진입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임시 NLB/API Gateway 가정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관리형 Public Application Load Balancer + ingress-nginx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데이터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MySQL·Redis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PostgreSQL 전용 VM + PgBouncer, Object Storage 백업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AI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A100/외부 API 가정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Tesla T4 GPU VM + 자체 LLM + AI FastAPI + Milvus</w:t>
            </w:r>
          </w:p>
        </w:tc>
      </w:tr>
    </w:tbl>
    <w:p>
      <w:pPr>
        <w:spacing w:after="0"/>
      </w:pPr>
    </w:p>
    <w:p>
      <w:pPr>
        <w:pStyle w:val="Heading1"/>
      </w:pPr>
      <w:r>
        <w:t>1. 논리 구조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4668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최종 인프라 논리 구조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466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anum Gothic" w:hAnsi="Nanum Gothic" w:eastAsia="Nanum Gothic"/>
        </w:rPr>
        <w:t>사용자 요청은 HTTPS 443으로 관리형 Public Load Balancer에 진입하고, ingress-nginx가 / 요청을 Frontend Service로, /api 요청을 Backend Service로 전달합니다.</w:t>
      </w:r>
    </w:p>
    <w:p>
      <w:pPr>
        <w:pStyle w:val="Heading1"/>
      </w:pPr>
      <w:r>
        <w:t>2. 물리 구조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2025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최종 인프라 물리 구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02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구성 요소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 w:val="true"/>
        </w:trP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5"/>
              </w:rPr>
              <w:t>구성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5"/>
              </w:rPr>
              <w:t>형태</w:t>
            </w:r>
          </w:p>
        </w:tc>
        <w:tc>
          <w:tcPr>
            <w:tcW w:type="dxa" w:w="43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5"/>
              </w:rPr>
              <w:t>역할</w:t>
            </w:r>
          </w:p>
        </w:tc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5"/>
              </w:rPr>
              <w:t>배치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Public LB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관리형 리소스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HTTPS 종료·80→443 전환·워커 NodePort 전달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Public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NAT+Bastion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일반 VM 1대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프라이빗 아웃바운드·관리자 SSH 경유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Public subnet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KKE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노드풀 1개·워커 2대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Frontend/Backend/Ingress Pod 운영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Private subnet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Frontend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Deployment 2, HPA 2–4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React 정적 앱과 Nginx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KKE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Backend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Deployment 2, HPA 2–6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FastAPI 비즈니스/API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KKE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PostgreSQL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전용 VM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영속 데이터, PgBouncer 6432, 직접 DB 5432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Private subnet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GPU AI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gn1i.4xlarge·Tesla T4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AI API·llama-server·Milvus·etcd·MinIO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Private subnet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Object Storage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storage-prod-team3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프로필 assets·PostgreSQL backups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Managed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Container Registry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front/back repo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SHA 기반 컨테이너 이미지 보관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Managed</w:t>
            </w:r>
          </w:p>
        </w:tc>
      </w:tr>
    </w:tbl>
    <w:p>
      <w:pPr>
        <w:spacing w:after="0"/>
      </w:pPr>
    </w:p>
    <w:p>
      <w:pPr>
        <w:pStyle w:val="Heading1"/>
      </w:pPr>
      <w:r>
        <w:t>4. 통신 및 보안 경계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 w:val="true"/>
        </w:trP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5"/>
              </w:rPr>
              <w:t>출발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5"/>
              </w:rPr>
              <w:t>도착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5"/>
              </w:rPr>
              <w:t>포트/방식</w:t>
            </w:r>
          </w:p>
        </w:tc>
        <w:tc>
          <w:tcPr>
            <w:tcW w:type="dxa" w:w="36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5"/>
              </w:rPr>
              <w:t>정책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Internet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Public LB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HTTPS 443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유일한 서비스 공개 진입점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Public LB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KKE Worker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NodePort 31664(HTTP)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LB 대상그룹·헬스체크 전용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Backend Pod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PgBouncer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TCP 6432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애플리케이션 DB 연결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Migration Job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PostgreSQL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TCP 5432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마이그레이션 전용 직접 연결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Backend Pod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GPU AI API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HTTP 80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사설망 호출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AI API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llama/Milvus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8081/19530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GPU VM 내부/사설 통신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Private 자원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Internet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NAT 경유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필요한 업데이트·외부 API만 허용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관리자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Private VM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SSH via Bastion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키 기반 접근</w:t>
            </w:r>
          </w:p>
        </w:tc>
      </w:tr>
    </w:tbl>
    <w:p>
      <w:pPr>
        <w:spacing w:after="0"/>
      </w:pPr>
    </w:p>
    <w:p>
      <w:pPr>
        <w:pStyle w:val="Heading1"/>
      </w:pPr>
      <w:r>
        <w:t>5. 배포·복구·관측</w:t>
      </w:r>
    </w:p>
    <w:p>
      <w:pPr>
        <w:pStyle w:val="ListBullet"/>
        <w:spacing w:after="60"/>
        <w:ind w:left="360" w:hanging="230"/>
      </w:pPr>
      <w:r>
        <w:rPr>
          <w:rFonts w:ascii="Nanum Gothic" w:hAnsi="Nanum Gothic" w:eastAsia="Nanum Gothic"/>
        </w:rPr>
        <w:t>GitHub Actions는 테스트·빌드·Container Registry Push까지 수행하고, 운영자는 검증 후 kubectl/스크립트로 배포합니다.</w:t>
      </w:r>
    </w:p>
    <w:p>
      <w:pPr>
        <w:pStyle w:val="ListBullet"/>
        <w:spacing w:after="60"/>
        <w:ind w:left="360" w:hanging="230"/>
      </w:pPr>
      <w:r>
        <w:rPr>
          <w:rFonts w:ascii="Nanum Gothic" w:hAnsi="Nanum Gothic" w:eastAsia="Nanum Gothic"/>
        </w:rPr>
        <w:t>운영 배포는 DB migration과 벡터 동기화를 먼저 수행한 뒤 Frontend/Backend를 롤링 업데이트합니다.</w:t>
      </w:r>
    </w:p>
    <w:p>
      <w:pPr>
        <w:pStyle w:val="ListBullet"/>
        <w:spacing w:after="60"/>
        <w:ind w:left="360" w:hanging="230"/>
      </w:pPr>
      <w:r>
        <w:rPr>
          <w:rFonts w:ascii="Nanum Gothic" w:hAnsi="Nanum Gothic" w:eastAsia="Nanum Gothic"/>
        </w:rPr>
        <w:t>Frontend/Backend는 최소 2 Pod, readiness/liveness probe, PodDisruptionBudget과 topology spread를 사용합니다.</w:t>
      </w:r>
    </w:p>
    <w:p>
      <w:pPr>
        <w:pStyle w:val="ListBullet"/>
        <w:spacing w:after="60"/>
        <w:ind w:left="360" w:hanging="230"/>
      </w:pPr>
      <w:r>
        <w:rPr>
          <w:rFonts w:ascii="Nanum Gothic" w:hAnsi="Nanum Gothic" w:eastAsia="Nanum Gothic"/>
        </w:rPr>
        <w:t>PostgreSQL 백업은 Object Storage로 전송하며, 실제 복구 훈련과 RTO/RPO 확정은 향후 과제입니다.</w:t>
      </w:r>
    </w:p>
    <w:p>
      <w:pPr>
        <w:pStyle w:val="ListBullet"/>
        <w:spacing w:after="60"/>
        <w:ind w:left="360" w:hanging="230"/>
      </w:pPr>
      <w:r>
        <w:rPr>
          <w:rFonts w:ascii="Nanum Gothic" w:hAnsi="Nanum Gothic" w:eastAsia="Nanum Gothic"/>
        </w:rPr>
        <w:t>GPU 서버는 watchdog과 Slack 경고를 사용합니다. Kubernetes·DB·LB·애플리케이션을 아우르는 통합 관측은 부분 적용입니다.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648"/>
            <w:shd w:fill="FFF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anum Gothic" w:hAnsi="Nanum Gothic" w:eastAsia="Nanum Gothic"/>
                <w:b/>
                <w:color w:val="1F4D78"/>
                <w:sz w:val="20"/>
              </w:rPr>
              <w:t>현재 운영 제약</w:t>
            </w:r>
          </w:p>
          <w:p>
            <w:pPr>
              <w:spacing w:after="0"/>
            </w:pPr>
            <w:r>
              <w:rPr>
                <w:rFonts w:ascii="Nanum Gothic" w:hAnsi="Nanum Gothic" w:eastAsia="Nanum Gothic"/>
                <w:sz w:val="18"/>
              </w:rPr>
              <w:t>단일 Tesla T4에서 임베딩·재정렬·LLM 생성이 경쟁하므로 동시 요청에서 지연이 증가합니다. 로드 테스트에서 GPU 100%가 관측되었으며, 무중단 확장에는 AI 역할 분리 또는 GPU 확장이 필요합니다.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648"/>
            <w:shd w:fill="F2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anum Gothic" w:hAnsi="Nanum Gothic" w:eastAsia="Nanum Gothic"/>
                <w:b/>
                <w:color w:val="1F4D78"/>
                <w:sz w:val="20"/>
              </w:rPr>
              <w:t>범위 제외</w:t>
            </w:r>
          </w:p>
          <w:p>
            <w:pPr>
              <w:spacing w:after="0"/>
            </w:pPr>
            <w:r>
              <w:rPr>
                <w:rFonts w:ascii="Nanum Gothic" w:hAnsi="Nanum Gothic" w:eastAsia="Nanum Gothic"/>
                <w:sz w:val="18"/>
              </w:rPr>
              <w:t>Private Application Server와 Kubernetes Persistent Volume은 사용하지 않습니다. PostgreSQL과 GPU 상태 저장 구성은 전용 VM에서 운영합니다.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23" w:bottom="1080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 Gothic" w:hAnsi="Nanum Gothic" w:eastAsia="Nanum Gothic"/>
        <w:color w:val="606B75"/>
        <w:sz w:val="16"/>
      </w:rPr>
      <w:t xml:space="preserve">Final 1.0  ·  2026-08-14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 Gothic" w:hAnsi="Nanum Gothic" w:eastAsia="Nanum Gothic"/>
        <w:b/>
        <w:color w:val="606B75"/>
        <w:sz w:val="16"/>
      </w:rPr>
      <w:t>MUSUBI  |  CLOUD-ARCH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anum Gothic" w:hAnsi="Nanum Gothic" w:eastAsia="Nanum Gothic"/>
      <w:color w:val="2025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Nanum Gothic" w:hAnsi="Nanum Gothic" w:eastAsia="Nanum Gothic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anum Gothic" w:hAnsi="Nanum Gothic" w:eastAsia="Nanum Gothic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anum Gothic" w:hAnsi="Nanum Gothic" w:eastAsia="Nanum Gothic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anum Gothic" w:hAnsi="Nanum Gothic" w:eastAsia="Nanum Gothic"/>
      <w:b/>
      <w:color w:val="1F4D7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Nanum Gothic" w:hAnsi="Nanum Gothic" w:eastAsia="Nanum Gothic"/>
      <w:b w:val="0"/>
      <w:i/>
      <w:iCs/>
      <w:color w:val="606B7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