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 Unicode MS" w:hAnsi="Arial Unicode MS" w:eastAsia="Arial Unicode MS" w:cs="Arial Unicode MS"/>
          <w:b/>
          <w:caps/>
          <w:color w:val="F59E0B"/>
          <w:sz w:val="18"/>
        </w:rPr>
        <w:t>FINAL PRESENTATION BRIEF</w:t>
      </w:r>
    </w:p>
    <w:p>
      <w:pPr>
        <w:pStyle w:val="Title"/>
      </w:pPr>
      <w:r>
        <w:rPr>
          <w:rFonts w:ascii="Arial Unicode MS" w:hAnsi="Arial Unicode MS" w:eastAsia="Arial Unicode MS" w:cs="Arial Unicode MS"/>
        </w:rPr>
        <w:t>Musubi 클라우드 아키텍처</w:t>
      </w:r>
    </w:p>
    <w:p>
      <w:pPr>
        <w:spacing w:after="240"/>
      </w:pPr>
      <w:r>
        <w:rPr>
          <w:rFonts w:ascii="Arial Unicode MS" w:hAnsi="Arial Unicode MS" w:eastAsia="Arial Unicode MS" w:cs="Arial Unicode MS"/>
          <w:b w:val="0"/>
          <w:color w:val="5B6573"/>
          <w:sz w:val="22"/>
        </w:rPr>
        <w:t>KakaoCloud 멀티 AZ 운영 구성 · 구현 완료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shd w:fill="F59E0B"/>
            <w:tcMar>
              <w:top w:w="105" w:type="dxa"/>
              <w:start w:w="125" w:type="dxa"/>
              <w:bottom w:w="105" w:type="dxa"/>
              <w:end w:w="125" w:type="dxa"/>
            </w:tcMar>
          </w:tcPr>
          <w:p/>
        </w:tc>
        <w:tc>
          <w:tcPr>
            <w:tcW w:type="dxa" w:w="9180"/>
            <w:vAlign w:val="center"/>
            <w:shd w:fill="FFF4E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9"/>
              </w:rPr>
              <w:t>현재 상태: 2026-08-19 기준 2개 가용 영역, 10개 VM, Public/AI 로드밸런서 고가용성, PostgreSQL Primary–Standby 구성이 완료되었습니다.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구성 원칙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외부 진입점은 Public HA Group과 영역별 ALB로 이중화하고 HTTPS 트래픽을 KKE Ingress로 전달합니다.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애플리케이션·GPU·DB는 Private Subnet에 두고, 관리 및 아웃바운드는 영역별 NAT+Bastion을 사용합니다.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GPU API는 Internal AI ALB를 통해 두 GPU 노드로 분산하며 인터넷에 직접 노출하지 않습니다.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PostgreSQL은 AZ-A Primary와 AZ-B Standby의 비동기 Streaming Replication으로 구성합니다.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운영 자원 인벤토리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300"/>
        <w:gridCol w:w="3300"/>
        <w:gridCol w:w="96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계층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AZ-A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AZ-B</w:t>
            </w:r>
          </w:p>
        </w:tc>
        <w:tc>
          <w:tcPr>
            <w:tcW w:type="dxa" w:w="96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합계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KKE Worker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10.30.2.178 / 10.30.2.122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10.30.3.111 / 10.30.3.66</w:t>
            </w:r>
          </w:p>
        </w:tc>
        <w:tc>
          <w:tcPr>
            <w:tcW w:type="dxa" w:w="9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GPU AI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10.30.2.227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10.30.3.119</w:t>
            </w:r>
          </w:p>
        </w:tc>
        <w:tc>
          <w:tcPr>
            <w:tcW w:type="dxa" w:w="9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PostgreSQL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Primary 10.30.2.185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Standby 10.30.3.190</w:t>
            </w:r>
          </w:p>
        </w:tc>
        <w:tc>
          <w:tcPr>
            <w:tcW w:type="dxa" w:w="9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NAT + Bastion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10.30.1.134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10.30.4.87</w:t>
            </w:r>
          </w:p>
        </w:tc>
        <w:tc>
          <w:tcPr>
            <w:tcW w:type="dxa" w:w="9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총 VM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10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3. 핵심 트래픽 경로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구분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6"/>
              </w:rPr>
              <w:t>경로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사용자</w:t>
            </w:r>
          </w:p>
        </w:tc>
        <w:tc>
          <w:tcPr>
            <w:tcW w:type="dxa" w:w="75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DNS(movieverse.cloud) → Public HA Group → ALB A/B → KKE Ingress → Frontend/Backend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AI 추론</w:t>
            </w:r>
          </w:p>
        </w:tc>
        <w:tc>
          <w:tcPr>
            <w:tcW w:type="dxa" w:w="75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Backend Pod → Internal AI ALB A/B → GPU-A 또는 GPU-B :80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데이터</w:t>
            </w:r>
          </w:p>
        </w:tc>
        <w:tc>
          <w:tcPr>
            <w:tcW w:type="dxa" w:w="75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Backend Pod → PostgreSQL Primary; Primary → Standby 비동기 복제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운영</w:t>
            </w:r>
          </w:p>
        </w:tc>
        <w:tc>
          <w:tcPr>
            <w:tcW w:type="dxa" w:w="75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6"/>
              </w:rPr>
              <w:t>관리자 → Bastion A/B → Private VM; Private outbound → NAT A/B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aps/>
          <w:color w:val="F59E0B"/>
          <w:sz w:val="18"/>
        </w:rPr>
        <w:t>NETWORK &amp; HIGH AVAILABILITY</w:t>
      </w:r>
    </w:p>
    <w:p>
      <w:pPr>
        <w:pStyle w:val="Title"/>
      </w:pPr>
      <w:r>
        <w:rPr>
          <w:rFonts w:ascii="Arial Unicode MS" w:hAnsi="Arial Unicode MS" w:eastAsia="Arial Unicode MS" w:cs="Arial Unicode MS"/>
        </w:rPr>
        <w:t>네트워크와 고가용성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VPC 및 서브넷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900"/>
        <w:gridCol w:w="1900"/>
        <w:gridCol w:w="4260"/>
      </w:tblGrid>
      <w:tr>
        <w:trPr>
          <w:tblHeader w:val="true"/>
        </w:trPr>
        <w:tc>
          <w:tcPr>
            <w:tcW w:type="dxa" w:w="13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영역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서브넷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CIDR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주요 배치</w:t>
            </w:r>
          </w:p>
        </w:tc>
      </w:tr>
      <w:tr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AZ-A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Public A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10.30.1.0/24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ALB-A, NAT+Bastion-A</w:t>
            </w:r>
          </w:p>
        </w:tc>
      </w:tr>
      <w:tr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AZ-A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Private A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10.30.2.0/24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KKE-A×2, GPU-A, DB Primary</w:t>
            </w:r>
          </w:p>
        </w:tc>
      </w:tr>
      <w:tr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AZ-B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Public B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10.30.4.0/24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ALB-B, NAT+Bastion-B</w:t>
            </w:r>
          </w:p>
        </w:tc>
      </w:tr>
      <w:tr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AZ-B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Private B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10.30.3.0/24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KKE-B×2, GPU-B, DB Standby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2. 장애 격리 방식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Public HA Group은 두 영역의 ALB 노드를 묶어 단일 서비스 진입점을 제공합니다.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KKE Worker는 영역별 2대로 구성되어 Frontend·Backend·Ingress Pod를 분산 배치합니다.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Internal AI ALB는 /health 응답을 기준으로 GPU API 대상의 상태를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DB Standby는 read-only이며, Primary 장애 시 운영자가 수동 승격하는 방식입니다.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3. 완료된 검증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검증 항목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결과</w:t>
            </w:r>
          </w:p>
        </w:tc>
      </w:tr>
      <w:t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KKE</w:t>
            </w:r>
          </w:p>
        </w:tc>
        <w:tc>
          <w:tcPr>
            <w:tcW w:type="dxa" w:w="68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Worker 4대 Ready, Pod 영역 분산, PDB·topology spread 적용</w:t>
            </w:r>
          </w:p>
        </w:tc>
      </w:tr>
      <w:t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외부 경로</w:t>
            </w:r>
          </w:p>
        </w:tc>
        <w:tc>
          <w:tcPr>
            <w:tcW w:type="dxa" w:w="68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Public HA/DNS 2개 IP 및 Frontend/Backend HTTP 200 확인</w:t>
            </w:r>
          </w:p>
        </w:tc>
      </w:tr>
      <w:t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AI 경로</w:t>
            </w:r>
          </w:p>
        </w:tc>
        <w:tc>
          <w:tcPr>
            <w:tcW w:type="dxa" w:w="68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Internal AI LB 대상 정상, GPU-A/B API health 확인</w:t>
            </w:r>
          </w:p>
        </w:tc>
      </w:tr>
      <w:t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DB 복제</w:t>
            </w:r>
          </w:p>
        </w:tc>
        <w:tc>
          <w:tcPr>
            <w:tcW w:type="dxa" w:w="68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PostgreSQL 17.11 비동기 streaming, Standby read-only 확인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shd w:fill="2E74B5"/>
            <w:tcMar>
              <w:top w:w="105" w:type="dxa"/>
              <w:start w:w="125" w:type="dxa"/>
              <w:bottom w:w="105" w:type="dxa"/>
              <w:end w:w="125" w:type="dxa"/>
            </w:tcMar>
          </w:tcPr>
          <w:p/>
        </w:tc>
        <w:tc>
          <w:tcPr>
            <w:tcW w:type="dxa" w:w="9180"/>
            <w:vAlign w:val="center"/>
            <w:shd w:fill="EAF2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9"/>
              </w:rPr>
              <w:t>보안 경계: 외부에는 Public HA의 80/443만 노출하고 GPU·DB·KKE 노드는 Private Subnet에서 내부 통신만 허용합니다.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aps/>
          <w:color w:val="F59E0B"/>
          <w:sz w:val="18"/>
        </w:rPr>
        <w:t>OPERATIONS &amp; REMAINING TESTS</w:t>
      </w:r>
    </w:p>
    <w:p>
      <w:pPr>
        <w:pStyle w:val="Title"/>
      </w:pPr>
      <w:r>
        <w:rPr>
          <w:rFonts w:ascii="Arial Unicode MS" w:hAnsi="Arial Unicode MS" w:eastAsia="Arial Unicode MS" w:cs="Arial Unicode MS"/>
        </w:rPr>
        <w:t>운영 기준과 남은 검증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운영 전환 기준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Public LB는 HTTP 80을 HTTPS 443으로 리다이렉트하고, TLS 인증서는 movieverse.cloud에 연결합니다.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Internal AI LB의 DNS 이름을 Backend의 AI_BASE_URL로 사용합니다.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DB 쓰기는 Primary에만 수행하고 Standby는 장애 복구·복제 검증 용도로 유지합니다.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NAT+Bastion은 관리 접속과 Private 인스턴스 아웃바운드의 공용 역할을 수행합니다.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확인된 제약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항목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현재 상태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7"/>
              </w:rPr>
              <w:t>후속 조치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DB 전환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수동 승격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장애 훈련 후 자동화 여부 결정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DB Standby 볼륨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루트 50GB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운영 장기화 시 100GB 이상 확장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GPU 장애 전환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LB 상태 확인 구성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GPU-A 강제 중지 후 연속 요청 검증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백업 복구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Object Storage 사용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1F2937"/>
                <w:sz w:val="17"/>
              </w:rPr>
              <w:t>복구 리허설과 RPO/RTO 확정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3. 발표 시 핵심 설명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shd w:fill="F59E0B"/>
            <w:tcMar>
              <w:top w:w="105" w:type="dxa"/>
              <w:start w:w="125" w:type="dxa"/>
              <w:bottom w:w="105" w:type="dxa"/>
              <w:end w:w="125" w:type="dxa"/>
            </w:tcMar>
          </w:tcPr>
          <w:p/>
        </w:tc>
        <w:tc>
          <w:tcPr>
            <w:tcW w:type="dxa" w:w="9180"/>
            <w:vAlign w:val="center"/>
            <w:shd w:fill="FFF4E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24D"/>
                <w:sz w:val="19"/>
              </w:rPr>
              <w:t>Musubi는 확장 가능한 Stateless 계층은 Kubernetes로, 상태·가속기 의존성이 큰 PostgreSQL과 GPU AI는 전용 VM으로 분리한 혼합형 아키텍처입니다.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단일 AZ·단일 GPU 구조에서 두 AZ·이중 GPU·DB Standby 구조로 확장했습니다.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모든 계층을 Kubernetes에 넣지 않고 워크로드 특성에 따라 관리 경계를 분리했습니다.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color w:val="1F2937"/>
          <w:sz w:val="19"/>
        </w:rPr>
        <w:t>현재 구성 완료와 기능 검증은 구분해 기록했으며, 실제 장애 전환 훈련은 후속 운영 과제입니다.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5B6573"/>
        <w:sz w:val="16"/>
      </w:rPr>
      <w:t xml:space="preserve">최종 검증 기준 2026-08-19  ·  </w:t>
    </w:r>
    <w:r>
      <w:rPr>
        <w:rFonts w:ascii="Arial Unicode MS" w:hAnsi="Arial Unicode MS" w:eastAsia="Arial Unicode MS" w:cs="Arial Unicode MS"/>
        <w:b w:val="0"/>
        <w:color w:val="5B6573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/>
        <w:color w:val="5B6573"/>
        <w:sz w:val="16"/>
      </w:rPr>
      <w:t>MUSUBI  |  클라우드 아키텍처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 Unicode MS" w:hAnsi="Arial Unicode MS" w:eastAsia="Arial Unicode MS" w:cs="Arial Unicode M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74" w:hanging="230"/>
      <w:contextualSpacing/>
    </w:pPr>
    <w:rPr>
      <w:rFonts w:ascii="Arial Unicode MS" w:hAnsi="Arial Unicode MS" w:eastAsia="Arial Unicode MS" w:cs="Arial Unicode M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74" w:hanging="230"/>
      <w:contextualSpacing/>
    </w:pPr>
    <w:rPr>
      <w:rFonts w:ascii="Arial Unicode MS" w:hAnsi="Arial Unicode MS" w:eastAsia="Arial Unicode MS" w:cs="Arial Unicode M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