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rFonts w:ascii="Times New Roman" w:hAnsi="Times New Roman"/>
          <w:b/>
          <w:sz w:val="24"/>
        </w:rPr>
        <w:t>BAB 3</w:t>
      </w:r>
    </w:p>
    <w:p>
      <w:pPr>
        <w:spacing w:line="240" w:lineRule="auto" w:after="360"/>
        <w:jc w:val="center"/>
      </w:pPr>
      <w:r>
        <w:rPr>
          <w:rFonts w:ascii="Times New Roman" w:hAnsi="Times New Roman"/>
          <w:b/>
          <w:sz w:val="24"/>
        </w:rPr>
        <w:t>METODE PENELITIAN</w:t>
      </w:r>
    </w:p>
    <w:p>
      <w:pPr>
        <w:spacing w:before="240" w:after="120"/>
      </w:pPr>
      <w:r>
        <w:rPr>
          <w:rFonts w:ascii="Times New Roman" w:hAnsi="Times New Roman"/>
          <w:b/>
          <w:sz w:val="24"/>
        </w:rPr>
        <w:t>3.1 Rancangan Penelitian</w:t>
      </w:r>
    </w:p>
    <w:p>
      <w:pPr>
        <w:spacing w:after="120"/>
        <w:ind w:firstLine="720"/>
        <w:jc w:val="both"/>
      </w:pPr>
      <w:r>
        <w:rPr>
          <w:rFonts w:ascii="Times New Roman" w:hAnsi="Times New Roman"/>
          <w:i w:val="0"/>
          <w:sz w:val="24"/>
        </w:rPr>
        <w:t>Penelitian ini merupakan studi kohort retrospektif untuk pengembangan model prediksi klinis (</w:t>
      </w:r>
      <w:r>
        <w:rPr>
          <w:rFonts w:ascii="Times New Roman" w:hAnsi="Times New Roman"/>
          <w:i/>
          <w:sz w:val="24"/>
        </w:rPr>
        <w:t>clinical prediction model development study</w:t>
      </w:r>
      <w:r>
        <w:rPr>
          <w:rFonts w:ascii="Times New Roman" w:hAnsi="Times New Roman"/>
          <w:i w:val="0"/>
          <w:sz w:val="24"/>
        </w:rPr>
        <w:t xml:space="preserve">), berbasis data rekam medis elektronik dan sistem informasi keuangan rumah sakit.²⁴ Unit analisis adalah episode rawat inap. Variabel prediktor diambil dari jendela 24 jam pertama perawatan ICU, sedangkan luaran ditentukan pada akhir episode rawat inap, sehingga model bersifat </w:t>
      </w:r>
      <w:r>
        <w:rPr>
          <w:rFonts w:ascii="Times New Roman" w:hAnsi="Times New Roman"/>
          <w:i/>
          <w:sz w:val="24"/>
        </w:rPr>
        <w:t>strictly forward-looking</w:t>
      </w:r>
      <w:r>
        <w:rPr>
          <w:rFonts w:ascii="Times New Roman" w:hAnsi="Times New Roman"/>
          <w:i w:val="0"/>
          <w:sz w:val="24"/>
        </w:rPr>
        <w:t xml:space="preserve"> dan terbebas dari kebocoran informasi luaran (</w:t>
      </w:r>
      <w:r>
        <w:rPr>
          <w:rFonts w:ascii="Times New Roman" w:hAnsi="Times New Roman"/>
          <w:i/>
          <w:sz w:val="24"/>
        </w:rPr>
        <w:t>data leakage</w:t>
      </w:r>
      <w:r>
        <w:rPr>
          <w:rFonts w:ascii="Times New Roman" w:hAnsi="Times New Roman"/>
          <w:i w:val="0"/>
          <w:sz w:val="24"/>
        </w:rPr>
        <w:t>). Pelaporan mengikuti TRIPOD+AI.²⁴</w:t>
      </w:r>
    </w:p>
    <w:p>
      <w:pPr>
        <w:spacing w:before="240" w:after="120"/>
      </w:pPr>
      <w:r>
        <w:rPr>
          <w:rFonts w:ascii="Times New Roman" w:hAnsi="Times New Roman"/>
          <w:b/>
          <w:sz w:val="24"/>
        </w:rPr>
        <w:t>3.2 Tempat dan Waktu</w:t>
      </w:r>
    </w:p>
    <w:p>
      <w:pPr>
        <w:spacing w:after="120"/>
        <w:ind w:firstLine="720"/>
        <w:jc w:val="both"/>
      </w:pPr>
      <w:r>
        <w:rPr>
          <w:rFonts w:ascii="Times New Roman" w:hAnsi="Times New Roman"/>
          <w:i w:val="0"/>
          <w:sz w:val="24"/>
        </w:rPr>
        <w:t>Penelitian dilaksanakan di ICU dewasa RSUPN Dr. Cipto Mangunkusumo (RSCM), Jakarta, rumah sakit rujukan nasional tipe A dan rumah sakit pendidikan utama Fakultas Kedokteran Universitas Indonesia. Pengumpulan data retrospektif mencakup pasien yang dirawat pada periode Mei 2025 hingga Mei 2026 (12 bulan). Periode 12 bulan dipilih untuk menjamin homogenitas struktur tarif rumah sakit, mengingat perubahan tarif RSCM yang berlaku mulai Mei 2026, sehingga data setelah periode tersebut tidak sebanding.</w:t>
      </w:r>
    </w:p>
    <w:p>
      <w:pPr>
        <w:spacing w:before="240" w:after="120"/>
      </w:pPr>
      <w:r>
        <w:rPr>
          <w:rFonts w:ascii="Times New Roman" w:hAnsi="Times New Roman"/>
          <w:b/>
          <w:sz w:val="24"/>
        </w:rPr>
        <w:t>3.3 Populasi dan Sampel</w:t>
      </w:r>
    </w:p>
    <w:p>
      <w:pPr>
        <w:spacing w:before="160" w:after="80"/>
      </w:pPr>
      <w:r>
        <w:rPr>
          <w:rFonts w:ascii="Times New Roman" w:hAnsi="Times New Roman"/>
          <w:b w:val="0"/>
          <w:sz w:val="24"/>
        </w:rPr>
        <w:t>3.3.1 Populasi target</w:t>
      </w:r>
    </w:p>
    <w:p>
      <w:pPr>
        <w:spacing w:after="120"/>
        <w:ind w:firstLine="720"/>
        <w:jc w:val="both"/>
      </w:pPr>
      <w:r>
        <w:rPr>
          <w:rFonts w:ascii="Times New Roman" w:hAnsi="Times New Roman"/>
          <w:i w:val="0"/>
          <w:sz w:val="24"/>
        </w:rPr>
        <w:t>Seluruh pasien dewasa yang dirawat di ICU rumah sakit rujukan tersier di Indonesia.</w:t>
      </w:r>
    </w:p>
    <w:p>
      <w:pPr>
        <w:spacing w:before="160" w:after="80"/>
      </w:pPr>
      <w:r>
        <w:rPr>
          <w:rFonts w:ascii="Times New Roman" w:hAnsi="Times New Roman"/>
          <w:b w:val="0"/>
          <w:sz w:val="24"/>
        </w:rPr>
        <w:t>3.3.2 Populasi terjangkau</w:t>
      </w:r>
    </w:p>
    <w:p>
      <w:pPr>
        <w:spacing w:after="120"/>
        <w:ind w:firstLine="720"/>
        <w:jc w:val="both"/>
      </w:pPr>
      <w:r>
        <w:rPr>
          <w:rFonts w:ascii="Times New Roman" w:hAnsi="Times New Roman"/>
          <w:i w:val="0"/>
          <w:sz w:val="24"/>
        </w:rPr>
        <w:t>Pasien dewasa yang dirawat di ICU dewasa RSCM periode Mei 2025–Mei 2026 yang memiliki rekam medis, data klaim INA-CBGs, dan data tagihan rumah sakit yang lengkap.</w:t>
      </w:r>
    </w:p>
    <w:p>
      <w:pPr>
        <w:spacing w:before="160" w:after="80"/>
      </w:pPr>
      <w:r>
        <w:rPr>
          <w:rFonts w:ascii="Times New Roman" w:hAnsi="Times New Roman"/>
          <w:b w:val="0"/>
          <w:sz w:val="24"/>
        </w:rPr>
        <w:t>3.3.3 Sampel dan cara pemilihan sampel</w:t>
      </w:r>
    </w:p>
    <w:p>
      <w:pPr>
        <w:spacing w:after="120"/>
        <w:ind w:firstLine="720"/>
        <w:jc w:val="both"/>
      </w:pPr>
      <w:r>
        <w:rPr>
          <w:rFonts w:ascii="Times New Roman" w:hAnsi="Times New Roman"/>
          <w:i w:val="0"/>
          <w:sz w:val="24"/>
        </w:rPr>
        <w:t>Sampel adalah seluruh pasien populasi terjangkau yang memenuhi kriteria inklusi dan tidak termasuk kriteria eksklusi. Pemilihan sampel dilakukan secara berurutan (</w:t>
      </w:r>
      <w:r>
        <w:rPr>
          <w:rFonts w:ascii="Times New Roman" w:hAnsi="Times New Roman"/>
          <w:i/>
          <w:sz w:val="24"/>
        </w:rPr>
        <w:t>consecutive sampling</w:t>
      </w:r>
      <w:r>
        <w:rPr>
          <w:rFonts w:ascii="Times New Roman" w:hAnsi="Times New Roman"/>
          <w:i w:val="0"/>
          <w:sz w:val="24"/>
        </w:rPr>
        <w:t>) melalui telaah rekam medis elektronik dan sistem informasi rumah sakit. Alur seleksi subjek disajikan pada Gambar 3.1.²⁴</w:t>
      </w:r>
    </w:p>
    <w:p>
      <w:pPr>
        <w:spacing w:before="160" w:after="80"/>
      </w:pPr>
      <w:r>
        <w:rPr>
          <w:rFonts w:ascii="Times New Roman" w:hAnsi="Times New Roman"/>
          <w:b w:val="0"/>
          <w:sz w:val="24"/>
        </w:rPr>
        <w:t>3.3.4 Kriteria inklusi</w:t>
      </w:r>
    </w:p>
    <w:p>
      <w:pPr>
        <w:spacing w:after="120"/>
        <w:ind w:firstLine="720"/>
        <w:jc w:val="both"/>
      </w:pPr>
      <w:r>
        <w:rPr>
          <w:rFonts w:ascii="Times New Roman" w:hAnsi="Times New Roman"/>
          <w:i w:val="0"/>
          <w:sz w:val="24"/>
        </w:rPr>
        <w:t>Kriteria inklusi meliputi: (1) usia ≥18 tahun; (2) dirawat di ICU dewasa RSCM periode Mei 2025–Mei 2026; (3) peserta JKN/BPJS Kesehatan; (4) tersedia data klinis 24 jam pertama yang meliputi data demografik, tekanan arteri rerata, SpO₂/FiO₂, GCS, kreatinin serum, status ventilasi mekanik, vasopresor/inotropik, transfusi darah, pembedahan, durasi rawat pra-ICU, dan kategori diagnosis utama; (5) tersedia data administratif 24 jam pertama berupa kelas rawat JKN dan tipe admisi ICU; serta (6) tersedia data klaim INA-CBGs final dan total tagihan rumah sakit pada level episode rawat inap.</w:t>
      </w:r>
    </w:p>
    <w:p>
      <w:pPr>
        <w:spacing w:before="160" w:after="80"/>
      </w:pPr>
      <w:r>
        <w:rPr>
          <w:rFonts w:ascii="Times New Roman" w:hAnsi="Times New Roman"/>
          <w:b w:val="0"/>
          <w:sz w:val="24"/>
        </w:rPr>
        <w:t>3.3.5 Kriteria eksklusi</w:t>
      </w:r>
    </w:p>
    <w:p>
      <w:pPr>
        <w:spacing w:after="120"/>
        <w:ind w:firstLine="720"/>
        <w:jc w:val="both"/>
      </w:pPr>
      <w:r>
        <w:rPr>
          <w:rFonts w:ascii="Times New Roman" w:hAnsi="Times New Roman"/>
          <w:i w:val="0"/>
          <w:sz w:val="24"/>
        </w:rPr>
        <w:t>Kriteria eksklusi meliputi: (1) dirawat di ICU kurang dari 24 jam, termasuk meninggal dalam 24 jam pertama — merupakan konsekuensi logis jendela prediktor 24 jam dan dibahas sebagai keterbatasan; (2) pasien rujukan tanpa data waktu masuk rumah sakit asal sehingga durasi pra-ICU tidak dapat dihitung; (3) data kunci tidak lengkap sehingga luaran tidak dapat ditentukan; serta (4) episode rawat ulang ICU dalam satu episode rawat inap yang sama, yaitu hanya episode ICU pertama yang diikutsertakan.</w:t>
      </w:r>
    </w:p>
    <w:p>
      <w:pPr>
        <w:spacing w:before="240" w:after="120"/>
      </w:pPr>
      <w:r>
        <w:rPr>
          <w:rFonts w:ascii="Times New Roman" w:hAnsi="Times New Roman"/>
          <w:b/>
          <w:sz w:val="24"/>
        </w:rPr>
        <w:t>3.4 Besar Sampel</w:t>
      </w:r>
    </w:p>
    <w:p>
      <w:pPr>
        <w:spacing w:after="120"/>
        <w:ind w:firstLine="720"/>
        <w:jc w:val="both"/>
      </w:pPr>
      <w:r>
        <w:rPr>
          <w:rFonts w:ascii="Times New Roman" w:hAnsi="Times New Roman"/>
          <w:i w:val="0"/>
          <w:sz w:val="24"/>
        </w:rPr>
        <w:t>Estimasi besar sampel dihitung dengan pendekatan Riley dkk. yang mempertimbangkan target R²-Nagelkerke (</w:t>
      </w:r>
      <w:r>
        <w:rPr>
          <w:rFonts w:ascii="Times New Roman" w:hAnsi="Times New Roman"/>
          <w:i/>
          <w:sz w:val="24"/>
        </w:rPr>
        <w:t>shrinkage</w:t>
      </w:r>
      <w:r>
        <w:rPr>
          <w:rFonts w:ascii="Times New Roman" w:hAnsi="Times New Roman"/>
          <w:i w:val="0"/>
          <w:sz w:val="24"/>
        </w:rPr>
        <w:t xml:space="preserve"> ≤0,1), kalibrasi </w:t>
      </w:r>
      <w:r>
        <w:rPr>
          <w:rFonts w:ascii="Times New Roman" w:hAnsi="Times New Roman"/>
          <w:i/>
          <w:sz w:val="24"/>
        </w:rPr>
        <w:t>slope</w:t>
      </w:r>
      <w:r>
        <w:rPr>
          <w:rFonts w:ascii="Times New Roman" w:hAnsi="Times New Roman"/>
          <w:i w:val="0"/>
          <w:sz w:val="24"/>
        </w:rPr>
        <w:t xml:space="preserve">, presisi </w:t>
      </w:r>
      <w:r>
        <w:rPr>
          <w:rFonts w:ascii="Times New Roman" w:hAnsi="Times New Roman"/>
          <w:i/>
          <w:sz w:val="24"/>
        </w:rPr>
        <w:t>intercept</w:t>
      </w:r>
      <w:r>
        <w:rPr>
          <w:rFonts w:ascii="Times New Roman" w:hAnsi="Times New Roman"/>
          <w:i w:val="0"/>
          <w:sz w:val="24"/>
        </w:rPr>
        <w:t xml:space="preserve">, dan presisi prediksi keseluruhan — menggantikan aturan praktis </w:t>
      </w:r>
      <w:r>
        <w:rPr>
          <w:rFonts w:ascii="Times New Roman" w:hAnsi="Times New Roman"/>
          <w:i/>
          <w:sz w:val="24"/>
        </w:rPr>
        <w:t>events per variable</w:t>
      </w:r>
      <w:r>
        <w:rPr>
          <w:rFonts w:ascii="Times New Roman" w:hAnsi="Times New Roman"/>
          <w:i w:val="0"/>
          <w:sz w:val="24"/>
        </w:rPr>
        <w:t xml:space="preserve">.³² Dengan asumsi 14 variabel prediktor (yang setelah </w:t>
      </w:r>
      <w:r>
        <w:rPr>
          <w:rFonts w:ascii="Times New Roman" w:hAnsi="Times New Roman"/>
          <w:i/>
          <w:sz w:val="24"/>
        </w:rPr>
        <w:t>one-hot encoding</w:t>
      </w:r>
      <w:r>
        <w:rPr>
          <w:rFonts w:ascii="Times New Roman" w:hAnsi="Times New Roman"/>
          <w:i w:val="0"/>
          <w:sz w:val="24"/>
        </w:rPr>
        <w:t xml:space="preserve"> menjadi sekitar 19–20 parameter), target C-statistik 0,75, dan </w:t>
      </w:r>
      <w:r>
        <w:rPr>
          <w:rFonts w:ascii="Times New Roman" w:hAnsi="Times New Roman"/>
          <w:i/>
          <w:sz w:val="24"/>
        </w:rPr>
        <w:t>shrinkage</w:t>
      </w:r>
      <w:r>
        <w:rPr>
          <w:rFonts w:ascii="Times New Roman" w:hAnsi="Times New Roman"/>
          <w:i w:val="0"/>
          <w:sz w:val="24"/>
        </w:rPr>
        <w:t xml:space="preserve"> maksimum 0,1, perhitungan dengan paket pmsampsize menghasilkan kebutuhan minimum sekitar 500–600 episode.³²</w:t>
      </w:r>
    </w:p>
    <w:p>
      <w:pPr>
        <w:spacing w:after="120"/>
        <w:ind w:firstLine="720"/>
        <w:jc w:val="both"/>
      </w:pPr>
      <w:r>
        <w:rPr>
          <w:rFonts w:ascii="Times New Roman" w:hAnsi="Times New Roman"/>
          <w:i w:val="0"/>
          <w:sz w:val="24"/>
        </w:rPr>
        <w:t xml:space="preserve">Karena prevalensi </w:t>
      </w:r>
      <w:r>
        <w:rPr>
          <w:rFonts w:ascii="Times New Roman" w:hAnsi="Times New Roman"/>
          <w:i/>
          <w:sz w:val="24"/>
        </w:rPr>
        <w:t>under-reimbursement</w:t>
      </w:r>
      <w:r>
        <w:rPr>
          <w:rFonts w:ascii="Times New Roman" w:hAnsi="Times New Roman"/>
          <w:i w:val="0"/>
          <w:sz w:val="24"/>
        </w:rPr>
        <w:t xml:space="preserve"> pada level episode di RSCM belum pernah dilaporkan, prevalensi tidak diasumsikan sebagai angka tunggal melainkan diuji melalui analisis skenario. Perlu ditegaskan bahwa temuan Halim dkk. berupa cakupan klaim sebesar 57,14% merupakan rerata rasio cakupan, bukan proporsi episode dengan rasio &gt;1, sehingga tidak dapat langsung dipakai sebagai prevalensi.⁵ Perhitungan diulang pada skenario prevalensi 40%, 50%, 60%, dan 75%; pada seluruh skenario kebutuhan minimum tetap berada di bawah 700 episode. Berdasarkan registri ICU RSCM, diperkirakan tersedia lebih dari 1.000 episode rawat ICU dewasa dengan penjaminan JKN per tahun, sehingga kesimpulan kecukupan sampel tidak bergantung pada asumsi prevalensi. Proporsi </w:t>
      </w:r>
      <w:r>
        <w:rPr>
          <w:rFonts w:ascii="Times New Roman" w:hAnsi="Times New Roman"/>
          <w:i/>
          <w:sz w:val="24"/>
        </w:rPr>
        <w:t>under-reimbursement</w:t>
      </w:r>
      <w:r>
        <w:rPr>
          <w:rFonts w:ascii="Times New Roman" w:hAnsi="Times New Roman"/>
          <w:i w:val="0"/>
          <w:sz w:val="24"/>
        </w:rPr>
        <w:t xml:space="preserve"> aktual justru merupakan Tujuan Khusus 1 dan akan dilaporkan sebagai temuan deskriptif disertai interval kepercayaan 95%.</w:t>
      </w:r>
    </w:p>
    <w:p>
      <w:pPr>
        <w:spacing w:after="120"/>
        <w:ind w:firstLine="720"/>
        <w:jc w:val="both"/>
      </w:pPr>
      <w:r>
        <w:rPr>
          <w:rFonts w:ascii="Times New Roman" w:hAnsi="Times New Roman"/>
          <w:i w:val="0"/>
          <w:sz w:val="24"/>
        </w:rPr>
        <w:t xml:space="preserve">Dengan perkiraan lebih dari 1.000 episode dan prevalensi 40–75%, jumlah </w:t>
      </w:r>
      <w:r>
        <w:rPr>
          <w:rFonts w:ascii="Times New Roman" w:hAnsi="Times New Roman"/>
          <w:i/>
          <w:sz w:val="24"/>
        </w:rPr>
        <w:t>event</w:t>
      </w:r>
      <w:r>
        <w:rPr>
          <w:rFonts w:ascii="Times New Roman" w:hAnsi="Times New Roman"/>
          <w:i w:val="0"/>
          <w:sz w:val="24"/>
        </w:rPr>
        <w:t xml:space="preserve"> berkisar 400–750, sehingga rasio </w:t>
      </w:r>
      <w:r>
        <w:rPr>
          <w:rFonts w:ascii="Times New Roman" w:hAnsi="Times New Roman"/>
          <w:i/>
          <w:sz w:val="24"/>
        </w:rPr>
        <w:t>event</w:t>
      </w:r>
      <w:r>
        <w:rPr>
          <w:rFonts w:ascii="Times New Roman" w:hAnsi="Times New Roman"/>
          <w:i w:val="0"/>
          <w:sz w:val="24"/>
        </w:rPr>
        <w:t xml:space="preserve"> per parameter berkisar 20–40 — memadai untuk pemodelan teregularisasi. Sebagai pembanding empiris, Ikumi dkk. mencapai AUC 0,859 dengan 22 variabel pada 425 </w:t>
      </w:r>
      <w:r>
        <w:rPr>
          <w:rFonts w:ascii="Times New Roman" w:hAnsi="Times New Roman"/>
          <w:i/>
          <w:sz w:val="24"/>
        </w:rPr>
        <w:t>event</w:t>
      </w:r>
      <w:r>
        <w:rPr>
          <w:rFonts w:ascii="Times New Roman" w:hAnsi="Times New Roman"/>
          <w:i w:val="0"/>
          <w:sz w:val="24"/>
        </w:rPr>
        <w:t xml:space="preserve"> finansial.⁷</w:t>
      </w:r>
    </w:p>
    <w:p>
      <w:pPr>
        <w:spacing w:before="240" w:after="120"/>
      </w:pPr>
      <w:r>
        <w:rPr>
          <w:rFonts w:ascii="Times New Roman" w:hAnsi="Times New Roman"/>
          <w:b/>
          <w:sz w:val="24"/>
        </w:rPr>
        <w:t>3.5 Kerangka Kerja</w:t>
      </w:r>
    </w:p>
    <w:p>
      <w:pPr>
        <w:spacing w:after="120"/>
        <w:ind w:firstLine="720"/>
        <w:jc w:val="both"/>
      </w:pPr>
      <w:r>
        <w:rPr>
          <w:rFonts w:ascii="Times New Roman" w:hAnsi="Times New Roman"/>
          <w:i w:val="0"/>
          <w:sz w:val="24"/>
        </w:rPr>
        <w:t xml:space="preserve">Kerangka kerja penelitian disajikan pada Gambar 3.1. Secara ringkas, alur dimulai dari identifikasi populasi terjangkau, seleksi berdasarkan kriteria inklusi dan eksklusi, pengumpulan variabel klinis dan administratif 24 jam pertama, penentuan status </w:t>
      </w:r>
      <w:r>
        <w:rPr>
          <w:rFonts w:ascii="Times New Roman" w:hAnsi="Times New Roman"/>
          <w:i/>
          <w:sz w:val="24"/>
        </w:rPr>
        <w:t>under-reimbursement</w:t>
      </w:r>
      <w:r>
        <w:rPr>
          <w:rFonts w:ascii="Times New Roman" w:hAnsi="Times New Roman"/>
          <w:i w:val="0"/>
          <w:sz w:val="24"/>
        </w:rPr>
        <w:t xml:space="preserve"> pada akhir episode, prapemrosesan data, pengembangan model (XGBoost, </w:t>
      </w:r>
      <w:r>
        <w:rPr>
          <w:rFonts w:ascii="Times New Roman" w:hAnsi="Times New Roman"/>
          <w:i/>
          <w:sz w:val="24"/>
        </w:rPr>
        <w:t>Random Forest</w:t>
      </w:r>
      <w:r>
        <w:rPr>
          <w:rFonts w:ascii="Times New Roman" w:hAnsi="Times New Roman"/>
          <w:i w:val="0"/>
          <w:sz w:val="24"/>
        </w:rPr>
        <w:t>, dan regresi logistik teregularisasi), evaluasi performa, analisis interpretabilitas SHAP, hingga pelaporan sesuai TRIPOD+AI.²⁴</w:t>
      </w:r>
    </w:p>
    <w:p>
      <w:pPr>
        <w:spacing w:before="200" w:after="80"/>
        <w:jc w:val="center"/>
      </w:pPr>
      <w:r>
        <w:drawing>
          <wp:inline xmlns:a="http://schemas.openxmlformats.org/drawingml/2006/main" xmlns:pic="http://schemas.openxmlformats.org/drawingml/2006/picture">
            <wp:extent cx="4860000" cy="4860000"/>
            <wp:docPr id="1" name="Picture 1"/>
            <wp:cNvGraphicFramePr>
              <a:graphicFrameLocks noChangeAspect="1"/>
            </wp:cNvGraphicFramePr>
            <a:graphic>
              <a:graphicData uri="http://schemas.openxmlformats.org/drawingml/2006/picture">
                <pic:pic>
                  <pic:nvPicPr>
                    <pic:cNvPr id="0" name="Gambar_3_1_Alur_Penelitian.png"/>
                    <pic:cNvPicPr/>
                  </pic:nvPicPr>
                  <pic:blipFill>
                    <a:blip r:embed="rId9"/>
                    <a:stretch>
                      <a:fillRect/>
                    </a:stretch>
                  </pic:blipFill>
                  <pic:spPr>
                    <a:xfrm>
                      <a:off x="0" y="0"/>
                      <a:ext cx="4860000" cy="4860000"/>
                    </a:xfrm>
                    <a:prstGeom prst="rect"/>
                  </pic:spPr>
                </pic:pic>
              </a:graphicData>
            </a:graphic>
          </wp:inline>
        </w:drawing>
      </w:r>
    </w:p>
    <w:p>
      <w:pPr>
        <w:spacing w:line="360" w:lineRule="auto" w:after="200"/>
        <w:jc w:val="center"/>
      </w:pPr>
      <w:r>
        <w:rPr>
          <w:rFonts w:ascii="Times New Roman" w:hAnsi="Times New Roman"/>
          <w:b/>
          <w:sz w:val="22"/>
        </w:rPr>
        <w:t>Gambar 3.1 Kerangka Kerja Penelitian</w:t>
      </w:r>
    </w:p>
    <w:p>
      <w:pPr>
        <w:spacing w:before="240" w:after="120"/>
      </w:pPr>
      <w:r>
        <w:rPr>
          <w:rFonts w:ascii="Times New Roman" w:hAnsi="Times New Roman"/>
          <w:b/>
          <w:sz w:val="24"/>
        </w:rPr>
        <w:t>3.6 Cara Kerja</w:t>
      </w:r>
    </w:p>
    <w:p>
      <w:pPr>
        <w:spacing w:after="120"/>
        <w:ind w:firstLine="720"/>
        <w:jc w:val="both"/>
      </w:pPr>
      <w:r>
        <w:rPr>
          <w:rFonts w:ascii="Times New Roman" w:hAnsi="Times New Roman"/>
          <w:i w:val="0"/>
          <w:sz w:val="24"/>
        </w:rPr>
        <w:t>Instrumen yang digunakan meliputi: (1) rekam medis elektronik RSCM; (2) sistem informasi manajemen rumah sakit (SIM RS); (3) data klaim BPJS Kesehatan; (4) lembar pengumpulan data elektronik; serta (5) perangkat lunak Python versi ≥3.10 dengan pustaka pandas, scikit-learn, XGBoost, dan SHAP.²⁵,²⁹,³⁰ Tahapan pelaksanaan penelitian adalah sebagai berikut.</w:t>
      </w:r>
    </w:p>
    <w:p>
      <w:pPr>
        <w:spacing w:after="80"/>
        <w:ind w:left="425" w:hanging="425"/>
        <w:jc w:val="both"/>
      </w:pPr>
      <w:r>
        <w:rPr>
          <w:rFonts w:ascii="Times New Roman" w:hAnsi="Times New Roman"/>
          <w:i w:val="0"/>
          <w:sz w:val="24"/>
        </w:rPr>
        <w:t>1. Memperoleh persetujuan etik dari Komite Etik Penelitian Kesehatan FKUI-RSCM serta izin akses data rekam medis dan data keuangan.</w:t>
      </w:r>
    </w:p>
    <w:p>
      <w:pPr>
        <w:spacing w:after="80"/>
        <w:ind w:left="425" w:hanging="425"/>
        <w:jc w:val="both"/>
      </w:pPr>
      <w:r>
        <w:rPr>
          <w:rFonts w:ascii="Times New Roman" w:hAnsi="Times New Roman"/>
          <w:i w:val="0"/>
          <w:sz w:val="24"/>
        </w:rPr>
        <w:t>2. Mengidentifikasi subjek dari daftar seluruh pasien ICU dewasa RSCM periode penelitian melalui rekam medis elektronik.</w:t>
      </w:r>
    </w:p>
    <w:p>
      <w:pPr>
        <w:spacing w:after="80"/>
        <w:ind w:left="425" w:hanging="425"/>
        <w:jc w:val="both"/>
      </w:pPr>
      <w:r>
        <w:rPr>
          <w:rFonts w:ascii="Times New Roman" w:hAnsi="Times New Roman"/>
          <w:i w:val="0"/>
          <w:sz w:val="24"/>
        </w:rPr>
        <w:t>3. Menyeleksi subjek berdasarkan kriteria inklusi dan eksklusi.</w:t>
      </w:r>
    </w:p>
    <w:p>
      <w:pPr>
        <w:spacing w:after="80"/>
        <w:ind w:left="425" w:hanging="425"/>
        <w:jc w:val="both"/>
      </w:pPr>
      <w:r>
        <w:rPr>
          <w:rFonts w:ascii="Times New Roman" w:hAnsi="Times New Roman"/>
          <w:i w:val="0"/>
          <w:sz w:val="24"/>
        </w:rPr>
        <w:t>4. Mengumpulkan variabel klinis 24 jam pertama (MAP terendah, SpO₂/FiO₂ terendah, GCS terendah, kreatinin tertinggi, status ventilasi mekanik, vasopresor/inotropik, transfusi darah, pembedahan, durasi pra-ICU, kategori diagnosis utama) dan data demografik dari rekam medis elektronik.</w:t>
      </w:r>
    </w:p>
    <w:p>
      <w:pPr>
        <w:spacing w:after="80"/>
        <w:ind w:left="425" w:hanging="425"/>
        <w:jc w:val="both"/>
      </w:pPr>
      <w:r>
        <w:rPr>
          <w:rFonts w:ascii="Times New Roman" w:hAnsi="Times New Roman"/>
          <w:i w:val="0"/>
          <w:sz w:val="24"/>
        </w:rPr>
        <w:t>5. Mengumpulkan variabel administratif 24 jam pertama (kelas rawat JKN dan tipe admisi ICU) dari SIM RS.</w:t>
      </w:r>
    </w:p>
    <w:p>
      <w:pPr>
        <w:spacing w:after="80"/>
        <w:ind w:left="425" w:hanging="425"/>
        <w:jc w:val="both"/>
      </w:pPr>
      <w:r>
        <w:rPr>
          <w:rFonts w:ascii="Times New Roman" w:hAnsi="Times New Roman"/>
          <w:i w:val="0"/>
          <w:sz w:val="24"/>
        </w:rPr>
        <w:t>6. Mengumpulkan total tagihan rumah sakit level episode (pra-ICU, ICU, dan pasca-ICU) serta nilai klaim INA-CBGs final dari sistem informasi keuangan setelah episode rawat inap selesai, kemudian menghitung rasio untuk menentukan status under-reimbursement.</w:t>
      </w:r>
    </w:p>
    <w:p>
      <w:pPr>
        <w:spacing w:after="80"/>
        <w:ind w:left="425" w:hanging="425"/>
        <w:jc w:val="both"/>
      </w:pPr>
      <w:r>
        <w:rPr>
          <w:rFonts w:ascii="Times New Roman" w:hAnsi="Times New Roman"/>
          <w:i w:val="0"/>
          <w:sz w:val="24"/>
        </w:rPr>
        <w:t>7. Melakukan audit awal pada 30–50 rekam medis untuk memastikan ketersediaan dan kelengkapan variabel, khususnya GCS bebas sedasi dan FiO₂, sebelum pengumpulan data utama.</w:t>
      </w:r>
    </w:p>
    <w:p>
      <w:pPr>
        <w:spacing w:after="80"/>
        <w:ind w:left="425" w:hanging="425"/>
        <w:jc w:val="both"/>
      </w:pPr>
      <w:r>
        <w:rPr>
          <w:rFonts w:ascii="Times New Roman" w:hAnsi="Times New Roman"/>
          <w:i w:val="0"/>
          <w:sz w:val="24"/>
        </w:rPr>
        <w:t>8. Mengompilasi dataset, melakukan pengecekan kualitas data, dan menganalisis sesuai rencana analisis statistik yang telah ditetapkan di muka.</w:t>
      </w:r>
    </w:p>
    <w:p>
      <w:pPr>
        <w:spacing w:before="240" w:after="120"/>
      </w:pPr>
      <w:r>
        <w:rPr>
          <w:rFonts w:ascii="Times New Roman" w:hAnsi="Times New Roman"/>
          <w:b/>
          <w:sz w:val="24"/>
        </w:rPr>
        <w:t>3.7 Identifikasi Variabel</w:t>
      </w:r>
    </w:p>
    <w:p>
      <w:pPr>
        <w:spacing w:after="120"/>
        <w:ind w:firstLine="720"/>
        <w:jc w:val="both"/>
      </w:pPr>
      <w:r>
        <w:rPr>
          <w:rFonts w:ascii="Times New Roman" w:hAnsi="Times New Roman"/>
          <w:i w:val="0"/>
          <w:sz w:val="24"/>
        </w:rPr>
        <w:t xml:space="preserve">Variabel dependen (luaran utama) adalah status </w:t>
      </w:r>
      <w:r>
        <w:rPr>
          <w:rFonts w:ascii="Times New Roman" w:hAnsi="Times New Roman"/>
          <w:i/>
          <w:sz w:val="24"/>
        </w:rPr>
        <w:t>under-reimbursement</w:t>
      </w:r>
      <w:r>
        <w:rPr>
          <w:rFonts w:ascii="Times New Roman" w:hAnsi="Times New Roman"/>
          <w:i w:val="0"/>
          <w:sz w:val="24"/>
        </w:rPr>
        <w:t xml:space="preserve"> pada level episode rawat inap, yaitu rasio total tagihan rumah sakit terhadap total klaim INA-CBGs episode lebih dari 1 (biner: ya/tidak).⁴⁻⁶ Luaran sekunder adalah magnitudo rasio dalam bentuk logaritma rasio tagihan terhadap klaim (kontinu), yang dipilih karena bersifat simetris terhadap titik impas.</w:t>
      </w:r>
    </w:p>
    <w:p>
      <w:pPr>
        <w:spacing w:after="120"/>
        <w:ind w:firstLine="720"/>
        <w:jc w:val="both"/>
      </w:pPr>
      <w:r>
        <w:rPr>
          <w:rFonts w:ascii="Times New Roman" w:hAnsi="Times New Roman"/>
          <w:i w:val="0"/>
          <w:sz w:val="24"/>
        </w:rPr>
        <w:t>Variabel independen terdiri atas 14 prediktor yang seluruhnya diukur pada 24 jam pertama perawatan ICU dan dipilih karena objektif serta tersedia rutin tanpa memerlukan analisis gas darah. Justifikasi teoretis tiap variabel disajikan pada Tabel 2.1.</w:t>
      </w:r>
    </w:p>
    <w:p>
      <w:pPr>
        <w:spacing w:after="80"/>
        <w:ind w:left="0" w:hanging="425"/>
        <w:jc w:val="both"/>
      </w:pPr>
      <w:r>
        <w:rPr>
          <w:rFonts w:ascii="Times New Roman" w:hAnsi="Times New Roman"/>
          <w:i w:val="0"/>
          <w:sz w:val="24"/>
        </w:rPr>
        <w:t xml:space="preserve">(a) Domain demografi dan administratif (5 variabel): </w:t>
      </w:r>
      <w:r>
        <w:rPr>
          <w:rFonts w:ascii="Times New Roman" w:hAnsi="Times New Roman"/>
          <w:i w:val="0"/>
          <w:sz w:val="24"/>
        </w:rPr>
        <w:t>usia; jenis kelamin; kelas rawat JKN (1/2/3); tipe admisi ICU (elektif/emergensi); dan durasi rawat pra-ICU.⁴⁻⁶,¹⁶,¹⁷,³³</w:t>
      </w:r>
    </w:p>
    <w:p>
      <w:pPr>
        <w:spacing w:after="80"/>
        <w:ind w:left="0" w:hanging="425"/>
        <w:jc w:val="both"/>
      </w:pPr>
      <w:r>
        <w:rPr>
          <w:rFonts w:ascii="Times New Roman" w:hAnsi="Times New Roman"/>
          <w:i w:val="0"/>
          <w:sz w:val="24"/>
        </w:rPr>
        <w:t>(b) Domain intervensi/</w:t>
      </w:r>
      <w:r>
        <w:rPr>
          <w:rFonts w:ascii="Times New Roman" w:hAnsi="Times New Roman"/>
          <w:i/>
          <w:sz w:val="24"/>
        </w:rPr>
        <w:t>organ support</w:t>
      </w:r>
      <w:r>
        <w:rPr>
          <w:rFonts w:ascii="Times New Roman" w:hAnsi="Times New Roman"/>
          <w:i w:val="0"/>
          <w:sz w:val="24"/>
        </w:rPr>
        <w:t xml:space="preserve"> 24 jam (4 variabel): </w:t>
      </w:r>
      <w:r>
        <w:rPr>
          <w:rFonts w:ascii="Times New Roman" w:hAnsi="Times New Roman"/>
          <w:i w:val="0"/>
          <w:sz w:val="24"/>
        </w:rPr>
        <w:t>ventilasi mekanik invasif; vasopresor/inotropik; transfusi darah; dan pembedahan dalam 24 jam (tidak/elektif/emergensi).³,⁷,¹³⁻¹⁶,³⁴</w:t>
      </w:r>
    </w:p>
    <w:p>
      <w:pPr>
        <w:spacing w:after="80"/>
        <w:ind w:left="0" w:hanging="425"/>
        <w:jc w:val="both"/>
      </w:pPr>
      <w:r>
        <w:rPr>
          <w:rFonts w:ascii="Times New Roman" w:hAnsi="Times New Roman"/>
          <w:i w:val="0"/>
          <w:sz w:val="24"/>
        </w:rPr>
        <w:t xml:space="preserve">(c) Domain disfungsi organ berbasis kriteria mSOFA tanpa komponen hepatik (4 variabel): </w:t>
      </w:r>
      <w:r>
        <w:rPr>
          <w:rFonts w:ascii="Times New Roman" w:hAnsi="Times New Roman"/>
          <w:i w:val="0"/>
          <w:sz w:val="24"/>
        </w:rPr>
        <w:t>MAP terendah; rasio SpO₂/FiO₂ terendah; GCS terendah; dan kreatinin serum tertinggi.⁷,¹²,¹⁸⁻²³</w:t>
      </w:r>
    </w:p>
    <w:p>
      <w:pPr>
        <w:spacing w:after="80"/>
        <w:ind w:left="0" w:hanging="425"/>
        <w:jc w:val="both"/>
      </w:pPr>
      <w:r>
        <w:rPr>
          <w:rFonts w:ascii="Times New Roman" w:hAnsi="Times New Roman"/>
          <w:i w:val="0"/>
          <w:sz w:val="24"/>
        </w:rPr>
        <w:t xml:space="preserve">(d) Domain kasus (1 variabel): </w:t>
      </w:r>
      <w:r>
        <w:rPr>
          <w:rFonts w:ascii="Times New Roman" w:hAnsi="Times New Roman"/>
          <w:i w:val="0"/>
          <w:sz w:val="24"/>
        </w:rPr>
        <w:t>kategori diagnosis utama saat admisi ICU menurut sistem organ.⁴,⁶,⁷</w:t>
      </w:r>
    </w:p>
    <w:p>
      <w:pPr>
        <w:spacing w:after="120"/>
        <w:ind w:firstLine="720"/>
        <w:jc w:val="both"/>
      </w:pPr>
      <w:r>
        <w:rPr>
          <w:rFonts w:ascii="Times New Roman" w:hAnsi="Times New Roman"/>
          <w:i w:val="0"/>
          <w:sz w:val="24"/>
        </w:rPr>
        <w:t>Penelitian ini tidak menghitung skor mSOFA sebagai nilai agregat; yang digunakan adalah kriteria mentah pembentuknya sebagai variabel individual, mengikuti pendekatan Ikumi dkk. yang mengurai SOFA menjadi komponen terpisah.⁷,¹⁹ Agregasi menjadi satu skor memaksakan bobot linier yang ditetapkan di muka dan menghilangkan informasi granular yang justru diharapkan dipelajari model dari data. Komponen ikterus klinis tidak digunakan karena dokumentasi retrospektifnya tidak memadai; sinyal disfungsi hepatik tetap terwakili melalui kategori diagnosis utama.</w:t>
      </w:r>
    </w:p>
    <w:p>
      <w:pPr>
        <w:spacing w:after="120"/>
        <w:ind w:firstLine="720"/>
        <w:jc w:val="both"/>
      </w:pPr>
      <w:r>
        <w:rPr>
          <w:rFonts w:ascii="Times New Roman" w:hAnsi="Times New Roman"/>
          <w:i w:val="0"/>
          <w:sz w:val="24"/>
        </w:rPr>
        <w:t xml:space="preserve">Variabel yang sengaja tidak digunakan beserta alasannya: </w:t>
      </w:r>
      <w:r>
        <w:rPr>
          <w:rFonts w:ascii="Times New Roman" w:hAnsi="Times New Roman"/>
          <w:i/>
          <w:sz w:val="24"/>
        </w:rPr>
        <w:t>severity level</w:t>
      </w:r>
      <w:r>
        <w:rPr>
          <w:rFonts w:ascii="Times New Roman" w:hAnsi="Times New Roman"/>
          <w:i w:val="0"/>
          <w:sz w:val="24"/>
        </w:rPr>
        <w:t xml:space="preserve"> INA-CBGs final dan </w:t>
      </w:r>
      <w:r>
        <w:rPr>
          <w:rFonts w:ascii="Times New Roman" w:hAnsi="Times New Roman"/>
          <w:i/>
          <w:sz w:val="24"/>
        </w:rPr>
        <w:t>CMG code</w:t>
      </w:r>
      <w:r>
        <w:rPr>
          <w:rFonts w:ascii="Times New Roman" w:hAnsi="Times New Roman"/>
          <w:i w:val="0"/>
          <w:sz w:val="24"/>
        </w:rPr>
        <w:t xml:space="preserve"> final (ditetapkan saat koding pulang sehingga menimbulkan </w:t>
      </w:r>
      <w:r>
        <w:rPr>
          <w:rFonts w:ascii="Times New Roman" w:hAnsi="Times New Roman"/>
          <w:i/>
          <w:sz w:val="24"/>
        </w:rPr>
        <w:t>target leakage</w:t>
      </w:r>
      <w:r>
        <w:rPr>
          <w:rFonts w:ascii="Times New Roman" w:hAnsi="Times New Roman"/>
          <w:i w:val="0"/>
          <w:sz w:val="24"/>
        </w:rPr>
        <w:t xml:space="preserve">); lama rawat ICU/rumah sakit dan komponen biaya (terjadi setelah jendela prediktor); terapi pengganti ginjal dalam 24 jam (prevalensi sangat rendah — hanya 1,8% pada data Indonesia — sehingga menjadi </w:t>
      </w:r>
      <w:r>
        <w:rPr>
          <w:rFonts w:ascii="Times New Roman" w:hAnsi="Times New Roman"/>
          <w:i/>
          <w:sz w:val="24"/>
        </w:rPr>
        <w:t>near-constant predictor</w:t>
      </w:r>
      <w:r>
        <w:rPr>
          <w:rFonts w:ascii="Times New Roman" w:hAnsi="Times New Roman"/>
          <w:i w:val="0"/>
          <w:sz w:val="24"/>
        </w:rPr>
        <w:t xml:space="preserve">);³ skor APACHE II lengkap dan VIS kontinu (memerlukan analisis gas darah; telah terwakili kriteria mentah mSOFA dan penanda vasopresor); kategori indeks massa tubuh, </w:t>
      </w:r>
      <w:r>
        <w:rPr>
          <w:rFonts w:ascii="Times New Roman" w:hAnsi="Times New Roman"/>
          <w:i/>
          <w:sz w:val="24"/>
        </w:rPr>
        <w:t>Clinical Frailty Scale</w:t>
      </w:r>
      <w:r>
        <w:rPr>
          <w:rFonts w:ascii="Times New Roman" w:hAnsi="Times New Roman"/>
          <w:i w:val="0"/>
          <w:sz w:val="24"/>
        </w:rPr>
        <w:t xml:space="preserve">, dan kateter vena sentral (dokumentasi retrospektif tidak memadai atau tidak didukung bukti biaya); serta </w:t>
      </w:r>
      <w:r>
        <w:rPr>
          <w:rFonts w:ascii="Times New Roman" w:hAnsi="Times New Roman"/>
          <w:i/>
          <w:sz w:val="24"/>
        </w:rPr>
        <w:t>Charlson Comorbidity Index</w:t>
      </w:r>
      <w:r>
        <w:rPr>
          <w:rFonts w:ascii="Times New Roman" w:hAnsi="Times New Roman"/>
          <w:i w:val="0"/>
          <w:sz w:val="24"/>
        </w:rPr>
        <w:t xml:space="preserve"> (berisiko </w:t>
      </w:r>
      <w:r>
        <w:rPr>
          <w:rFonts w:ascii="Times New Roman" w:hAnsi="Times New Roman"/>
          <w:i/>
          <w:sz w:val="24"/>
        </w:rPr>
        <w:t>target leakage</w:t>
      </w:r>
      <w:r>
        <w:rPr>
          <w:rFonts w:ascii="Times New Roman" w:hAnsi="Times New Roman"/>
          <w:i w:val="0"/>
          <w:sz w:val="24"/>
        </w:rPr>
        <w:t xml:space="preserve"> bila diturunkan dari koding diagnosis sekunder).⁴,²⁴</w:t>
      </w:r>
    </w:p>
    <w:p>
      <w:pPr>
        <w:spacing w:before="240" w:after="120"/>
      </w:pPr>
      <w:r>
        <w:rPr>
          <w:rFonts w:ascii="Times New Roman" w:hAnsi="Times New Roman"/>
          <w:b/>
          <w:sz w:val="24"/>
        </w:rPr>
        <w:t>3.8 Batasan Operasional</w:t>
      </w:r>
    </w:p>
    <w:p>
      <w:pPr>
        <w:spacing w:after="120"/>
        <w:ind w:firstLine="720"/>
        <w:jc w:val="both"/>
      </w:pPr>
      <w:r>
        <w:rPr>
          <w:rFonts w:ascii="Times New Roman" w:hAnsi="Times New Roman"/>
          <w:i w:val="0"/>
          <w:sz w:val="24"/>
        </w:rPr>
        <w:t>Batasan operasional seluruh variabel penelitian disajikan pada Tabel 3.1.</w:t>
      </w:r>
    </w:p>
    <w:p>
      <w:pPr>
        <w:spacing w:before="160" w:after="80" w:line="360" w:lineRule="auto"/>
        <w:jc w:val="left"/>
      </w:pPr>
      <w:r>
        <w:rPr>
          <w:rFonts w:ascii="Times New Roman" w:hAnsi="Times New Roman"/>
          <w:b/>
          <w:sz w:val="22"/>
        </w:rPr>
        <w:t>Tabel 3.1 Batasan Operasional Variabel Penelitian</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57"/>
        <w:gridCol w:w="1757"/>
        <w:gridCol w:w="1757"/>
        <w:gridCol w:w="1757"/>
        <w:gridCol w:w="1757"/>
      </w:tblGrid>
      <w:tr>
        <w:tc>
          <w:tcPr>
            <w:tcW w:type="dxa" w:w="1474"/>
            <w:tcBorders>
              <w:bottom w:val="single" w:sz="8" w:color="000000"/>
            </w:tcBorders>
          </w:tcPr>
          <w:p>
            <w:pPr>
              <w:spacing w:after="40" w:line="240" w:lineRule="auto"/>
            </w:pPr>
            <w:r>
              <w:rPr>
                <w:rFonts w:ascii="Times New Roman" w:hAnsi="Times New Roman"/>
                <w:b/>
                <w:sz w:val="18"/>
              </w:rPr>
              <w:t>Variabel</w:t>
            </w:r>
          </w:p>
        </w:tc>
        <w:tc>
          <w:tcPr>
            <w:tcW w:type="dxa" w:w="3515"/>
            <w:tcBorders>
              <w:bottom w:val="single" w:sz="8" w:color="000000"/>
            </w:tcBorders>
          </w:tcPr>
          <w:p>
            <w:pPr>
              <w:spacing w:after="40" w:line="240" w:lineRule="auto"/>
            </w:pPr>
            <w:r>
              <w:rPr>
                <w:rFonts w:ascii="Times New Roman" w:hAnsi="Times New Roman"/>
                <w:b/>
                <w:sz w:val="18"/>
              </w:rPr>
              <w:t>Batasan Operasional</w:t>
            </w:r>
          </w:p>
        </w:tc>
        <w:tc>
          <w:tcPr>
            <w:tcW w:type="dxa" w:w="1531"/>
            <w:tcBorders>
              <w:bottom w:val="single" w:sz="8" w:color="000000"/>
            </w:tcBorders>
          </w:tcPr>
          <w:p>
            <w:pPr>
              <w:spacing w:after="40" w:line="240" w:lineRule="auto"/>
            </w:pPr>
            <w:r>
              <w:rPr>
                <w:rFonts w:ascii="Times New Roman" w:hAnsi="Times New Roman"/>
                <w:b/>
                <w:sz w:val="18"/>
              </w:rPr>
              <w:t>Cara Ukur</w:t>
            </w:r>
          </w:p>
        </w:tc>
        <w:tc>
          <w:tcPr>
            <w:tcW w:type="dxa" w:w="1304"/>
            <w:tcBorders>
              <w:bottom w:val="single" w:sz="8" w:color="000000"/>
            </w:tcBorders>
          </w:tcPr>
          <w:p>
            <w:pPr>
              <w:spacing w:after="40" w:line="240" w:lineRule="auto"/>
            </w:pPr>
            <w:r>
              <w:rPr>
                <w:rFonts w:ascii="Times New Roman" w:hAnsi="Times New Roman"/>
                <w:b/>
                <w:sz w:val="18"/>
              </w:rPr>
              <w:t>Skala Ukur</w:t>
            </w:r>
          </w:p>
        </w:tc>
        <w:tc>
          <w:tcPr>
            <w:tcW w:type="dxa" w:w="964"/>
            <w:tcBorders>
              <w:bottom w:val="single" w:sz="8" w:color="000000"/>
            </w:tcBorders>
          </w:tcPr>
          <w:p>
            <w:pPr>
              <w:spacing w:after="40" w:line="240" w:lineRule="auto"/>
            </w:pPr>
            <w:r>
              <w:rPr>
                <w:rFonts w:ascii="Times New Roman" w:hAnsi="Times New Roman"/>
                <w:b/>
                <w:sz w:val="18"/>
              </w:rPr>
              <w:t>Hasil Ukur</w:t>
            </w:r>
          </w:p>
        </w:tc>
      </w:tr>
      <w:tr>
        <w:tc>
          <w:tcPr>
            <w:tcW w:type="dxa" w:w="1474"/>
          </w:tcPr>
          <w:p>
            <w:pPr>
              <w:spacing w:after="40" w:line="240" w:lineRule="auto"/>
            </w:pPr>
            <w:r>
              <w:rPr>
                <w:rFonts w:ascii="Times New Roman" w:hAnsi="Times New Roman"/>
                <w:sz w:val="18"/>
              </w:rPr>
              <w:t>Usia</w:t>
            </w:r>
          </w:p>
        </w:tc>
        <w:tc>
          <w:tcPr>
            <w:tcW w:type="dxa" w:w="3515"/>
          </w:tcPr>
          <w:p>
            <w:pPr>
              <w:spacing w:after="40" w:line="240" w:lineRule="auto"/>
            </w:pPr>
            <w:r>
              <w:rPr>
                <w:rFonts w:ascii="Times New Roman" w:hAnsi="Times New Roman"/>
                <w:sz w:val="18"/>
              </w:rPr>
              <w:t>Usia pasien pada saat masuk ICU</w:t>
            </w:r>
          </w:p>
        </w:tc>
        <w:tc>
          <w:tcPr>
            <w:tcW w:type="dxa" w:w="1531"/>
          </w:tcPr>
          <w:p>
            <w:pPr>
              <w:spacing w:after="40" w:line="240" w:lineRule="auto"/>
            </w:pPr>
            <w:r>
              <w:rPr>
                <w:rFonts w:ascii="Times New Roman" w:hAnsi="Times New Roman"/>
                <w:sz w:val="18"/>
              </w:rPr>
              <w:t>Rekam medis elektronik</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Tahun</w:t>
            </w:r>
          </w:p>
        </w:tc>
      </w:tr>
      <w:tr>
        <w:tc>
          <w:tcPr>
            <w:tcW w:type="dxa" w:w="1474"/>
          </w:tcPr>
          <w:p>
            <w:pPr>
              <w:spacing w:after="40" w:line="240" w:lineRule="auto"/>
            </w:pPr>
            <w:r>
              <w:rPr>
                <w:rFonts w:ascii="Times New Roman" w:hAnsi="Times New Roman"/>
                <w:sz w:val="18"/>
              </w:rPr>
              <w:t>Jenis kelamin</w:t>
            </w:r>
          </w:p>
        </w:tc>
        <w:tc>
          <w:tcPr>
            <w:tcW w:type="dxa" w:w="3515"/>
          </w:tcPr>
          <w:p>
            <w:pPr>
              <w:spacing w:after="40" w:line="240" w:lineRule="auto"/>
            </w:pPr>
            <w:r>
              <w:rPr>
                <w:rFonts w:ascii="Times New Roman" w:hAnsi="Times New Roman"/>
                <w:sz w:val="18"/>
              </w:rPr>
              <w:t>Jenis kelamin biologis pasien</w:t>
            </w:r>
          </w:p>
        </w:tc>
        <w:tc>
          <w:tcPr>
            <w:tcW w:type="dxa" w:w="1531"/>
          </w:tcPr>
          <w:p>
            <w:pPr>
              <w:spacing w:after="40" w:line="240" w:lineRule="auto"/>
            </w:pPr>
            <w:r>
              <w:rPr>
                <w:rFonts w:ascii="Times New Roman" w:hAnsi="Times New Roman"/>
                <w:sz w:val="18"/>
              </w:rPr>
              <w:t>Rekam medis elektronik</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Laki-laki/perempuan</w:t>
            </w:r>
          </w:p>
        </w:tc>
      </w:tr>
      <w:tr>
        <w:tc>
          <w:tcPr>
            <w:tcW w:type="dxa" w:w="1474"/>
          </w:tcPr>
          <w:p>
            <w:pPr>
              <w:spacing w:after="40" w:line="240" w:lineRule="auto"/>
            </w:pPr>
            <w:r>
              <w:rPr>
                <w:rFonts w:ascii="Times New Roman" w:hAnsi="Times New Roman"/>
                <w:sz w:val="18"/>
              </w:rPr>
              <w:t>Kelas rawat JKN</w:t>
            </w:r>
          </w:p>
        </w:tc>
        <w:tc>
          <w:tcPr>
            <w:tcW w:type="dxa" w:w="3515"/>
          </w:tcPr>
          <w:p>
            <w:pPr>
              <w:spacing w:after="40" w:line="240" w:lineRule="auto"/>
            </w:pPr>
            <w:r>
              <w:rPr>
                <w:rFonts w:ascii="Times New Roman" w:hAnsi="Times New Roman"/>
                <w:sz w:val="18"/>
              </w:rPr>
              <w:t>Kelas perawatan sesuai kepesertaan JKN yang ditetapkan saat admisi rumah sakit</w:t>
            </w:r>
          </w:p>
        </w:tc>
        <w:tc>
          <w:tcPr>
            <w:tcW w:type="dxa" w:w="1531"/>
          </w:tcPr>
          <w:p>
            <w:pPr>
              <w:spacing w:after="40" w:line="240" w:lineRule="auto"/>
            </w:pPr>
            <w:r>
              <w:rPr>
                <w:rFonts w:ascii="Times New Roman" w:hAnsi="Times New Roman"/>
                <w:sz w:val="18"/>
              </w:rPr>
              <w:t>Data administrasi SIM RS</w:t>
            </w:r>
          </w:p>
        </w:tc>
        <w:tc>
          <w:tcPr>
            <w:tcW w:type="dxa" w:w="1304"/>
          </w:tcPr>
          <w:p>
            <w:pPr>
              <w:spacing w:after="40" w:line="240" w:lineRule="auto"/>
            </w:pPr>
            <w:r>
              <w:rPr>
                <w:rFonts w:ascii="Times New Roman" w:hAnsi="Times New Roman"/>
                <w:sz w:val="18"/>
              </w:rPr>
              <w:t>Kategorik ordinal</w:t>
            </w:r>
          </w:p>
        </w:tc>
        <w:tc>
          <w:tcPr>
            <w:tcW w:type="dxa" w:w="964"/>
          </w:tcPr>
          <w:p>
            <w:pPr>
              <w:spacing w:after="40" w:line="240" w:lineRule="auto"/>
            </w:pPr>
            <w:r>
              <w:rPr>
                <w:rFonts w:ascii="Times New Roman" w:hAnsi="Times New Roman"/>
                <w:sz w:val="18"/>
              </w:rPr>
              <w:t>1/2/3</w:t>
            </w:r>
          </w:p>
        </w:tc>
      </w:tr>
      <w:tr>
        <w:tc>
          <w:tcPr>
            <w:tcW w:type="dxa" w:w="1474"/>
          </w:tcPr>
          <w:p>
            <w:pPr>
              <w:spacing w:after="40" w:line="240" w:lineRule="auto"/>
            </w:pPr>
            <w:r>
              <w:rPr>
                <w:rFonts w:ascii="Times New Roman" w:hAnsi="Times New Roman"/>
                <w:sz w:val="18"/>
              </w:rPr>
              <w:t>Tipe admisi ICU</w:t>
            </w:r>
          </w:p>
        </w:tc>
        <w:tc>
          <w:tcPr>
            <w:tcW w:type="dxa" w:w="3515"/>
          </w:tcPr>
          <w:p>
            <w:pPr>
              <w:spacing w:after="40" w:line="240" w:lineRule="auto"/>
            </w:pPr>
            <w:r>
              <w:rPr>
                <w:rFonts w:ascii="Times New Roman" w:hAnsi="Times New Roman"/>
                <w:sz w:val="18"/>
              </w:rPr>
              <w:t>Jalur masuk pasien ke ICU sebagaimana terdokumentasi saat admisi</w:t>
            </w:r>
          </w:p>
        </w:tc>
        <w:tc>
          <w:tcPr>
            <w:tcW w:type="dxa" w:w="1531"/>
          </w:tcPr>
          <w:p>
            <w:pPr>
              <w:spacing w:after="40" w:line="240" w:lineRule="auto"/>
            </w:pPr>
            <w:r>
              <w:rPr>
                <w:rFonts w:ascii="Times New Roman" w:hAnsi="Times New Roman"/>
                <w:sz w:val="18"/>
              </w:rPr>
              <w:t>Rekam medis elektronik</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Elektif/emergensi</w:t>
            </w:r>
          </w:p>
        </w:tc>
      </w:tr>
      <w:tr>
        <w:tc>
          <w:tcPr>
            <w:tcW w:type="dxa" w:w="1474"/>
          </w:tcPr>
          <w:p>
            <w:pPr>
              <w:spacing w:after="40" w:line="240" w:lineRule="auto"/>
            </w:pPr>
            <w:r>
              <w:rPr>
                <w:rFonts w:ascii="Times New Roman" w:hAnsi="Times New Roman"/>
                <w:sz w:val="18"/>
              </w:rPr>
              <w:t>Durasi rawat pra-ICU</w:t>
            </w:r>
          </w:p>
        </w:tc>
        <w:tc>
          <w:tcPr>
            <w:tcW w:type="dxa" w:w="3515"/>
          </w:tcPr>
          <w:p>
            <w:pPr>
              <w:spacing w:after="40" w:line="240" w:lineRule="auto"/>
            </w:pPr>
            <w:r>
              <w:rPr>
                <w:rFonts w:ascii="Times New Roman" w:hAnsi="Times New Roman"/>
                <w:sz w:val="18"/>
              </w:rPr>
              <w:t>Selisih waktu antara masuk rumah sakit dan masuk ICU</w:t>
            </w:r>
          </w:p>
        </w:tc>
        <w:tc>
          <w:tcPr>
            <w:tcW w:type="dxa" w:w="1531"/>
          </w:tcPr>
          <w:p>
            <w:pPr>
              <w:spacing w:after="40" w:line="240" w:lineRule="auto"/>
            </w:pPr>
            <w:r>
              <w:rPr>
                <w:rFonts w:ascii="Times New Roman" w:hAnsi="Times New Roman"/>
                <w:sz w:val="18"/>
              </w:rPr>
              <w:t>Selisih timestamp rekam medis</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Hari (desimal)</w:t>
            </w:r>
          </w:p>
        </w:tc>
      </w:tr>
      <w:tr>
        <w:tc>
          <w:tcPr>
            <w:tcW w:type="dxa" w:w="1474"/>
          </w:tcPr>
          <w:p>
            <w:pPr>
              <w:spacing w:after="40" w:line="240" w:lineRule="auto"/>
            </w:pPr>
            <w:r>
              <w:rPr>
                <w:rFonts w:ascii="Times New Roman" w:hAnsi="Times New Roman"/>
                <w:sz w:val="18"/>
              </w:rPr>
              <w:t>Ventilasi mekanik</w:t>
            </w:r>
          </w:p>
        </w:tc>
        <w:tc>
          <w:tcPr>
            <w:tcW w:type="dxa" w:w="3515"/>
          </w:tcPr>
          <w:p>
            <w:pPr>
              <w:spacing w:after="40" w:line="240" w:lineRule="auto"/>
            </w:pPr>
            <w:r>
              <w:rPr>
                <w:rFonts w:ascii="Times New Roman" w:hAnsi="Times New Roman"/>
                <w:sz w:val="18"/>
              </w:rPr>
              <w:t>Pemberian ventilasi mekanik invasif dalam 24 jam pertama ICU</w:t>
            </w:r>
          </w:p>
        </w:tc>
        <w:tc>
          <w:tcPr>
            <w:tcW w:type="dxa" w:w="1531"/>
          </w:tcPr>
          <w:p>
            <w:pPr>
              <w:spacing w:after="40" w:line="240" w:lineRule="auto"/>
            </w:pPr>
            <w:r>
              <w:rPr>
                <w:rFonts w:ascii="Times New Roman" w:hAnsi="Times New Roman"/>
                <w:sz w:val="18"/>
              </w:rPr>
              <w:t>Rekam medis/penagihan</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Ya/tidak</w:t>
            </w:r>
          </w:p>
        </w:tc>
      </w:tr>
      <w:tr>
        <w:tc>
          <w:tcPr>
            <w:tcW w:type="dxa" w:w="1474"/>
          </w:tcPr>
          <w:p>
            <w:pPr>
              <w:spacing w:after="40" w:line="240" w:lineRule="auto"/>
            </w:pPr>
            <w:r>
              <w:rPr>
                <w:rFonts w:ascii="Times New Roman" w:hAnsi="Times New Roman"/>
                <w:sz w:val="18"/>
              </w:rPr>
              <w:t>Vasopresor/inotropik</w:t>
            </w:r>
          </w:p>
        </w:tc>
        <w:tc>
          <w:tcPr>
            <w:tcW w:type="dxa" w:w="3515"/>
          </w:tcPr>
          <w:p>
            <w:pPr>
              <w:spacing w:after="40" w:line="240" w:lineRule="auto"/>
            </w:pPr>
            <w:r>
              <w:rPr>
                <w:rFonts w:ascii="Times New Roman" w:hAnsi="Times New Roman"/>
                <w:sz w:val="18"/>
              </w:rPr>
              <w:t>Pemberian vasopresor dan/atau inotropik intravena dalam 24 jam pertama ICU</w:t>
            </w:r>
          </w:p>
        </w:tc>
        <w:tc>
          <w:tcPr>
            <w:tcW w:type="dxa" w:w="1531"/>
          </w:tcPr>
          <w:p>
            <w:pPr>
              <w:spacing w:after="40" w:line="240" w:lineRule="auto"/>
            </w:pPr>
            <w:r>
              <w:rPr>
                <w:rFonts w:ascii="Times New Roman" w:hAnsi="Times New Roman"/>
                <w:sz w:val="18"/>
              </w:rPr>
              <w:t>Rekam medis/penagihan</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Ya/tidak</w:t>
            </w:r>
          </w:p>
        </w:tc>
      </w:tr>
      <w:tr>
        <w:tc>
          <w:tcPr>
            <w:tcW w:type="dxa" w:w="1474"/>
          </w:tcPr>
          <w:p>
            <w:pPr>
              <w:spacing w:after="40" w:line="240" w:lineRule="auto"/>
            </w:pPr>
            <w:r>
              <w:rPr>
                <w:rFonts w:ascii="Times New Roman" w:hAnsi="Times New Roman"/>
                <w:sz w:val="18"/>
              </w:rPr>
              <w:t>Transfusi darah</w:t>
            </w:r>
          </w:p>
        </w:tc>
        <w:tc>
          <w:tcPr>
            <w:tcW w:type="dxa" w:w="3515"/>
          </w:tcPr>
          <w:p>
            <w:pPr>
              <w:spacing w:after="40" w:line="240" w:lineRule="auto"/>
            </w:pPr>
            <w:r>
              <w:rPr>
                <w:rFonts w:ascii="Times New Roman" w:hAnsi="Times New Roman"/>
                <w:sz w:val="18"/>
              </w:rPr>
              <w:t>Pemberian komponen darah dalam 24 jam pertama ICU</w:t>
            </w:r>
          </w:p>
        </w:tc>
        <w:tc>
          <w:tcPr>
            <w:tcW w:type="dxa" w:w="1531"/>
          </w:tcPr>
          <w:p>
            <w:pPr>
              <w:spacing w:after="40" w:line="240" w:lineRule="auto"/>
            </w:pPr>
            <w:r>
              <w:rPr>
                <w:rFonts w:ascii="Times New Roman" w:hAnsi="Times New Roman"/>
                <w:sz w:val="18"/>
              </w:rPr>
              <w:t>Catatan bank darah</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Ya/tidak</w:t>
            </w:r>
          </w:p>
        </w:tc>
      </w:tr>
      <w:tr>
        <w:tc>
          <w:tcPr>
            <w:tcW w:type="dxa" w:w="1474"/>
          </w:tcPr>
          <w:p>
            <w:pPr>
              <w:spacing w:after="40" w:line="240" w:lineRule="auto"/>
            </w:pPr>
            <w:r>
              <w:rPr>
                <w:rFonts w:ascii="Times New Roman" w:hAnsi="Times New Roman"/>
                <w:sz w:val="18"/>
              </w:rPr>
              <w:t>Pembedahan 24 jam</w:t>
            </w:r>
          </w:p>
        </w:tc>
        <w:tc>
          <w:tcPr>
            <w:tcW w:type="dxa" w:w="3515"/>
          </w:tcPr>
          <w:p>
            <w:pPr>
              <w:spacing w:after="40" w:line="240" w:lineRule="auto"/>
            </w:pPr>
            <w:r>
              <w:rPr>
                <w:rFonts w:ascii="Times New Roman" w:hAnsi="Times New Roman"/>
                <w:sz w:val="18"/>
              </w:rPr>
              <w:t>Tindakan pembedahan yang dilakukan dalam 24 jam pertama perawatan ICU</w:t>
            </w:r>
          </w:p>
        </w:tc>
        <w:tc>
          <w:tcPr>
            <w:tcW w:type="dxa" w:w="1531"/>
          </w:tcPr>
          <w:p>
            <w:pPr>
              <w:spacing w:after="40" w:line="240" w:lineRule="auto"/>
            </w:pPr>
            <w:r>
              <w:rPr>
                <w:rFonts w:ascii="Times New Roman" w:hAnsi="Times New Roman"/>
                <w:sz w:val="18"/>
              </w:rPr>
              <w:t>Rekam medis kamar operasi</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Tidak/elektif/emergensi</w:t>
            </w:r>
          </w:p>
        </w:tc>
      </w:tr>
      <w:tr>
        <w:tc>
          <w:tcPr>
            <w:tcW w:type="dxa" w:w="1474"/>
          </w:tcPr>
          <w:p>
            <w:pPr>
              <w:spacing w:after="40" w:line="240" w:lineRule="auto"/>
            </w:pPr>
            <w:r>
              <w:rPr>
                <w:rFonts w:ascii="Times New Roman" w:hAnsi="Times New Roman"/>
                <w:sz w:val="18"/>
              </w:rPr>
              <w:t>MAP terendah</w:t>
            </w:r>
          </w:p>
        </w:tc>
        <w:tc>
          <w:tcPr>
            <w:tcW w:type="dxa" w:w="3515"/>
          </w:tcPr>
          <w:p>
            <w:pPr>
              <w:spacing w:after="40" w:line="240" w:lineRule="auto"/>
            </w:pPr>
            <w:r>
              <w:rPr>
                <w:rFonts w:ascii="Times New Roman" w:hAnsi="Times New Roman"/>
                <w:sz w:val="18"/>
              </w:rPr>
              <w:t>Tekanan arteri rerata terendah yang terdokumentasi dalam 24 jam pertama ICU</w:t>
            </w:r>
          </w:p>
        </w:tc>
        <w:tc>
          <w:tcPr>
            <w:tcW w:type="dxa" w:w="1531"/>
          </w:tcPr>
          <w:p>
            <w:pPr>
              <w:spacing w:after="40" w:line="240" w:lineRule="auto"/>
            </w:pPr>
            <w:r>
              <w:rPr>
                <w:rFonts w:ascii="Times New Roman" w:hAnsi="Times New Roman"/>
                <w:sz w:val="18"/>
              </w:rPr>
              <w:t>Lembar observasi/monitor</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mmHg</w:t>
            </w:r>
          </w:p>
        </w:tc>
      </w:tr>
      <w:tr>
        <w:tc>
          <w:tcPr>
            <w:tcW w:type="dxa" w:w="1474"/>
          </w:tcPr>
          <w:p>
            <w:pPr>
              <w:spacing w:after="40" w:line="240" w:lineRule="auto"/>
            </w:pPr>
            <w:r>
              <w:rPr>
                <w:rFonts w:ascii="Times New Roman" w:hAnsi="Times New Roman"/>
                <w:sz w:val="18"/>
              </w:rPr>
              <w:t>Rasio SpO₂/FiO₂ terendah</w:t>
            </w:r>
          </w:p>
        </w:tc>
        <w:tc>
          <w:tcPr>
            <w:tcW w:type="dxa" w:w="3515"/>
          </w:tcPr>
          <w:p>
            <w:pPr>
              <w:spacing w:after="40" w:line="240" w:lineRule="auto"/>
            </w:pPr>
            <w:r>
              <w:rPr>
                <w:rFonts w:ascii="Times New Roman" w:hAnsi="Times New Roman"/>
                <w:sz w:val="18"/>
              </w:rPr>
              <w:t>Rasio saturasi oksigen perifer terhadap fraksi oksigen inspirasi terendah dalam 24 jam pertama; pada pasien tanpa ventilasi mekanik, FiO₂ diestimasi dari laju aliran oksigen menggunakan tabel konversi baku dan jenis alat oksigen dicatat sebagai variabel pendamping</w:t>
            </w:r>
          </w:p>
        </w:tc>
        <w:tc>
          <w:tcPr>
            <w:tcW w:type="dxa" w:w="1531"/>
          </w:tcPr>
          <w:p>
            <w:pPr>
              <w:spacing w:after="40" w:line="240" w:lineRule="auto"/>
            </w:pPr>
            <w:r>
              <w:rPr>
                <w:rFonts w:ascii="Times New Roman" w:hAnsi="Times New Roman"/>
                <w:sz w:val="18"/>
              </w:rPr>
              <w:t>Lembar observasi</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Rasio</w:t>
            </w:r>
          </w:p>
        </w:tc>
      </w:tr>
      <w:tr>
        <w:tc>
          <w:tcPr>
            <w:tcW w:type="dxa" w:w="1474"/>
          </w:tcPr>
          <w:p>
            <w:pPr>
              <w:spacing w:after="40" w:line="240" w:lineRule="auto"/>
            </w:pPr>
            <w:r>
              <w:rPr>
                <w:rFonts w:ascii="Times New Roman" w:hAnsi="Times New Roman"/>
                <w:sz w:val="18"/>
              </w:rPr>
              <w:t>GCS terendah</w:t>
            </w:r>
          </w:p>
        </w:tc>
        <w:tc>
          <w:tcPr>
            <w:tcW w:type="dxa" w:w="3515"/>
          </w:tcPr>
          <w:p>
            <w:pPr>
              <w:spacing w:after="40" w:line="240" w:lineRule="auto"/>
            </w:pPr>
            <w:r>
              <w:rPr>
                <w:rFonts w:ascii="Times New Roman" w:hAnsi="Times New Roman"/>
                <w:sz w:val="18"/>
              </w:rPr>
              <w:t>Glasgow Coma Scale terendah pada kondisi bebas sedasi dalam 24 jam pertama. Hierarki penilaian ditetapkan di muka: (1) nilai terendah saat pasien tidak tersedasi, termasuk saat sedation hold; (2) bila tersedasi sepanjang 24 jam, nilai terakhir sebelum sedasi dimulai; (3) bila keduanya tidak tersedia, dinyatakan hilang dan diimputasi disertai penanda “tidak dapat dinilai karena sedasi”</w:t>
            </w:r>
          </w:p>
        </w:tc>
        <w:tc>
          <w:tcPr>
            <w:tcW w:type="dxa" w:w="1531"/>
          </w:tcPr>
          <w:p>
            <w:pPr>
              <w:spacing w:after="40" w:line="240" w:lineRule="auto"/>
            </w:pPr>
            <w:r>
              <w:rPr>
                <w:rFonts w:ascii="Times New Roman" w:hAnsi="Times New Roman"/>
                <w:sz w:val="18"/>
              </w:rPr>
              <w:t>Lembar observasi</w:t>
            </w:r>
          </w:p>
        </w:tc>
        <w:tc>
          <w:tcPr>
            <w:tcW w:type="dxa" w:w="1304"/>
          </w:tcPr>
          <w:p>
            <w:pPr>
              <w:spacing w:after="40" w:line="240" w:lineRule="auto"/>
            </w:pPr>
            <w:r>
              <w:rPr>
                <w:rFonts w:ascii="Times New Roman" w:hAnsi="Times New Roman"/>
                <w:sz w:val="18"/>
              </w:rPr>
              <w:t>Numerik diskret/ordinal</w:t>
            </w:r>
          </w:p>
        </w:tc>
        <w:tc>
          <w:tcPr>
            <w:tcW w:type="dxa" w:w="964"/>
          </w:tcPr>
          <w:p>
            <w:pPr>
              <w:spacing w:after="40" w:line="240" w:lineRule="auto"/>
            </w:pPr>
            <w:r>
              <w:rPr>
                <w:rFonts w:ascii="Times New Roman" w:hAnsi="Times New Roman"/>
                <w:sz w:val="18"/>
              </w:rPr>
              <w:t>3–15</w:t>
            </w:r>
          </w:p>
        </w:tc>
      </w:tr>
      <w:tr>
        <w:tc>
          <w:tcPr>
            <w:tcW w:type="dxa" w:w="1474"/>
          </w:tcPr>
          <w:p>
            <w:pPr>
              <w:spacing w:after="40" w:line="240" w:lineRule="auto"/>
            </w:pPr>
            <w:r>
              <w:rPr>
                <w:rFonts w:ascii="Times New Roman" w:hAnsi="Times New Roman"/>
                <w:sz w:val="18"/>
              </w:rPr>
              <w:t>Kreatinin tertinggi</w:t>
            </w:r>
          </w:p>
        </w:tc>
        <w:tc>
          <w:tcPr>
            <w:tcW w:type="dxa" w:w="3515"/>
          </w:tcPr>
          <w:p>
            <w:pPr>
              <w:spacing w:after="40" w:line="240" w:lineRule="auto"/>
            </w:pPr>
            <w:r>
              <w:rPr>
                <w:rFonts w:ascii="Times New Roman" w:hAnsi="Times New Roman"/>
                <w:sz w:val="18"/>
              </w:rPr>
              <w:t>Kadar kreatinin serum tertinggi dalam 24 jam pertama ICU</w:t>
            </w:r>
          </w:p>
        </w:tc>
        <w:tc>
          <w:tcPr>
            <w:tcW w:type="dxa" w:w="1531"/>
          </w:tcPr>
          <w:p>
            <w:pPr>
              <w:spacing w:after="40" w:line="240" w:lineRule="auto"/>
            </w:pPr>
            <w:r>
              <w:rPr>
                <w:rFonts w:ascii="Times New Roman" w:hAnsi="Times New Roman"/>
                <w:sz w:val="18"/>
              </w:rPr>
              <w:t>Hasil laboratorium</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mg/dL</w:t>
            </w:r>
          </w:p>
        </w:tc>
      </w:tr>
      <w:tr>
        <w:tc>
          <w:tcPr>
            <w:tcW w:type="dxa" w:w="1474"/>
          </w:tcPr>
          <w:p>
            <w:pPr>
              <w:spacing w:after="40" w:line="240" w:lineRule="auto"/>
            </w:pPr>
            <w:r>
              <w:rPr>
                <w:rFonts w:ascii="Times New Roman" w:hAnsi="Times New Roman"/>
                <w:sz w:val="18"/>
              </w:rPr>
              <w:t>Kategori diagnosis utama</w:t>
            </w:r>
          </w:p>
        </w:tc>
        <w:tc>
          <w:tcPr>
            <w:tcW w:type="dxa" w:w="3515"/>
          </w:tcPr>
          <w:p>
            <w:pPr>
              <w:spacing w:after="40" w:line="240" w:lineRule="auto"/>
            </w:pPr>
            <w:r>
              <w:rPr>
                <w:rFonts w:ascii="Times New Roman" w:hAnsi="Times New Roman"/>
                <w:sz w:val="18"/>
              </w:rPr>
              <w:t>Kelompok diagnosis utama saat masuk ICU menurut sistem organ</w:t>
            </w:r>
          </w:p>
        </w:tc>
        <w:tc>
          <w:tcPr>
            <w:tcW w:type="dxa" w:w="1531"/>
          </w:tcPr>
          <w:p>
            <w:pPr>
              <w:spacing w:after="40" w:line="240" w:lineRule="auto"/>
            </w:pPr>
            <w:r>
              <w:rPr>
                <w:rFonts w:ascii="Times New Roman" w:hAnsi="Times New Roman"/>
                <w:sz w:val="18"/>
              </w:rPr>
              <w:t>Rekam medis elektronik</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Respirasi/kardiovaskular/neurologi/sepsis-infeksi/bedah-trauma/lain</w:t>
            </w:r>
          </w:p>
        </w:tc>
      </w:tr>
      <w:tr>
        <w:tc>
          <w:tcPr>
            <w:tcW w:type="dxa" w:w="1474"/>
          </w:tcPr>
          <w:p>
            <w:pPr>
              <w:spacing w:after="40" w:line="240" w:lineRule="auto"/>
            </w:pPr>
            <w:r>
              <w:rPr>
                <w:rFonts w:ascii="Times New Roman" w:hAnsi="Times New Roman"/>
                <w:sz w:val="18"/>
              </w:rPr>
              <w:t>Total tagihan episode</w:t>
            </w:r>
          </w:p>
        </w:tc>
        <w:tc>
          <w:tcPr>
            <w:tcW w:type="dxa" w:w="3515"/>
          </w:tcPr>
          <w:p>
            <w:pPr>
              <w:spacing w:after="40" w:line="240" w:lineRule="auto"/>
            </w:pPr>
            <w:r>
              <w:rPr>
                <w:rFonts w:ascii="Times New Roman" w:hAnsi="Times New Roman"/>
                <w:sz w:val="18"/>
              </w:rPr>
              <w:t>Total tagihan rumah sakit untuk seluruh episode rawat inap (pra-ICU, ICU, dan pasca-ICU) menurut tarif rumah sakit yang berlaku</w:t>
            </w:r>
          </w:p>
        </w:tc>
        <w:tc>
          <w:tcPr>
            <w:tcW w:type="dxa" w:w="1531"/>
          </w:tcPr>
          <w:p>
            <w:pPr>
              <w:spacing w:after="40" w:line="240" w:lineRule="auto"/>
            </w:pPr>
            <w:r>
              <w:rPr>
                <w:rFonts w:ascii="Times New Roman" w:hAnsi="Times New Roman"/>
                <w:sz w:val="18"/>
              </w:rPr>
              <w:t>Sistem informasi keuangan</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Rupiah</w:t>
            </w:r>
          </w:p>
        </w:tc>
      </w:tr>
      <w:tr>
        <w:tc>
          <w:tcPr>
            <w:tcW w:type="dxa" w:w="1474"/>
          </w:tcPr>
          <w:p>
            <w:pPr>
              <w:spacing w:after="40" w:line="240" w:lineRule="auto"/>
            </w:pPr>
            <w:r>
              <w:rPr>
                <w:rFonts w:ascii="Times New Roman" w:hAnsi="Times New Roman"/>
                <w:sz w:val="18"/>
              </w:rPr>
              <w:t>Klaim INA-CBGs episode</w:t>
            </w:r>
          </w:p>
        </w:tc>
        <w:tc>
          <w:tcPr>
            <w:tcW w:type="dxa" w:w="3515"/>
          </w:tcPr>
          <w:p>
            <w:pPr>
              <w:spacing w:after="40" w:line="240" w:lineRule="auto"/>
            </w:pPr>
            <w:r>
              <w:rPr>
                <w:rFonts w:ascii="Times New Roman" w:hAnsi="Times New Roman"/>
                <w:sz w:val="18"/>
              </w:rPr>
              <w:t>Nilai klaim final yang dibayarkan BPJS Kesehatan untuk satu episode rawat inap</w:t>
            </w:r>
          </w:p>
        </w:tc>
        <w:tc>
          <w:tcPr>
            <w:tcW w:type="dxa" w:w="1531"/>
          </w:tcPr>
          <w:p>
            <w:pPr>
              <w:spacing w:after="40" w:line="240" w:lineRule="auto"/>
            </w:pPr>
            <w:r>
              <w:rPr>
                <w:rFonts w:ascii="Times New Roman" w:hAnsi="Times New Roman"/>
                <w:sz w:val="18"/>
              </w:rPr>
              <w:t>Data klaim BPJS/SIM RS</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Rupiah</w:t>
            </w:r>
          </w:p>
        </w:tc>
      </w:tr>
      <w:tr>
        <w:tc>
          <w:tcPr>
            <w:tcW w:type="dxa" w:w="1474"/>
          </w:tcPr>
          <w:p>
            <w:pPr>
              <w:spacing w:after="40" w:line="240" w:lineRule="auto"/>
            </w:pPr>
            <w:r>
              <w:rPr>
                <w:rFonts w:ascii="Times New Roman" w:hAnsi="Times New Roman"/>
                <w:sz w:val="18"/>
              </w:rPr>
              <w:t>Under-reimbursement (variabel dependen)</w:t>
            </w:r>
          </w:p>
        </w:tc>
        <w:tc>
          <w:tcPr>
            <w:tcW w:type="dxa" w:w="3515"/>
          </w:tcPr>
          <w:p>
            <w:pPr>
              <w:spacing w:after="40" w:line="240" w:lineRule="auto"/>
            </w:pPr>
            <w:r>
              <w:rPr>
                <w:rFonts w:ascii="Times New Roman" w:hAnsi="Times New Roman"/>
                <w:sz w:val="18"/>
              </w:rPr>
              <w:t>Status total tagihan episode melebihi total klaim INA-CBGs episode</w:t>
            </w:r>
          </w:p>
        </w:tc>
        <w:tc>
          <w:tcPr>
            <w:tcW w:type="dxa" w:w="1531"/>
          </w:tcPr>
          <w:p>
            <w:pPr>
              <w:spacing w:after="40" w:line="240" w:lineRule="auto"/>
            </w:pPr>
            <w:r>
              <w:rPr>
                <w:rFonts w:ascii="Times New Roman" w:hAnsi="Times New Roman"/>
                <w:sz w:val="18"/>
              </w:rPr>
              <w:t>Perhitungan rasio tagihan terhadap klaim</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Ya (rasio &gt;1)/tidak (rasio ≤1)</w:t>
            </w:r>
          </w:p>
        </w:tc>
      </w:tr>
    </w:tbl>
    <w:p>
      <w:pPr>
        <w:spacing w:before="240" w:after="120"/>
      </w:pPr>
      <w:r>
        <w:rPr>
          <w:rFonts w:ascii="Times New Roman" w:hAnsi="Times New Roman"/>
          <w:b/>
          <w:sz w:val="24"/>
        </w:rPr>
        <w:t>3.9 Rencana Analisis Statistik</w:t>
      </w:r>
    </w:p>
    <w:p>
      <w:pPr>
        <w:spacing w:after="120"/>
        <w:ind w:firstLine="720"/>
        <w:jc w:val="both"/>
      </w:pPr>
      <w:r>
        <w:rPr>
          <w:rFonts w:ascii="Times New Roman" w:hAnsi="Times New Roman"/>
          <w:i w:val="0"/>
          <w:sz w:val="24"/>
        </w:rPr>
        <w:t>Seluruh analisis dilakukan menggunakan Python versi ≥3.10 dengan pustaka pandas, scikit-learn, XGBoost, dan SHAP, mengikuti rencana analisis yang ditetapkan di muka.²⁴,²⁵,²⁹,³⁰</w:t>
      </w:r>
    </w:p>
    <w:p>
      <w:pPr>
        <w:spacing w:before="160" w:after="80"/>
      </w:pPr>
      <w:r>
        <w:rPr>
          <w:rFonts w:ascii="Times New Roman" w:hAnsi="Times New Roman"/>
          <w:b w:val="0"/>
          <w:sz w:val="24"/>
        </w:rPr>
        <w:t>3.9.1 Analisis deskriptif</w:t>
      </w:r>
    </w:p>
    <w:p>
      <w:pPr>
        <w:spacing w:after="120"/>
        <w:ind w:firstLine="720"/>
        <w:jc w:val="both"/>
      </w:pPr>
      <w:r>
        <w:rPr>
          <w:rFonts w:ascii="Times New Roman" w:hAnsi="Times New Roman"/>
          <w:i w:val="0"/>
          <w:sz w:val="24"/>
        </w:rPr>
        <w:t xml:space="preserve">Karakteristik subjek dideskripsikan secara keseluruhan dan menurut status </w:t>
      </w:r>
      <w:r>
        <w:rPr>
          <w:rFonts w:ascii="Times New Roman" w:hAnsi="Times New Roman"/>
          <w:i/>
          <w:sz w:val="24"/>
        </w:rPr>
        <w:t>under-reimbursement</w:t>
      </w:r>
      <w:r>
        <w:rPr>
          <w:rFonts w:ascii="Times New Roman" w:hAnsi="Times New Roman"/>
          <w:i w:val="0"/>
          <w:sz w:val="24"/>
        </w:rPr>
        <w:t xml:space="preserve">. Data kategorik disajikan dalam frekuensi dan persentase; data numerik dalam rerata ± simpang baku bila berdistribusi normal atau median (rentang interkuartil) bila tidak. Proporsi </w:t>
      </w:r>
      <w:r>
        <w:rPr>
          <w:rFonts w:ascii="Times New Roman" w:hAnsi="Times New Roman"/>
          <w:i/>
          <w:sz w:val="24"/>
        </w:rPr>
        <w:t>under-reimbursement</w:t>
      </w:r>
      <w:r>
        <w:rPr>
          <w:rFonts w:ascii="Times New Roman" w:hAnsi="Times New Roman"/>
          <w:i w:val="0"/>
          <w:sz w:val="24"/>
        </w:rPr>
        <w:t xml:space="preserve"> dilaporkan disertai interval kepercayaan 95%.</w:t>
      </w:r>
    </w:p>
    <w:p>
      <w:pPr>
        <w:spacing w:before="160" w:after="80"/>
      </w:pPr>
      <w:r>
        <w:rPr>
          <w:rFonts w:ascii="Times New Roman" w:hAnsi="Times New Roman"/>
          <w:b w:val="0"/>
          <w:sz w:val="24"/>
        </w:rPr>
        <w:t>3.9.2 Prapemrosesan data</w:t>
      </w:r>
    </w:p>
    <w:p>
      <w:pPr>
        <w:spacing w:after="120"/>
        <w:ind w:firstLine="720"/>
        <w:jc w:val="both"/>
      </w:pPr>
      <w:r>
        <w:rPr>
          <w:rFonts w:ascii="Times New Roman" w:hAnsi="Times New Roman"/>
          <w:i w:val="0"/>
          <w:sz w:val="24"/>
        </w:rPr>
        <w:t xml:space="preserve">Tahapan prapemrosesan meliputi: (1) penanganan nilai hilang dengan </w:t>
      </w:r>
      <w:r>
        <w:rPr>
          <w:rFonts w:ascii="Times New Roman" w:hAnsi="Times New Roman"/>
          <w:i/>
          <w:sz w:val="24"/>
        </w:rPr>
        <w:t>multiple imputation by chained equations</w:t>
      </w:r>
      <w:r>
        <w:rPr>
          <w:rFonts w:ascii="Times New Roman" w:hAnsi="Times New Roman"/>
          <w:i w:val="0"/>
          <w:sz w:val="24"/>
        </w:rPr>
        <w:t xml:space="preserve"> (MICE, 5 </w:t>
      </w:r>
      <w:r>
        <w:rPr>
          <w:rFonts w:ascii="Times New Roman" w:hAnsi="Times New Roman"/>
          <w:i/>
          <w:sz w:val="24"/>
        </w:rPr>
        <w:t>imputed datasets</w:t>
      </w:r>
      <w:r>
        <w:rPr>
          <w:rFonts w:ascii="Times New Roman" w:hAnsi="Times New Roman"/>
          <w:i w:val="0"/>
          <w:sz w:val="24"/>
        </w:rPr>
        <w:t xml:space="preserve">) bila proporsi hilang 5–40%, dan eksklusi variabel bila melebihi 50%, dengan seluruh imputasi dilakukan di dalam </w:t>
      </w:r>
      <w:r>
        <w:rPr>
          <w:rFonts w:ascii="Times New Roman" w:hAnsi="Times New Roman"/>
          <w:i/>
          <w:sz w:val="24"/>
        </w:rPr>
        <w:t>fold</w:t>
      </w:r>
      <w:r>
        <w:rPr>
          <w:rFonts w:ascii="Times New Roman" w:hAnsi="Times New Roman"/>
          <w:i w:val="0"/>
          <w:sz w:val="24"/>
        </w:rPr>
        <w:t xml:space="preserve"> pelatihan untuk mencegah kebocoran; (2) </w:t>
      </w:r>
      <w:r>
        <w:rPr>
          <w:rFonts w:ascii="Times New Roman" w:hAnsi="Times New Roman"/>
          <w:i/>
          <w:sz w:val="24"/>
        </w:rPr>
        <w:t>one-hot encoding</w:t>
      </w:r>
      <w:r>
        <w:rPr>
          <w:rFonts w:ascii="Times New Roman" w:hAnsi="Times New Roman"/>
          <w:i w:val="0"/>
          <w:sz w:val="24"/>
        </w:rPr>
        <w:t xml:space="preserve"> untuk variabel nominal dan </w:t>
      </w:r>
      <w:r>
        <w:rPr>
          <w:rFonts w:ascii="Times New Roman" w:hAnsi="Times New Roman"/>
          <w:i/>
          <w:sz w:val="24"/>
        </w:rPr>
        <w:t>ordinal encoding</w:t>
      </w:r>
      <w:r>
        <w:rPr>
          <w:rFonts w:ascii="Times New Roman" w:hAnsi="Times New Roman"/>
          <w:i w:val="0"/>
          <w:sz w:val="24"/>
        </w:rPr>
        <w:t xml:space="preserve"> untuk kelas rawat JKN; (3) standardisasi </w:t>
      </w:r>
      <w:r>
        <w:rPr>
          <w:rFonts w:ascii="Times New Roman" w:hAnsi="Times New Roman"/>
          <w:i/>
          <w:sz w:val="24"/>
        </w:rPr>
        <w:t>z-score</w:t>
      </w:r>
      <w:r>
        <w:rPr>
          <w:rFonts w:ascii="Times New Roman" w:hAnsi="Times New Roman"/>
          <w:i w:val="0"/>
          <w:sz w:val="24"/>
        </w:rPr>
        <w:t xml:space="preserve"> untuk regresi logistik (tidak diperlukan pada model berbasis pohon); serta (4) penanganan ketidakseimbangan kelas melalui pembobotan kelas (</w:t>
      </w:r>
      <w:r>
        <w:rPr>
          <w:rFonts w:ascii="Times New Roman" w:hAnsi="Times New Roman"/>
          <w:i/>
          <w:sz w:val="24"/>
        </w:rPr>
        <w:t>class weighting</w:t>
      </w:r>
      <w:r>
        <w:rPr>
          <w:rFonts w:ascii="Times New Roman" w:hAnsi="Times New Roman"/>
          <w:i w:val="0"/>
          <w:sz w:val="24"/>
        </w:rPr>
        <w:t xml:space="preserve">), bukan </w:t>
      </w:r>
      <w:r>
        <w:rPr>
          <w:rFonts w:ascii="Times New Roman" w:hAnsi="Times New Roman"/>
          <w:i/>
          <w:sz w:val="24"/>
        </w:rPr>
        <w:t>oversampling</w:t>
      </w:r>
      <w:r>
        <w:rPr>
          <w:rFonts w:ascii="Times New Roman" w:hAnsi="Times New Roman"/>
          <w:i w:val="0"/>
          <w:sz w:val="24"/>
        </w:rPr>
        <w:t xml:space="preserve"> sintetis, untuk menjaga kalibrasi probabilitas.²⁴</w:t>
      </w:r>
    </w:p>
    <w:p>
      <w:pPr>
        <w:spacing w:before="160" w:after="80"/>
      </w:pPr>
      <w:r>
        <w:rPr>
          <w:rFonts w:ascii="Times New Roman" w:hAnsi="Times New Roman"/>
          <w:b w:val="0"/>
          <w:sz w:val="24"/>
        </w:rPr>
        <w:t>3.9.3 Pemodelan dan pemeriksaan multikolinearitas</w:t>
      </w:r>
    </w:p>
    <w:p>
      <w:pPr>
        <w:spacing w:after="120"/>
        <w:ind w:firstLine="720"/>
        <w:jc w:val="both"/>
      </w:pPr>
      <w:r>
        <w:rPr>
          <w:rFonts w:ascii="Times New Roman" w:hAnsi="Times New Roman"/>
          <w:i w:val="0"/>
          <w:sz w:val="24"/>
        </w:rPr>
        <w:t xml:space="preserve">Seluruh variabel yang telah ditetapkan di muka dimasukkan ke model awal sesuai prinsip </w:t>
      </w:r>
      <w:r>
        <w:rPr>
          <w:rFonts w:ascii="Times New Roman" w:hAnsi="Times New Roman"/>
          <w:i/>
          <w:sz w:val="24"/>
        </w:rPr>
        <w:t>pre-specification</w:t>
      </w:r>
      <w:r>
        <w:rPr>
          <w:rFonts w:ascii="Times New Roman" w:hAnsi="Times New Roman"/>
          <w:i w:val="0"/>
          <w:sz w:val="24"/>
        </w:rPr>
        <w:t xml:space="preserve"> TRIPOD+AI. Pra-penyaringan univariat dan seleksi </w:t>
      </w:r>
      <w:r>
        <w:rPr>
          <w:rFonts w:ascii="Times New Roman" w:hAnsi="Times New Roman"/>
          <w:i/>
          <w:sz w:val="24"/>
        </w:rPr>
        <w:t>stepwise</w:t>
      </w:r>
      <w:r>
        <w:rPr>
          <w:rFonts w:ascii="Times New Roman" w:hAnsi="Times New Roman"/>
          <w:i w:val="0"/>
          <w:sz w:val="24"/>
        </w:rPr>
        <w:t xml:space="preserve"> tidak digunakan karena penyaringan univariat dapat membuang </w:t>
      </w:r>
      <w:r>
        <w:rPr>
          <w:rFonts w:ascii="Times New Roman" w:hAnsi="Times New Roman"/>
          <w:i/>
          <w:sz w:val="24"/>
        </w:rPr>
        <w:t>confounder</w:t>
      </w:r>
      <w:r>
        <w:rPr>
          <w:rFonts w:ascii="Times New Roman" w:hAnsi="Times New Roman"/>
          <w:i w:val="0"/>
          <w:sz w:val="24"/>
        </w:rPr>
        <w:t xml:space="preserve"> maupun variabel supresor, sedangkan seleksi </w:t>
      </w:r>
      <w:r>
        <w:rPr>
          <w:rFonts w:ascii="Times New Roman" w:hAnsi="Times New Roman"/>
          <w:i/>
          <w:sz w:val="24"/>
        </w:rPr>
        <w:t>stepwise</w:t>
      </w:r>
      <w:r>
        <w:rPr>
          <w:rFonts w:ascii="Times New Roman" w:hAnsi="Times New Roman"/>
          <w:i w:val="0"/>
          <w:sz w:val="24"/>
        </w:rPr>
        <w:t xml:space="preserve"> menghasilkan koefisien bias, nilai p yang tidak valid, dan pemilihan variabel yang tidak stabil antarsampel.²⁴,²⁷ Reduksi dimensi dilakukan melalui penalisasi tertanam yang sah secara statistik, yaitu regularisasi </w:t>
      </w:r>
      <w:r>
        <w:rPr>
          <w:rFonts w:ascii="Times New Roman" w:hAnsi="Times New Roman"/>
          <w:i/>
          <w:sz w:val="24"/>
        </w:rPr>
        <w:t>elastic net</w:t>
      </w:r>
      <w:r>
        <w:rPr>
          <w:rFonts w:ascii="Times New Roman" w:hAnsi="Times New Roman"/>
          <w:i w:val="0"/>
          <w:sz w:val="24"/>
        </w:rPr>
        <w:t xml:space="preserve"> pada regresi logistik serta regularisasi dan </w:t>
      </w:r>
      <w:r>
        <w:rPr>
          <w:rFonts w:ascii="Times New Roman" w:hAnsi="Times New Roman"/>
          <w:i/>
          <w:sz w:val="24"/>
        </w:rPr>
        <w:t>feature subsampling</w:t>
      </w:r>
      <w:r>
        <w:rPr>
          <w:rFonts w:ascii="Times New Roman" w:hAnsi="Times New Roman"/>
          <w:i w:val="0"/>
          <w:sz w:val="24"/>
        </w:rPr>
        <w:t xml:space="preserve"> pada model berbasis pohon.²⁵⁻²⁷ Multikolinearitas diperiksa dengan </w:t>
      </w:r>
      <w:r>
        <w:rPr>
          <w:rFonts w:ascii="Times New Roman" w:hAnsi="Times New Roman"/>
          <w:i/>
          <w:sz w:val="24"/>
        </w:rPr>
        <w:t>variance inflation factor</w:t>
      </w:r>
      <w:r>
        <w:rPr>
          <w:rFonts w:ascii="Times New Roman" w:hAnsi="Times New Roman"/>
          <w:i w:val="0"/>
          <w:sz w:val="24"/>
        </w:rPr>
        <w:t xml:space="preserve"> (ambang &gt;5), khususnya pada pasangan yang secara konseptual beririsan: MAP dengan penanda vasopresor, dan SpO₂/FiO₂ dengan penanda ventilasi mekanik; bila VIF &gt;5, salah satu variabel dikeluarkan berdasarkan justifikasi klinis yang ditetapkan di muka.¹⁸,¹⁹ Sebagai analisis sekunder, model parsimoni dikembangkan melalui </w:t>
      </w:r>
      <w:r>
        <w:rPr>
          <w:rFonts w:ascii="Times New Roman" w:hAnsi="Times New Roman"/>
          <w:i/>
          <w:sz w:val="24"/>
        </w:rPr>
        <w:t>SHAP-based recursive feature elimination</w:t>
      </w:r>
      <w:r>
        <w:rPr>
          <w:rFonts w:ascii="Times New Roman" w:hAnsi="Times New Roman"/>
          <w:i w:val="0"/>
          <w:sz w:val="24"/>
        </w:rPr>
        <w:t xml:space="preserve"> yang dijalankan sepenuhnya di dalam </w:t>
      </w:r>
      <w:r>
        <w:rPr>
          <w:rFonts w:ascii="Times New Roman" w:hAnsi="Times New Roman"/>
          <w:i/>
          <w:sz w:val="24"/>
        </w:rPr>
        <w:t>fold</w:t>
      </w:r>
      <w:r>
        <w:rPr>
          <w:rFonts w:ascii="Times New Roman" w:hAnsi="Times New Roman"/>
          <w:i w:val="0"/>
          <w:sz w:val="24"/>
        </w:rPr>
        <w:t xml:space="preserve"> pelatihan untuk menghindari </w:t>
      </w:r>
      <w:r>
        <w:rPr>
          <w:rFonts w:ascii="Times New Roman" w:hAnsi="Times New Roman"/>
          <w:i/>
          <w:sz w:val="24"/>
        </w:rPr>
        <w:t>selection leakage</w:t>
      </w:r>
      <w:r>
        <w:rPr>
          <w:rFonts w:ascii="Times New Roman" w:hAnsi="Times New Roman"/>
          <w:i w:val="0"/>
          <w:sz w:val="24"/>
        </w:rPr>
        <w:t>; model lengkap tetap menjadi model primer.²⁰,²⁹,³⁰</w:t>
      </w:r>
    </w:p>
    <w:p>
      <w:pPr>
        <w:spacing w:before="160" w:after="80"/>
      </w:pPr>
      <w:r>
        <w:rPr>
          <w:rFonts w:ascii="Times New Roman" w:hAnsi="Times New Roman"/>
          <w:b w:val="0"/>
          <w:sz w:val="24"/>
        </w:rPr>
        <w:t>3.9.4 Pembagian data dan validasi</w:t>
      </w:r>
    </w:p>
    <w:p>
      <w:pPr>
        <w:spacing w:after="120"/>
        <w:ind w:firstLine="720"/>
        <w:jc w:val="both"/>
      </w:pPr>
      <w:r>
        <w:rPr>
          <w:rFonts w:ascii="Times New Roman" w:hAnsi="Times New Roman"/>
          <w:i w:val="0"/>
          <w:sz w:val="24"/>
        </w:rPr>
        <w:t xml:space="preserve">Validasi internal menggunakan </w:t>
      </w:r>
      <w:r>
        <w:rPr>
          <w:rFonts w:ascii="Times New Roman" w:hAnsi="Times New Roman"/>
          <w:i/>
          <w:sz w:val="24"/>
        </w:rPr>
        <w:t>nested cross-validation</w:t>
      </w:r>
      <w:r>
        <w:rPr>
          <w:rFonts w:ascii="Times New Roman" w:hAnsi="Times New Roman"/>
          <w:i w:val="0"/>
          <w:sz w:val="24"/>
        </w:rPr>
        <w:t>: 5-</w:t>
      </w:r>
      <w:r>
        <w:rPr>
          <w:rFonts w:ascii="Times New Roman" w:hAnsi="Times New Roman"/>
          <w:i/>
          <w:sz w:val="24"/>
        </w:rPr>
        <w:t>fold stratified</w:t>
      </w:r>
      <w:r>
        <w:rPr>
          <w:rFonts w:ascii="Times New Roman" w:hAnsi="Times New Roman"/>
          <w:i w:val="0"/>
          <w:sz w:val="24"/>
        </w:rPr>
        <w:t xml:space="preserve"> pada lingkar luar (80% pelatihan/20% pengujian) dan 3-</w:t>
      </w:r>
      <w:r>
        <w:rPr>
          <w:rFonts w:ascii="Times New Roman" w:hAnsi="Times New Roman"/>
          <w:i/>
          <w:sz w:val="24"/>
        </w:rPr>
        <w:t>fold</w:t>
      </w:r>
      <w:r>
        <w:rPr>
          <w:rFonts w:ascii="Times New Roman" w:hAnsi="Times New Roman"/>
          <w:i w:val="0"/>
          <w:sz w:val="24"/>
        </w:rPr>
        <w:t xml:space="preserve"> pada lingkar dalam untuk penyetelan </w:t>
      </w:r>
      <w:r>
        <w:rPr>
          <w:rFonts w:ascii="Times New Roman" w:hAnsi="Times New Roman"/>
          <w:i/>
          <w:sz w:val="24"/>
        </w:rPr>
        <w:t>hyperparameter</w:t>
      </w:r>
      <w:r>
        <w:rPr>
          <w:rFonts w:ascii="Times New Roman" w:hAnsi="Times New Roman"/>
          <w:i w:val="0"/>
          <w:sz w:val="24"/>
        </w:rPr>
        <w:t xml:space="preserve"> dengan optimisasi Bayesian.²⁴ Prosedur diulang 10 kali (</w:t>
      </w:r>
      <w:r>
        <w:rPr>
          <w:rFonts w:ascii="Times New Roman" w:hAnsi="Times New Roman"/>
          <w:i/>
          <w:sz w:val="24"/>
        </w:rPr>
        <w:t>repeated nested CV</w:t>
      </w:r>
      <w:r>
        <w:rPr>
          <w:rFonts w:ascii="Times New Roman" w:hAnsi="Times New Roman"/>
          <w:i w:val="0"/>
          <w:sz w:val="24"/>
        </w:rPr>
        <w:t>) untuk memperoleh estimasi performa yang stabil. Sebagai validasi internal-eksternal, dilakukan pembagian temporal dengan data Mei–Desember 2025 sebagai pelatihan dan Januari–Mei 2026 sebagai pengujian, untuk menguji stabilitas model terhadap pergeseran waktu.²⁴</w:t>
      </w:r>
    </w:p>
    <w:p>
      <w:pPr>
        <w:spacing w:before="160" w:after="80"/>
      </w:pPr>
      <w:r>
        <w:rPr>
          <w:rFonts w:ascii="Times New Roman" w:hAnsi="Times New Roman"/>
          <w:b w:val="0"/>
          <w:sz w:val="24"/>
        </w:rPr>
        <w:t>3.9.5 Pengembangan model</w:t>
      </w:r>
    </w:p>
    <w:p>
      <w:pPr>
        <w:spacing w:after="80"/>
        <w:ind w:left="0" w:hanging="425"/>
        <w:jc w:val="both"/>
      </w:pPr>
      <w:r>
        <w:rPr>
          <w:rFonts w:ascii="Times New Roman" w:hAnsi="Times New Roman"/>
          <w:i w:val="0"/>
          <w:sz w:val="24"/>
        </w:rPr>
        <w:t xml:space="preserve">(a) XGBoost: regularisasi diperketat sesuai ukuran sampel, dengan </w:t>
      </w:r>
      <w:r>
        <w:rPr>
          <w:rFonts w:ascii="Times New Roman" w:hAnsi="Times New Roman"/>
          <w:i/>
          <w:sz w:val="24"/>
        </w:rPr>
        <w:t>max_depth</w:t>
      </w:r>
      <w:r>
        <w:rPr>
          <w:rFonts w:ascii="Times New Roman" w:hAnsi="Times New Roman"/>
          <w:i w:val="0"/>
          <w:sz w:val="24"/>
        </w:rPr>
        <w:t xml:space="preserve"> 3–4, </w:t>
      </w:r>
      <w:r>
        <w:rPr>
          <w:rFonts w:ascii="Times New Roman" w:hAnsi="Times New Roman"/>
          <w:i/>
          <w:sz w:val="24"/>
        </w:rPr>
        <w:t>min_child_weight</w:t>
      </w:r>
      <w:r>
        <w:rPr>
          <w:rFonts w:ascii="Times New Roman" w:hAnsi="Times New Roman"/>
          <w:i w:val="0"/>
          <w:sz w:val="24"/>
        </w:rPr>
        <w:t xml:space="preserve"> tinggi, </w:t>
      </w:r>
      <w:r>
        <w:rPr>
          <w:rFonts w:ascii="Times New Roman" w:hAnsi="Times New Roman"/>
          <w:i/>
          <w:sz w:val="24"/>
        </w:rPr>
        <w:t>subsample</w:t>
      </w:r>
      <w:r>
        <w:rPr>
          <w:rFonts w:ascii="Times New Roman" w:hAnsi="Times New Roman"/>
          <w:i w:val="0"/>
          <w:sz w:val="24"/>
        </w:rPr>
        <w:t xml:space="preserve"> 0,7–0,8, penalti L1 dan L2, </w:t>
      </w:r>
      <w:r>
        <w:rPr>
          <w:rFonts w:ascii="Times New Roman" w:hAnsi="Times New Roman"/>
          <w:i/>
          <w:sz w:val="24"/>
        </w:rPr>
        <w:t>learning rate</w:t>
      </w:r>
      <w:r>
        <w:rPr>
          <w:rFonts w:ascii="Times New Roman" w:hAnsi="Times New Roman"/>
          <w:i w:val="0"/>
          <w:sz w:val="24"/>
        </w:rPr>
        <w:t xml:space="preserve"> rendah disertai </w:t>
      </w:r>
      <w:r>
        <w:rPr>
          <w:rFonts w:ascii="Times New Roman" w:hAnsi="Times New Roman"/>
          <w:i/>
          <w:sz w:val="24"/>
        </w:rPr>
        <w:t>early stopping</w:t>
      </w:r>
      <w:r>
        <w:rPr>
          <w:rFonts w:ascii="Times New Roman" w:hAnsi="Times New Roman"/>
          <w:i w:val="0"/>
          <w:sz w:val="24"/>
        </w:rPr>
        <w:t xml:space="preserve">, dan </w:t>
      </w:r>
      <w:r>
        <w:rPr>
          <w:rFonts w:ascii="Times New Roman" w:hAnsi="Times New Roman"/>
          <w:i/>
          <w:sz w:val="24"/>
        </w:rPr>
        <w:t>scale_pos_weight</w:t>
      </w:r>
      <w:r>
        <w:rPr>
          <w:rFonts w:ascii="Times New Roman" w:hAnsi="Times New Roman"/>
          <w:i w:val="0"/>
          <w:sz w:val="24"/>
        </w:rPr>
        <w:t>.²⁵</w:t>
      </w:r>
    </w:p>
    <w:p>
      <w:pPr>
        <w:spacing w:after="80"/>
        <w:ind w:left="0" w:hanging="425"/>
        <w:jc w:val="both"/>
      </w:pPr>
      <w:r>
        <w:rPr>
          <w:rFonts w:ascii="Times New Roman" w:hAnsi="Times New Roman"/>
          <w:i w:val="0"/>
          <w:sz w:val="24"/>
        </w:rPr>
        <w:t xml:space="preserve">(b) </w:t>
      </w:r>
      <w:r>
        <w:rPr>
          <w:rFonts w:ascii="Times New Roman" w:hAnsi="Times New Roman"/>
          <w:i/>
          <w:sz w:val="24"/>
        </w:rPr>
        <w:t>Random Forest</w:t>
      </w:r>
      <w:r>
        <w:rPr>
          <w:rFonts w:ascii="Times New Roman" w:hAnsi="Times New Roman"/>
          <w:i w:val="0"/>
          <w:sz w:val="24"/>
        </w:rPr>
        <w:t xml:space="preserve">: </w:t>
      </w:r>
      <w:r>
        <w:rPr>
          <w:rFonts w:ascii="Times New Roman" w:hAnsi="Times New Roman"/>
          <w:i/>
          <w:sz w:val="24"/>
        </w:rPr>
        <w:t>max_depth</w:t>
      </w:r>
      <w:r>
        <w:rPr>
          <w:rFonts w:ascii="Times New Roman" w:hAnsi="Times New Roman"/>
          <w:i w:val="0"/>
          <w:sz w:val="24"/>
        </w:rPr>
        <w:t xml:space="preserve"> dibatasi, </w:t>
      </w:r>
      <w:r>
        <w:rPr>
          <w:rFonts w:ascii="Times New Roman" w:hAnsi="Times New Roman"/>
          <w:i/>
          <w:sz w:val="24"/>
        </w:rPr>
        <w:t>min_samples_leaf</w:t>
      </w:r>
      <w:r>
        <w:rPr>
          <w:rFonts w:ascii="Times New Roman" w:hAnsi="Times New Roman"/>
          <w:i w:val="0"/>
          <w:sz w:val="24"/>
        </w:rPr>
        <w:t xml:space="preserve"> dinaikkan, dan </w:t>
      </w:r>
      <w:r>
        <w:rPr>
          <w:rFonts w:ascii="Times New Roman" w:hAnsi="Times New Roman"/>
          <w:i/>
          <w:sz w:val="24"/>
        </w:rPr>
        <w:t>class_weight</w:t>
      </w:r>
      <w:r>
        <w:rPr>
          <w:rFonts w:ascii="Times New Roman" w:hAnsi="Times New Roman"/>
          <w:i w:val="0"/>
          <w:sz w:val="24"/>
        </w:rPr>
        <w:t xml:space="preserve"> seimbang.²⁶</w:t>
      </w:r>
    </w:p>
    <w:p>
      <w:pPr>
        <w:spacing w:after="80"/>
        <w:ind w:left="0" w:hanging="425"/>
        <w:jc w:val="both"/>
      </w:pPr>
      <w:r>
        <w:rPr>
          <w:rFonts w:ascii="Times New Roman" w:hAnsi="Times New Roman"/>
          <w:i w:val="0"/>
          <w:sz w:val="24"/>
        </w:rPr>
        <w:t xml:space="preserve">(c) Regresi logistik </w:t>
      </w:r>
      <w:r>
        <w:rPr>
          <w:rFonts w:ascii="Times New Roman" w:hAnsi="Times New Roman"/>
          <w:i/>
          <w:sz w:val="24"/>
        </w:rPr>
        <w:t>elastic net</w:t>
      </w:r>
      <w:r>
        <w:rPr>
          <w:rFonts w:ascii="Times New Roman" w:hAnsi="Times New Roman"/>
          <w:i w:val="0"/>
          <w:sz w:val="24"/>
        </w:rPr>
        <w:t xml:space="preserve"> sebagai pembanding: </w:t>
      </w:r>
      <w:r>
        <w:rPr>
          <w:rFonts w:ascii="Times New Roman" w:hAnsi="Times New Roman"/>
          <w:i/>
          <w:sz w:val="24"/>
        </w:rPr>
        <w:t>l1_ratio</w:t>
      </w:r>
      <w:r>
        <w:rPr>
          <w:rFonts w:ascii="Times New Roman" w:hAnsi="Times New Roman"/>
          <w:i w:val="0"/>
          <w:sz w:val="24"/>
        </w:rPr>
        <w:t xml:space="preserve"> dan C disetel dengan prosedur dan anggaran pencarian yang setara dengan model pohon.²⁷ Christodoulou dkk. menunjukkan regresi logistik teregularisasi dapat menyamai atau mengungguli pembelajaran mesin pada data tabular, sehingga pembanding ini sengaja dibuat kuat dan bukan </w:t>
      </w:r>
      <w:r>
        <w:rPr>
          <w:rFonts w:ascii="Times New Roman" w:hAnsi="Times New Roman"/>
          <w:i/>
          <w:sz w:val="24"/>
        </w:rPr>
        <w:t>straw man</w:t>
      </w:r>
      <w:r>
        <w:rPr>
          <w:rFonts w:ascii="Times New Roman" w:hAnsi="Times New Roman"/>
          <w:i w:val="0"/>
          <w:sz w:val="24"/>
        </w:rPr>
        <w:t>.²⁸</w:t>
      </w:r>
    </w:p>
    <w:p>
      <w:pPr>
        <w:spacing w:before="160" w:after="80"/>
      </w:pPr>
      <w:r>
        <w:rPr>
          <w:rFonts w:ascii="Times New Roman" w:hAnsi="Times New Roman"/>
          <w:b w:val="0"/>
          <w:sz w:val="24"/>
        </w:rPr>
        <w:t>3.9.6 Evaluasi performa model</w:t>
      </w:r>
    </w:p>
    <w:p>
      <w:pPr>
        <w:spacing w:after="80"/>
        <w:ind w:left="0" w:hanging="425"/>
        <w:jc w:val="both"/>
      </w:pPr>
      <w:r>
        <w:rPr>
          <w:rFonts w:ascii="Times New Roman" w:hAnsi="Times New Roman"/>
          <w:i w:val="0"/>
          <w:sz w:val="24"/>
        </w:rPr>
        <w:t>(a) Diskriminasi: AUC-ROC sebagai metrik utama (target ≥0,75), disertai PR-AUC, sensitivitas, spesifisitas, nilai duga positif, nilai duga negatif, dan F1.²⁴</w:t>
      </w:r>
    </w:p>
    <w:p>
      <w:pPr>
        <w:spacing w:after="80"/>
        <w:ind w:left="0" w:hanging="425"/>
        <w:jc w:val="both"/>
      </w:pPr>
      <w:r>
        <w:rPr>
          <w:rFonts w:ascii="Times New Roman" w:hAnsi="Times New Roman"/>
          <w:i w:val="0"/>
          <w:sz w:val="24"/>
        </w:rPr>
        <w:t xml:space="preserve">(b) Kalibrasi: </w:t>
      </w:r>
      <w:r>
        <w:rPr>
          <w:rFonts w:ascii="Times New Roman" w:hAnsi="Times New Roman"/>
          <w:i/>
          <w:sz w:val="24"/>
        </w:rPr>
        <w:t>Brier score</w:t>
      </w:r>
      <w:r>
        <w:rPr>
          <w:rFonts w:ascii="Times New Roman" w:hAnsi="Times New Roman"/>
          <w:i w:val="0"/>
          <w:sz w:val="24"/>
        </w:rPr>
        <w:t xml:space="preserve">, kurva kalibrasi, serta </w:t>
      </w:r>
      <w:r>
        <w:rPr>
          <w:rFonts w:ascii="Times New Roman" w:hAnsi="Times New Roman"/>
          <w:i/>
          <w:sz w:val="24"/>
        </w:rPr>
        <w:t>calibration intercept</w:t>
      </w:r>
      <w:r>
        <w:rPr>
          <w:rFonts w:ascii="Times New Roman" w:hAnsi="Times New Roman"/>
          <w:i w:val="0"/>
          <w:sz w:val="24"/>
        </w:rPr>
        <w:t xml:space="preserve"> dan </w:t>
      </w:r>
      <w:r>
        <w:rPr>
          <w:rFonts w:ascii="Times New Roman" w:hAnsi="Times New Roman"/>
          <w:i/>
          <w:sz w:val="24"/>
        </w:rPr>
        <w:t>slope</w:t>
      </w:r>
      <w:r>
        <w:rPr>
          <w:rFonts w:ascii="Times New Roman" w:hAnsi="Times New Roman"/>
          <w:i w:val="0"/>
          <w:sz w:val="24"/>
        </w:rPr>
        <w:t xml:space="preserve"> beserta interval kepercayaan 95%.²⁴</w:t>
      </w:r>
    </w:p>
    <w:p>
      <w:pPr>
        <w:spacing w:after="80"/>
        <w:ind w:left="0" w:hanging="425"/>
        <w:jc w:val="both"/>
      </w:pPr>
      <w:r>
        <w:rPr>
          <w:rFonts w:ascii="Times New Roman" w:hAnsi="Times New Roman"/>
          <w:i w:val="0"/>
          <w:sz w:val="24"/>
        </w:rPr>
        <w:t xml:space="preserve">(c) Utilitas klinis: </w:t>
      </w:r>
      <w:r>
        <w:rPr>
          <w:rFonts w:ascii="Times New Roman" w:hAnsi="Times New Roman"/>
          <w:i/>
          <w:sz w:val="24"/>
        </w:rPr>
        <w:t>decision curve analysis</w:t>
      </w:r>
      <w:r>
        <w:rPr>
          <w:rFonts w:ascii="Times New Roman" w:hAnsi="Times New Roman"/>
          <w:i w:val="0"/>
          <w:sz w:val="24"/>
        </w:rPr>
        <w:t xml:space="preserve"> untuk menilai </w:t>
      </w:r>
      <w:r>
        <w:rPr>
          <w:rFonts w:ascii="Times New Roman" w:hAnsi="Times New Roman"/>
          <w:i/>
          <w:sz w:val="24"/>
        </w:rPr>
        <w:t>net benefit</w:t>
      </w:r>
      <w:r>
        <w:rPr>
          <w:rFonts w:ascii="Times New Roman" w:hAnsi="Times New Roman"/>
          <w:i w:val="0"/>
          <w:sz w:val="24"/>
        </w:rPr>
        <w:t xml:space="preserve"> pada rentang ambang keputusan yang realistis.²⁴</w:t>
      </w:r>
    </w:p>
    <w:p>
      <w:pPr>
        <w:spacing w:after="80"/>
        <w:ind w:left="0" w:hanging="425"/>
        <w:jc w:val="both"/>
      </w:pPr>
      <w:r>
        <w:rPr>
          <w:rFonts w:ascii="Times New Roman" w:hAnsi="Times New Roman"/>
          <w:i w:val="0"/>
          <w:sz w:val="24"/>
        </w:rPr>
        <w:t xml:space="preserve">(d) Perbandingan model: sesuai hipotesis, perbandingan primer yang ditetapkan a priori adalah XGBoost terhadap regresi logistik teregularisasi, dengan </w:t>
      </w:r>
      <w:r>
        <w:rPr>
          <w:rFonts w:ascii="Times New Roman" w:hAnsi="Times New Roman"/>
          <w:i/>
          <w:sz w:val="24"/>
        </w:rPr>
        <w:t>Random Forest</w:t>
      </w:r>
      <w:r>
        <w:rPr>
          <w:rFonts w:ascii="Times New Roman" w:hAnsi="Times New Roman"/>
          <w:i w:val="0"/>
          <w:sz w:val="24"/>
        </w:rPr>
        <w:t xml:space="preserve"> terhadap regresi logistik sebagai perbandingan sekunder. Selisih AUC dilaporkan beserta interval kepercayaan 95% </w:t>
      </w:r>
      <w:r>
        <w:rPr>
          <w:rFonts w:ascii="Times New Roman" w:hAnsi="Times New Roman"/>
          <w:i/>
          <w:sz w:val="24"/>
        </w:rPr>
        <w:t>bootstrap</w:t>
      </w:r>
      <w:r>
        <w:rPr>
          <w:rFonts w:ascii="Times New Roman" w:hAnsi="Times New Roman"/>
          <w:i w:val="0"/>
          <w:sz w:val="24"/>
        </w:rPr>
        <w:t xml:space="preserve"> (≥1.000 </w:t>
      </w:r>
      <w:r>
        <w:rPr>
          <w:rFonts w:ascii="Times New Roman" w:hAnsi="Times New Roman"/>
          <w:i/>
          <w:sz w:val="24"/>
        </w:rPr>
        <w:t>resamples</w:t>
      </w:r>
      <w:r>
        <w:rPr>
          <w:rFonts w:ascii="Times New Roman" w:hAnsi="Times New Roman"/>
          <w:i w:val="0"/>
          <w:sz w:val="24"/>
        </w:rPr>
        <w:t xml:space="preserve">) dan nilai p dua sisi (α=0,05) dengan koreksi Holm untuk dua perbandingan; </w:t>
      </w:r>
      <w:r>
        <w:rPr>
          <w:rFonts w:ascii="Times New Roman" w:hAnsi="Times New Roman"/>
          <w:i/>
          <w:sz w:val="24"/>
        </w:rPr>
        <w:t>optimism correction</w:t>
      </w:r>
      <w:r>
        <w:rPr>
          <w:rFonts w:ascii="Times New Roman" w:hAnsi="Times New Roman"/>
          <w:i w:val="0"/>
          <w:sz w:val="24"/>
        </w:rPr>
        <w:t xml:space="preserve"> dilakukan dengan </w:t>
      </w:r>
      <w:r>
        <w:rPr>
          <w:rFonts w:ascii="Times New Roman" w:hAnsi="Times New Roman"/>
          <w:i/>
          <w:sz w:val="24"/>
        </w:rPr>
        <w:t>bootstrap</w:t>
      </w:r>
      <w:r>
        <w:rPr>
          <w:rFonts w:ascii="Times New Roman" w:hAnsi="Times New Roman"/>
          <w:i w:val="0"/>
          <w:sz w:val="24"/>
        </w:rPr>
        <w:t>.²⁴,²⁷ Perlu ditegaskan bahwa besar sampel dihitung untuk pengembangan model, bukan untuk mendeteksi selisih AUC antarmodel; dengan demikian analisis perbandingan bersifat suportif dan tidak di-</w:t>
      </w:r>
      <w:r>
        <w:rPr>
          <w:rFonts w:ascii="Times New Roman" w:hAnsi="Times New Roman"/>
          <w:i/>
          <w:sz w:val="24"/>
        </w:rPr>
        <w:t>power</w:t>
      </w:r>
      <w:r>
        <w:rPr>
          <w:rFonts w:ascii="Times New Roman" w:hAnsi="Times New Roman"/>
          <w:i w:val="0"/>
          <w:sz w:val="24"/>
        </w:rPr>
        <w:t>-kan secara formal, dan hal ini dinyatakan sebagai keterbatasan penelitian.²⁸,³²</w:t>
      </w:r>
    </w:p>
    <w:p>
      <w:pPr>
        <w:spacing w:before="160" w:after="80"/>
      </w:pPr>
      <w:r>
        <w:rPr>
          <w:rFonts w:ascii="Times New Roman" w:hAnsi="Times New Roman"/>
          <w:b w:val="0"/>
          <w:sz w:val="24"/>
        </w:rPr>
        <w:t>3.9.7 Analisis interpretabilitas</w:t>
      </w:r>
    </w:p>
    <w:p>
      <w:pPr>
        <w:spacing w:after="120"/>
        <w:ind w:firstLine="720"/>
        <w:jc w:val="both"/>
      </w:pPr>
      <w:r>
        <w:rPr>
          <w:rFonts w:ascii="Times New Roman" w:hAnsi="Times New Roman"/>
          <w:i w:val="0"/>
          <w:sz w:val="24"/>
        </w:rPr>
        <w:t xml:space="preserve">Interpretabilitas model terbaik dianalisis dengan TreeSHAP, meliputi </w:t>
      </w:r>
      <w:r>
        <w:rPr>
          <w:rFonts w:ascii="Times New Roman" w:hAnsi="Times New Roman"/>
          <w:i/>
          <w:sz w:val="24"/>
        </w:rPr>
        <w:t>global feature importance</w:t>
      </w:r>
      <w:r>
        <w:rPr>
          <w:rFonts w:ascii="Times New Roman" w:hAnsi="Times New Roman"/>
          <w:i w:val="0"/>
          <w:sz w:val="24"/>
        </w:rPr>
        <w:t xml:space="preserve"> melalui </w:t>
      </w:r>
      <w:r>
        <w:rPr>
          <w:rFonts w:ascii="Times New Roman" w:hAnsi="Times New Roman"/>
          <w:i/>
          <w:sz w:val="24"/>
        </w:rPr>
        <w:t>summary plot</w:t>
      </w:r>
      <w:r>
        <w:rPr>
          <w:rFonts w:ascii="Times New Roman" w:hAnsi="Times New Roman"/>
          <w:i w:val="0"/>
          <w:sz w:val="24"/>
        </w:rPr>
        <w:t xml:space="preserve">, penjelasan individual melalui </w:t>
      </w:r>
      <w:r>
        <w:rPr>
          <w:rFonts w:ascii="Times New Roman" w:hAnsi="Times New Roman"/>
          <w:i/>
          <w:sz w:val="24"/>
        </w:rPr>
        <w:t>waterfall plot</w:t>
      </w:r>
      <w:r>
        <w:rPr>
          <w:rFonts w:ascii="Times New Roman" w:hAnsi="Times New Roman"/>
          <w:i w:val="0"/>
          <w:sz w:val="24"/>
        </w:rPr>
        <w:t xml:space="preserve">, dan </w:t>
      </w:r>
      <w:r>
        <w:rPr>
          <w:rFonts w:ascii="Times New Roman" w:hAnsi="Times New Roman"/>
          <w:i/>
          <w:sz w:val="24"/>
        </w:rPr>
        <w:t>dependence plot</w:t>
      </w:r>
      <w:r>
        <w:rPr>
          <w:rFonts w:ascii="Times New Roman" w:hAnsi="Times New Roman"/>
          <w:i w:val="0"/>
          <w:sz w:val="24"/>
        </w:rPr>
        <w:t xml:space="preserve"> untuk mengidentifikasi ambang klinis.²⁹,³⁰ </w:t>
      </w:r>
      <w:r>
        <w:rPr>
          <w:rFonts w:ascii="Times New Roman" w:hAnsi="Times New Roman"/>
          <w:i/>
          <w:sz w:val="24"/>
        </w:rPr>
        <w:t>SHAP interaction values</w:t>
      </w:r>
      <w:r>
        <w:rPr>
          <w:rFonts w:ascii="Times New Roman" w:hAnsi="Times New Roman"/>
          <w:i w:val="0"/>
          <w:sz w:val="24"/>
        </w:rPr>
        <w:t xml:space="preserve"> untuk interaksi dua arah dihitung sebagai analisis eksploratif dan dilaporkan sebagai pembangkit hipotesis, mengingat estimasi interaksi kurang stabil pada ukuran sampel penelitian ini.</w:t>
      </w:r>
    </w:p>
    <w:p>
      <w:pPr>
        <w:spacing w:before="160" w:after="80"/>
      </w:pPr>
      <w:r>
        <w:rPr>
          <w:rFonts w:ascii="Times New Roman" w:hAnsi="Times New Roman"/>
          <w:b w:val="0"/>
          <w:sz w:val="24"/>
        </w:rPr>
        <w:t>3.9.8 Penilaian keadilan algoritmik</w:t>
      </w:r>
    </w:p>
    <w:p>
      <w:pPr>
        <w:spacing w:after="120"/>
        <w:ind w:firstLine="720"/>
        <w:jc w:val="both"/>
      </w:pPr>
      <w:r>
        <w:rPr>
          <w:rFonts w:ascii="Times New Roman" w:hAnsi="Times New Roman"/>
          <w:i w:val="0"/>
          <w:sz w:val="24"/>
        </w:rPr>
        <w:t>Sesuai TRIPOD+AI, performa dan kalibrasi model dilaporkan terpisah menurut kelas rawat JKN, jenis kelamin, dan kelompok usia untuk mendeteksi disparitas performa antarsubkelompok.²⁴ Temuan disparitas dilaporkan secara terbuka sebagai bagian dari hasil.</w:t>
      </w:r>
    </w:p>
    <w:p>
      <w:pPr>
        <w:spacing w:before="160" w:after="80"/>
      </w:pPr>
      <w:r>
        <w:rPr>
          <w:rFonts w:ascii="Times New Roman" w:hAnsi="Times New Roman"/>
          <w:b w:val="0"/>
          <w:sz w:val="24"/>
        </w:rPr>
        <w:t>3.9.9 Analisis sensitivitas</w:t>
      </w:r>
    </w:p>
    <w:p>
      <w:pPr>
        <w:spacing w:after="120"/>
        <w:ind w:firstLine="720"/>
        <w:jc w:val="both"/>
      </w:pPr>
      <w:r>
        <w:rPr>
          <w:rFonts w:ascii="Times New Roman" w:hAnsi="Times New Roman"/>
          <w:i w:val="0"/>
          <w:sz w:val="24"/>
        </w:rPr>
        <w:t>Analisis sensitivitas yang ditetapkan di muka meliputi: (1) pemodelan tanpa variabel GCS bila proporsi GCS bebas sedasi rendah; (2) pemodelan terbatas pada pasien dengan ventilasi mekanik yang FiO₂-nya terukur presisi; (3) pengulangan analisis pada ambang rasio 1,1 dan 1,25 untuk menguji kestabilan kesimpulan terhadap pilihan ambang; serta (4) analisis luaran sekunder kontinu berupa log-rasio tagihan terhadap klaim.</w:t>
      </w:r>
    </w:p>
    <w:p>
      <w:pPr>
        <w:spacing w:before="160" w:after="80"/>
      </w:pPr>
      <w:r>
        <w:rPr>
          <w:rFonts w:ascii="Times New Roman" w:hAnsi="Times New Roman"/>
          <w:b w:val="0"/>
          <w:sz w:val="24"/>
        </w:rPr>
        <w:t>3.9.10 Pelaporan</w:t>
      </w:r>
    </w:p>
    <w:p>
      <w:pPr>
        <w:spacing w:after="120"/>
        <w:ind w:firstLine="720"/>
        <w:jc w:val="both"/>
      </w:pPr>
      <w:r>
        <w:rPr>
          <w:rFonts w:ascii="Times New Roman" w:hAnsi="Times New Roman"/>
          <w:i w:val="0"/>
          <w:sz w:val="24"/>
        </w:rPr>
        <w:t>Seluruh tahapan pengembangan dan evaluasi model dilaporkan mengikuti standar TRIPOD+AI untuk menjamin transparansi, reprodusibilitas, dan mutu pelaporan yang setara dengan standar publikasi internasional.²⁴,³¹</w:t>
      </w:r>
    </w:p>
    <w:p>
      <w:pPr>
        <w:spacing w:before="240" w:after="120"/>
      </w:pPr>
      <w:r>
        <w:rPr>
          <w:rFonts w:ascii="Times New Roman" w:hAnsi="Times New Roman"/>
          <w:b/>
          <w:sz w:val="24"/>
        </w:rPr>
        <w:t>3.10 Etika Penelitian</w:t>
      </w:r>
    </w:p>
    <w:p>
      <w:pPr>
        <w:spacing w:after="120"/>
        <w:ind w:firstLine="720"/>
        <w:jc w:val="both"/>
      </w:pPr>
      <w:r>
        <w:rPr>
          <w:rFonts w:ascii="Times New Roman" w:hAnsi="Times New Roman"/>
          <w:i w:val="0"/>
          <w:sz w:val="24"/>
        </w:rPr>
        <w:t>Permohonan persetujuan etik diajukan kepada Komite Etik Penelitian Kesehatan Fakultas Kedokteran Universitas Indonesia – RSUPN Dr. Cipto Mangunkusumo. Izin akses data rekam medis dan data keuangan diajukan kepada Direktur Utama dan Direktur Keuangan RSCM, Kepala Departemen Anestesiologi dan Terapi Intensif, serta Kepala Unit Pelayanan ICU.</w:t>
      </w:r>
    </w:p>
    <w:p>
      <w:pPr>
        <w:spacing w:after="120"/>
        <w:ind w:firstLine="720"/>
        <w:jc w:val="both"/>
      </w:pPr>
      <w:r>
        <w:rPr>
          <w:rFonts w:ascii="Times New Roman" w:hAnsi="Times New Roman"/>
          <w:i w:val="0"/>
          <w:sz w:val="24"/>
        </w:rPr>
        <w:t>Penelitian ini menggunakan data sekunder retrospektif dan tidak melibatkan intervensi terhadap pasien, sehingga persetujuan individu (</w:t>
      </w:r>
      <w:r>
        <w:rPr>
          <w:rFonts w:ascii="Times New Roman" w:hAnsi="Times New Roman"/>
          <w:i/>
          <w:sz w:val="24"/>
        </w:rPr>
        <w:t>informed consent</w:t>
      </w:r>
      <w:r>
        <w:rPr>
          <w:rFonts w:ascii="Times New Roman" w:hAnsi="Times New Roman"/>
          <w:i w:val="0"/>
          <w:sz w:val="24"/>
        </w:rPr>
        <w:t xml:space="preserve">) tidak diperlukan dan diajukan permohonan </w:t>
      </w:r>
      <w:r>
        <w:rPr>
          <w:rFonts w:ascii="Times New Roman" w:hAnsi="Times New Roman"/>
          <w:i/>
          <w:sz w:val="24"/>
        </w:rPr>
        <w:t>waiver of consent</w:t>
      </w:r>
      <w:r>
        <w:rPr>
          <w:rFonts w:ascii="Times New Roman" w:hAnsi="Times New Roman"/>
          <w:i w:val="0"/>
          <w:sz w:val="24"/>
        </w:rPr>
        <w:t xml:space="preserve"> sesuai ketentuan penelitian berbasis rekam medis. Seluruh data dianonimkan sebelum analisis, disimpan dalam sistem terlindungi kata sandi, dan identitas pasien tidak ditampilkan dalam publikasi.</w:t>
      </w:r>
    </w:p>
    <w:p>
      <w:pPr>
        <w:spacing w:after="120"/>
        <w:ind w:firstLine="720"/>
        <w:jc w:val="both"/>
      </w:pPr>
      <w:r>
        <w:rPr>
          <w:rFonts w:ascii="Times New Roman" w:hAnsi="Times New Roman"/>
          <w:i w:val="0"/>
          <w:sz w:val="24"/>
        </w:rPr>
        <w:t xml:space="preserve">Pernyataan tujuan penggunaan model ditetapkan secara eksplisit sebagai bagian dari pertimbangan etik. Model ditujukan untuk perencanaan sumber daya pada tingkat unit, telaah kelengkapan dokumentasi dan koding, serta penyusunan bukti untuk peninjauan tarif INA-CBGs. Model </w:t>
      </w:r>
      <w:r>
        <w:rPr>
          <w:rFonts w:ascii="Times New Roman" w:hAnsi="Times New Roman"/>
          <w:i/>
          <w:sz w:val="24"/>
        </w:rPr>
        <w:t>tidak</w:t>
      </w:r>
      <w:r>
        <w:rPr>
          <w:rFonts w:ascii="Times New Roman" w:hAnsi="Times New Roman"/>
          <w:i w:val="0"/>
          <w:sz w:val="24"/>
        </w:rPr>
        <w:t xml:space="preserve"> ditujukan dan tidak boleh digunakan untuk keputusan admisi, triase, penentuan prioritas tempat tidur, pembatasan terapi, maupun percepatan pemulangan pasien secara individual. Variabel kelas rawat JKN dipertahankan justru untuk mendeteksi potensi ketidakadilan struktural tarif; bila ditemukan kelompok tertentu secara sistematis mengalami </w:t>
      </w:r>
      <w:r>
        <w:rPr>
          <w:rFonts w:ascii="Times New Roman" w:hAnsi="Times New Roman"/>
          <w:i/>
          <w:sz w:val="24"/>
        </w:rPr>
        <w:t>under-reimbursement</w:t>
      </w:r>
      <w:r>
        <w:rPr>
          <w:rFonts w:ascii="Times New Roman" w:hAnsi="Times New Roman"/>
          <w:i w:val="0"/>
          <w:sz w:val="24"/>
        </w:rPr>
        <w:t>, implikasinya adalah peninjauan tarif, bukan seleksi pasien. Integrasi model ke dalam sistem informasi rumah sakit memerlukan persetujuan etik tersendiri dan mekanisme audit berkala.²⁴</w:t>
      </w:r>
    </w:p>
    <w:sectPr w:rsidR="00FC693F" w:rsidRPr="0006063C" w:rsidSect="00034616">
      <w:pgSz w:w="12189" w:h="16838"/>
      <w:pgMar w:top="1701" w:right="1701" w:bottom="1701" w:left="1701" w:header="850"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