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DAFTAR REFERENSI</w:t>
      </w:r>
    </w:p>
    <w:p/>
    <w:p>
      <w:pPr>
        <w:spacing w:line="276" w:lineRule="auto" w:after="120"/>
        <w:ind w:left="510" w:hanging="510"/>
        <w:jc w:val="both"/>
      </w:pPr>
      <w:r>
        <w:rPr>
          <w:rFonts w:ascii="Times New Roman" w:hAnsi="Times New Roman"/>
          <w:sz w:val="22"/>
        </w:rPr>
        <w:t>1. Carrandi A, Liew C, Maiden MJ, Litton E, Taylor C, Thompson K, et al. Costs of Australian intensive care: a systematic review. Crit Care Resusc. 2024;26(2):153-8. doi: 10.1016/j.ccrj.2024.03.003</w:t>
      </w:r>
    </w:p>
    <w:p>
      <w:pPr>
        <w:spacing w:line="276" w:lineRule="auto" w:after="120"/>
        <w:ind w:left="510" w:hanging="510"/>
        <w:jc w:val="both"/>
      </w:pPr>
      <w:r>
        <w:rPr>
          <w:rFonts w:ascii="Times New Roman" w:hAnsi="Times New Roman"/>
          <w:sz w:val="22"/>
        </w:rPr>
        <w:t>2. Nguyen CL, Tse WC, Carney TM, Carrandi A, Fagery M, Higgins AM. Health economic evaluations in intensive care: an updated systematic review. Crit Care Explor. 2025;7(7):e1288. doi: 10.1097/CCE.0000000000001288</w:t>
      </w:r>
    </w:p>
    <w:p>
      <w:pPr>
        <w:spacing w:line="276" w:lineRule="auto" w:after="120"/>
        <w:ind w:left="510" w:hanging="510"/>
        <w:jc w:val="both"/>
      </w:pPr>
      <w:r>
        <w:rPr>
          <w:rFonts w:ascii="Times New Roman" w:hAnsi="Times New Roman"/>
          <w:sz w:val="22"/>
        </w:rPr>
        <w:t>3. Nur MI, Sudjud RW, Pison OM. Pengaruh derajat keparahan penyakit (skor APACHE II) terhadap utilisasi sumber daya (skor TISS-28) dan biaya perawatan pasien di ICU. J Anest Perioperatif. 2024;12(2):109-18. doi: 10.15851/jap.v12n2.3740</w:t>
      </w:r>
    </w:p>
    <w:p>
      <w:pPr>
        <w:spacing w:line="276" w:lineRule="auto" w:after="120"/>
        <w:ind w:left="510" w:hanging="510"/>
        <w:jc w:val="both"/>
      </w:pPr>
      <w:r>
        <w:rPr>
          <w:rFonts w:ascii="Times New Roman" w:hAnsi="Times New Roman"/>
          <w:sz w:val="22"/>
        </w:rPr>
        <w:t>4. Skarayadi O, Endarti D, Satibi, Mukti AG. Discrepancies in hospital cost and Indonesia's case-based groups: a literature review. J Manaj Pelayanan Farmasi. 2025;15(4):233-42. doi: 10.22146/jmpf.95970</w:t>
      </w:r>
    </w:p>
    <w:p>
      <w:pPr>
        <w:spacing w:line="276" w:lineRule="auto" w:after="120"/>
        <w:ind w:left="510" w:hanging="510"/>
        <w:jc w:val="both"/>
      </w:pPr>
      <w:r>
        <w:rPr>
          <w:rFonts w:ascii="Times New Roman" w:hAnsi="Times New Roman"/>
          <w:sz w:val="22"/>
        </w:rPr>
        <w:t>5. Halim IJ, Manggala SK, Kaunang WFP. The economic burden on private hospitals in treating ICU vs non-ICU patients: investigating the financial gap between Indonesian Case Base Groups (INA-CBG) rates and hospital billing. Proc Book ICE on IMERI FKUI. 2025;8:1-9. doi: 10.69951/proceedingsbookoficeonimeri.v8i-.241</w:t>
      </w:r>
    </w:p>
    <w:p>
      <w:pPr>
        <w:spacing w:line="276" w:lineRule="auto" w:after="120"/>
        <w:ind w:left="510" w:hanging="510"/>
        <w:jc w:val="both"/>
      </w:pPr>
      <w:r>
        <w:rPr>
          <w:rFonts w:ascii="Times New Roman" w:hAnsi="Times New Roman"/>
          <w:sz w:val="22"/>
        </w:rPr>
        <w:t>6. Fitri DE, Sundari S. The cost difference of hospital rates and Indonesia Case Base Grup (INA-CBGs) rates of inpatient with National Health Insurance scheme at private hospital. J Aisyah J Ilmu Kesehat. 2023;8(2):701-8. doi: 10.30604/jika.v8i2.1986</w:t>
      </w:r>
    </w:p>
    <w:p>
      <w:pPr>
        <w:spacing w:line="276" w:lineRule="auto" w:after="120"/>
        <w:ind w:left="510" w:hanging="510"/>
        <w:jc w:val="both"/>
      </w:pPr>
      <w:r>
        <w:rPr>
          <w:rFonts w:ascii="Times New Roman" w:hAnsi="Times New Roman"/>
          <w:sz w:val="22"/>
        </w:rPr>
        <w:t>7. Ikumi S, Shiga T, Takaya E, Sonobe S, Kaiho Y, Ito Y, et al. Prediction of financial deficits of postoperative patients in the intensive care unit using machine learning. JA Clin Rep. 2025;11:57. doi: 10.1186/s40981-025-00819-3</w:t>
      </w:r>
    </w:p>
    <w:p>
      <w:pPr>
        <w:spacing w:line="276" w:lineRule="auto" w:after="120"/>
        <w:ind w:left="510" w:hanging="510"/>
        <w:jc w:val="both"/>
      </w:pPr>
      <w:r>
        <w:rPr>
          <w:rFonts w:ascii="Times New Roman" w:hAnsi="Times New Roman"/>
          <w:sz w:val="22"/>
        </w:rPr>
        <w:t>8. Kumagai N, Jakovljević M. Random forest model used to predict the medical out-of-pocket costs of hypertensive patients. Front Public Health. 2024;12:1382354. doi: 10.3389/fpubh.2024.1382354</w:t>
      </w:r>
    </w:p>
    <w:p>
      <w:pPr>
        <w:spacing w:line="276" w:lineRule="auto" w:after="120"/>
        <w:ind w:left="510" w:hanging="510"/>
        <w:jc w:val="both"/>
      </w:pPr>
      <w:r>
        <w:rPr>
          <w:rFonts w:ascii="Times New Roman" w:hAnsi="Times New Roman"/>
          <w:sz w:val="22"/>
        </w:rPr>
        <w:t>9. Ma Y, Tu X, Luo X, Shi L, Wang S, Huang L, et al. Machine-learning-based cost prediction models for inpatients with mental disorders in China. BMC Psychiatry. 2025;25:33. doi: 10.1186/s12888-024-06358-y</w:t>
      </w:r>
    </w:p>
    <w:p>
      <w:pPr>
        <w:spacing w:line="276" w:lineRule="auto" w:after="120"/>
        <w:ind w:left="510" w:hanging="510"/>
        <w:jc w:val="both"/>
      </w:pPr>
      <w:r>
        <w:rPr>
          <w:rFonts w:ascii="Times New Roman" w:hAnsi="Times New Roman"/>
          <w:sz w:val="22"/>
        </w:rPr>
        <w:t>10. Langenberger B, Schulte T, Groene O. The application of machine learning to predict high-cost patients: a performance-comparison of different models using healthcare claims data. PLoS One. 2023;18(1):e0279540. doi: 10.1371/journal.pone.0279540</w:t>
      </w:r>
    </w:p>
    <w:p>
      <w:pPr>
        <w:spacing w:line="276" w:lineRule="auto" w:after="120"/>
        <w:ind w:left="510" w:hanging="510"/>
        <w:jc w:val="both"/>
      </w:pPr>
      <w:r>
        <w:rPr>
          <w:rFonts w:ascii="Times New Roman" w:hAnsi="Times New Roman"/>
          <w:sz w:val="22"/>
        </w:rPr>
        <w:t>11. Halim IJ. Cost analysis of intensive care unit (ICU): skor klinis awal masuk ICU sebagai prediktor total tagihan perawatan di ICU Kanigara RSUPN Dr. Cipto Mangunkusumo [tesis]. Jakarta: Program Studi Anestesiologi dan Terapi Intensif, Fakultas Kedokteran Universitas Indonesia; 2026. Tidak dipublikasikan.</w:t>
      </w:r>
    </w:p>
    <w:p>
      <w:pPr>
        <w:spacing w:line="276" w:lineRule="auto" w:after="120"/>
        <w:ind w:left="510" w:hanging="510"/>
        <w:jc w:val="both"/>
      </w:pPr>
      <w:r>
        <w:rPr>
          <w:rFonts w:ascii="Times New Roman" w:hAnsi="Times New Roman"/>
          <w:sz w:val="22"/>
        </w:rPr>
        <w:t>12. Meirina, Sedono R, Irawany V, Manggala SK. The relationship between mSOFA and the ratio of treatment costs to BPJS coverage in medical cases in the ICU at Dr. Cipto Mangunkusumo National General Hospital: a cost analysis study. J Sehat Indones. 2026;8(2):489-502. doi: 10.59141/-.v8i2.528</w:t>
      </w:r>
    </w:p>
    <w:p>
      <w:pPr>
        <w:spacing w:line="276" w:lineRule="auto" w:after="120"/>
        <w:ind w:left="510" w:hanging="510"/>
        <w:jc w:val="both"/>
      </w:pPr>
      <w:r>
        <w:rPr>
          <w:rFonts w:ascii="Times New Roman" w:hAnsi="Times New Roman"/>
          <w:sz w:val="22"/>
        </w:rPr>
        <w:t>13. Kaier K, Heister T, Motschall E, Hehn P, Bluhmki T, Wolkewitz M. Impact of mechanical ventilation on the daily costs of ICU care: a systematic review and meta regression. Epidemiol Infect. 2019;147:e314. doi: 10.1017/S0950268819001900</w:t>
      </w:r>
    </w:p>
    <w:p>
      <w:pPr>
        <w:spacing w:line="276" w:lineRule="auto" w:after="120"/>
        <w:ind w:left="510" w:hanging="510"/>
        <w:jc w:val="both"/>
      </w:pPr>
      <w:r>
        <w:rPr>
          <w:rFonts w:ascii="Times New Roman" w:hAnsi="Times New Roman"/>
          <w:sz w:val="22"/>
        </w:rPr>
        <w:t>14. Jia L, Wang P, Li C, Xie J. The efficacy and safety of vasopressors for septic shock patients: a systemic review and network meta-analysis. Shock. 2023;60(6):746-52. doi: 10.1097/SHK.0000000000002193</w:t>
      </w:r>
    </w:p>
    <w:p>
      <w:pPr>
        <w:spacing w:line="276" w:lineRule="auto" w:after="120"/>
        <w:ind w:left="510" w:hanging="510"/>
        <w:jc w:val="both"/>
      </w:pPr>
      <w:r>
        <w:rPr>
          <w:rFonts w:ascii="Times New Roman" w:hAnsi="Times New Roman"/>
          <w:sz w:val="22"/>
        </w:rPr>
        <w:t>15. Shander A, Hofmann A, Ozawa S, Theusinger OM, Gombotz H, Spahn DR. Activity-based costs of blood transfusions in surgical patients at four hospitals. Transfusion. 2010;50(4):753-65. doi: 10.1111/j.1537-2995.2009.02518.x</w:t>
      </w:r>
    </w:p>
    <w:p>
      <w:pPr>
        <w:spacing w:line="276" w:lineRule="auto" w:after="120"/>
        <w:ind w:left="510" w:hanging="510"/>
        <w:jc w:val="both"/>
      </w:pPr>
      <w:r>
        <w:rPr>
          <w:rFonts w:ascii="Times New Roman" w:hAnsi="Times New Roman"/>
          <w:sz w:val="22"/>
        </w:rPr>
        <w:t>16. Valverde Filho MT, Aragão GVP, Castro ILV, Santana JO, Codes L, Zollinger CC, et al. Postoperative outcome of patients admitted to the intensive care unit after elective and emergency laparotomy. Arq Bras Cir Dig. 2025;38:e1879. doi: 10.1590/0102-67202025000010e1879</w:t>
      </w:r>
    </w:p>
    <w:p>
      <w:pPr>
        <w:spacing w:line="276" w:lineRule="auto" w:after="120"/>
        <w:ind w:left="510" w:hanging="510"/>
        <w:jc w:val="both"/>
      </w:pPr>
      <w:r>
        <w:rPr>
          <w:rFonts w:ascii="Times New Roman" w:hAnsi="Times New Roman"/>
          <w:sz w:val="22"/>
        </w:rPr>
        <w:t>17. Kiekkas P, Tzenalis A, Gklava V, Stefanopoulos N, Voyagis G, Aretha D. Delayed admission to the intensive care unit and mortality of critically ill adults: systematic review and meta-analysis. Biomed Res Int. 2022;2022:4083494. doi: 10.1155/2022/4083494</w:t>
      </w:r>
    </w:p>
    <w:p>
      <w:pPr>
        <w:spacing w:line="276" w:lineRule="auto" w:after="120"/>
        <w:ind w:left="510" w:hanging="510"/>
        <w:jc w:val="both"/>
      </w:pPr>
      <w:r>
        <w:rPr>
          <w:rFonts w:ascii="Times New Roman" w:hAnsi="Times New Roman"/>
          <w:sz w:val="22"/>
        </w:rPr>
        <w:t>18. Vincent JL, Moreno R, Takala J, Willatts S, De Mendonça A, Bruining H, et al. The SOFA (Sepsis-related Organ Failure Assessment) score to describe organ dysfunction/failure. Intensive Care Med. 1996;22(7):707-10. doi: 10.1007/BF01709751</w:t>
      </w:r>
    </w:p>
    <w:p>
      <w:pPr>
        <w:spacing w:line="276" w:lineRule="auto" w:after="120"/>
        <w:ind w:left="510" w:hanging="510"/>
        <w:jc w:val="both"/>
      </w:pPr>
      <w:r>
        <w:rPr>
          <w:rFonts w:ascii="Times New Roman" w:hAnsi="Times New Roman"/>
          <w:sz w:val="22"/>
        </w:rPr>
        <w:t>19. Grissom CK, Brown SM, Kuttler KG, Boltax JP, Jones J, Jephson AR, et al. A modified sequential organ failure assessment score for critical care triage. Disaster Med Public Health Prep. 2010;4(4):277-84. doi: 10.1001/dmp.2010.40</w:t>
      </w:r>
    </w:p>
    <w:p>
      <w:pPr>
        <w:spacing w:line="276" w:lineRule="auto" w:after="120"/>
        <w:ind w:left="510" w:hanging="510"/>
        <w:jc w:val="both"/>
      </w:pPr>
      <w:r>
        <w:rPr>
          <w:rFonts w:ascii="Times New Roman" w:hAnsi="Times New Roman"/>
          <w:sz w:val="22"/>
        </w:rPr>
        <w:t>20. Verma A, Sanaiha Y, Hadaya J, Maltagliati AJ, Tran Z, Ramezani R, et al. Parsimonious machine learning models to predict resource use in cardiac surgery across a statewide collaborative. JTCVS Open. 2022;11:214-28. doi: 10.1016/j.xjon.2022.04.017</w:t>
      </w:r>
    </w:p>
    <w:p>
      <w:pPr>
        <w:spacing w:line="276" w:lineRule="auto" w:after="120"/>
        <w:ind w:left="510" w:hanging="510"/>
        <w:jc w:val="both"/>
      </w:pPr>
      <w:r>
        <w:rPr>
          <w:rFonts w:ascii="Times New Roman" w:hAnsi="Times New Roman"/>
          <w:sz w:val="22"/>
        </w:rPr>
        <w:t>21. Sukmark T, Lumlertgul N, Praditpornsilpa K, Tungsanga K, Eiam-Ong S, Srisawat N. THAI-ICU score as a simplified severity score for critically ill patients in a resource limited setting: result from SEA-AKI study group. J Crit Care. 2020;55:56-63. doi: 10.1016/j.jcrc.2019.10.010</w:t>
      </w:r>
    </w:p>
    <w:p>
      <w:pPr>
        <w:spacing w:line="276" w:lineRule="auto" w:after="120"/>
        <w:ind w:left="510" w:hanging="510"/>
        <w:jc w:val="both"/>
      </w:pPr>
      <w:r>
        <w:rPr>
          <w:rFonts w:ascii="Times New Roman" w:hAnsi="Times New Roman"/>
          <w:sz w:val="22"/>
        </w:rPr>
        <w:t>22. Riviello ED, Kiviri W, Fowler RA, Mueller A, Novack V, Banner-Goodspeed VM, et al. Predicting mortality in low-income country ICUs: the Rwanda Mortality Probability Model (R-MPM). PLoS One. 2016;11(5):e0155858. doi: 10.1371/journal.pone.0155858</w:t>
      </w:r>
    </w:p>
    <w:p>
      <w:pPr>
        <w:spacing w:line="276" w:lineRule="auto" w:after="120"/>
        <w:ind w:left="510" w:hanging="510"/>
        <w:jc w:val="both"/>
      </w:pPr>
      <w:r>
        <w:rPr>
          <w:rFonts w:ascii="Times New Roman" w:hAnsi="Times New Roman"/>
          <w:sz w:val="22"/>
        </w:rPr>
        <w:t>23. Brotherton BJ, Mbugua E, Halestrap P, Wairimu B, McMahon I, Kanyari I, et al. Association of clinical prediction scores with hospital mortality in an adult medical and surgical intensive care unit in Kenya. Front Med. 2023;10:1127672. doi: 10.3389/fmed.2023.1127672</w:t>
      </w:r>
    </w:p>
    <w:p>
      <w:pPr>
        <w:spacing w:line="276" w:lineRule="auto" w:after="120"/>
        <w:ind w:left="510" w:hanging="510"/>
        <w:jc w:val="both"/>
      </w:pPr>
      <w:r>
        <w:rPr>
          <w:rFonts w:ascii="Times New Roman" w:hAnsi="Times New Roman"/>
          <w:sz w:val="22"/>
        </w:rPr>
        <w:t>24. Collins GS, Moons KGM, Dhiman P, Riley RD, Beam AL, Van Calster B, et al. TRIPOD+AI statement: updated guidance for reporting clinical prediction models that use regression or machine learning methods. BMJ. 2024;385:e078378. doi: 10.1136/bmj-2023-078378</w:t>
      </w:r>
    </w:p>
    <w:p>
      <w:pPr>
        <w:spacing w:line="276" w:lineRule="auto" w:after="120"/>
        <w:ind w:left="510" w:hanging="510"/>
        <w:jc w:val="both"/>
      </w:pPr>
      <w:r>
        <w:rPr>
          <w:rFonts w:ascii="Times New Roman" w:hAnsi="Times New Roman"/>
          <w:sz w:val="22"/>
        </w:rPr>
        <w:t>25. Chen T, Guestrin C. XGBoost: a scalable tree boosting system. In: Proceedings of the 22nd ACM SIGKDD International Conference on Knowledge Discovery and Data Mining. San Francisco: ACM; 2016. p. 785-94. doi: 10.1145/2939672.2939785</w:t>
      </w:r>
    </w:p>
    <w:p>
      <w:pPr>
        <w:spacing w:line="276" w:lineRule="auto" w:after="120"/>
        <w:ind w:left="510" w:hanging="510"/>
        <w:jc w:val="both"/>
      </w:pPr>
      <w:r>
        <w:rPr>
          <w:rFonts w:ascii="Times New Roman" w:hAnsi="Times New Roman"/>
          <w:sz w:val="22"/>
        </w:rPr>
        <w:t>26. Breiman L. Random forests. Mach Learn. 2001;45(1):5-32. doi: 10.1023/A:1010933404324</w:t>
      </w:r>
    </w:p>
    <w:p>
      <w:pPr>
        <w:spacing w:line="276" w:lineRule="auto" w:after="120"/>
        <w:ind w:left="510" w:hanging="510"/>
        <w:jc w:val="both"/>
      </w:pPr>
      <w:r>
        <w:rPr>
          <w:rFonts w:ascii="Times New Roman" w:hAnsi="Times New Roman"/>
          <w:sz w:val="22"/>
        </w:rPr>
        <w:t>27. Steyerberg EW. Clinical prediction models: a practical approach to development, validation, and updating. 2nd ed. Cham: Springer; 2019. doi: 10.1007/978-3-030-16399-0</w:t>
      </w:r>
    </w:p>
    <w:p>
      <w:pPr>
        <w:spacing w:line="276" w:lineRule="auto" w:after="120"/>
        <w:ind w:left="510" w:hanging="510"/>
        <w:jc w:val="both"/>
      </w:pPr>
      <w:r>
        <w:rPr>
          <w:rFonts w:ascii="Times New Roman" w:hAnsi="Times New Roman"/>
          <w:sz w:val="22"/>
        </w:rPr>
        <w:t>28. Christodoulou E, Ma J, Collins GS, Steyerberg EW, Verbakel JY, Van Calster B. A systematic review shows no performance benefit of machine learning over logistic regression for clinical prediction models. J Clin Epidemiol. 2019;110:12-22. doi: 10.1016/j.jclinepi.2019.02.004</w:t>
      </w:r>
    </w:p>
    <w:p>
      <w:pPr>
        <w:spacing w:line="276" w:lineRule="auto" w:after="120"/>
        <w:ind w:left="510" w:hanging="510"/>
        <w:jc w:val="both"/>
      </w:pPr>
      <w:r>
        <w:rPr>
          <w:rFonts w:ascii="Times New Roman" w:hAnsi="Times New Roman"/>
          <w:sz w:val="22"/>
        </w:rPr>
        <w:t>29. Lundberg SM, Lee SI. A unified approach to interpreting model predictions. In: Advances in Neural Information Processing Systems 30 (NIPS 2017). Long Beach: Curran Associates; 2017. p. 4765-74.</w:t>
      </w:r>
    </w:p>
    <w:p>
      <w:pPr>
        <w:spacing w:line="276" w:lineRule="auto" w:after="120"/>
        <w:ind w:left="510" w:hanging="510"/>
        <w:jc w:val="both"/>
      </w:pPr>
      <w:r>
        <w:rPr>
          <w:rFonts w:ascii="Times New Roman" w:hAnsi="Times New Roman"/>
          <w:sz w:val="22"/>
        </w:rPr>
        <w:t>30. Lundberg SM, Erion G, Chen H, DeGrave A, Prutkin JM, Nair B, et al. From local explanations to global understanding with explainable AI for trees. Nat Mach Intell. 2020;2(1):56-67. doi: 10.1038/s42256-019-0138-9</w:t>
      </w:r>
    </w:p>
    <w:p>
      <w:pPr>
        <w:spacing w:line="276" w:lineRule="auto" w:after="120"/>
        <w:ind w:left="510" w:hanging="510"/>
        <w:jc w:val="both"/>
      </w:pPr>
      <w:r>
        <w:rPr>
          <w:rFonts w:ascii="Times New Roman" w:hAnsi="Times New Roman"/>
          <w:sz w:val="22"/>
        </w:rPr>
        <w:t>31. Collins GS, Reitsma JB, Altman DG, Moons KGM. Transparent Reporting of a multivariable prediction model for Individual Prognosis Or Diagnosis (TRIPOD): the TRIPOD Statement. Ann Intern Med. 2015;162(1):55-63. doi: 10.7326/M14-0697</w:t>
      </w:r>
    </w:p>
    <w:p>
      <w:pPr>
        <w:spacing w:line="276" w:lineRule="auto" w:after="120"/>
        <w:ind w:left="510" w:hanging="510"/>
        <w:jc w:val="both"/>
      </w:pPr>
      <w:r>
        <w:rPr>
          <w:rFonts w:ascii="Times New Roman" w:hAnsi="Times New Roman"/>
          <w:sz w:val="22"/>
        </w:rPr>
        <w:t>32. Riley RD, Ensor J, Snell KIE, Harrell FE, Martin GP, Reitsma JB, et al. Calculating the sample size required for developing a clinical prediction model. BMJ. 2020;368:m441. doi: 10.1136/bmj.m441</w:t>
      </w:r>
    </w:p>
    <w:p>
      <w:pPr>
        <w:spacing w:line="276" w:lineRule="auto" w:after="120"/>
        <w:ind w:left="510" w:hanging="510"/>
        <w:jc w:val="both"/>
      </w:pPr>
      <w:r>
        <w:rPr>
          <w:rFonts w:ascii="Times New Roman" w:hAnsi="Times New Roman"/>
          <w:sz w:val="22"/>
        </w:rPr>
        <w:t>33. Andersen R, Newman JF. Societal and individual determinants of medical care utilization in the United States. Milbank Mem Fund Q Health Soc. 1973;51(1):95-124.</w:t>
      </w:r>
    </w:p>
    <w:p>
      <w:pPr>
        <w:spacing w:line="276" w:lineRule="auto" w:after="120"/>
        <w:ind w:left="510" w:hanging="510"/>
        <w:jc w:val="both"/>
      </w:pPr>
      <w:r>
        <w:rPr>
          <w:rFonts w:ascii="Times New Roman" w:hAnsi="Times New Roman"/>
          <w:sz w:val="22"/>
        </w:rPr>
        <w:t>34. Donabedian A. The quality of care: how can it be assessed? JAMA. 1988;260(12):1743-8. doi: 10.1001/jama.260.12.1743</w:t>
      </w:r>
    </w:p>
    <w:sectPr w:rsidR="00FC693F" w:rsidRPr="0006063C" w:rsidSect="00034616">
      <w:pgSz w:w="12189" w:h="16838"/>
      <w:pgMar w:top="1701" w:right="1701" w:bottom="1701" w:left="1701" w:header="850" w:footer="113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