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center"/>
      </w:pPr>
      <w:r>
        <w:rPr>
          <w:rFonts w:ascii="Times New Roman" w:hAnsi="Times New Roman"/>
          <w:b/>
          <w:sz w:val="24"/>
        </w:rPr>
        <w:t>LAMPIRAN</w:t>
      </w:r>
    </w:p>
    <w:p>
      <w:pPr>
        <w:spacing w:after="120" w:before="0"/>
      </w:pPr>
      <w:r>
        <w:rPr>
          <w:rFonts w:ascii="Times New Roman" w:hAnsi="Times New Roman"/>
          <w:b/>
          <w:sz w:val="24"/>
        </w:rPr>
        <w:t>Lampiran 1  Tabel Kosong (Dummy Tables)</w:t>
      </w:r>
    </w:p>
    <w:p>
      <w:pPr>
        <w:spacing w:line="360" w:lineRule="auto" w:before="200" w:after="80"/>
        <w:jc w:val="left"/>
      </w:pPr>
      <w:r>
        <w:rPr>
          <w:rFonts w:ascii="Times New Roman" w:hAnsi="Times New Roman"/>
          <w:b/>
          <w:sz w:val="22"/>
        </w:rPr>
        <w:t>Tabel 4.1 Karakteristik Subjek Penelitian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197"/>
        <w:gridCol w:w="2197"/>
        <w:gridCol w:w="2197"/>
        <w:gridCol w:w="2197"/>
      </w:tblGrid>
      <w:tr>
        <w:tc>
          <w:tcPr>
            <w:tcW w:type="dxa" w:w="3061"/>
            <w:tcBorders>
              <w:bottom w:val="single" w:sz="8" w:color="000000"/>
            </w:tcBorders>
          </w:tcPr>
          <w:p>
            <w:pPr>
              <w:spacing w:after="40" w:line="240" w:lineRule="auto"/>
            </w:pPr>
            <w:r>
              <w:rPr>
                <w:rFonts w:ascii="Times New Roman" w:hAnsi="Times New Roman"/>
                <w:b/>
                <w:sz w:val="18"/>
              </w:rPr>
              <w:t>Variabel</w:t>
            </w:r>
          </w:p>
        </w:tc>
        <w:tc>
          <w:tcPr>
            <w:tcW w:type="dxa" w:w="1928"/>
            <w:tcBorders>
              <w:bottom w:val="single" w:sz="8" w:color="000000"/>
            </w:tcBorders>
          </w:tcPr>
          <w:p>
            <w:pPr>
              <w:spacing w:after="40" w:line="240" w:lineRule="auto"/>
            </w:pPr>
            <w:r>
              <w:rPr>
                <w:rFonts w:ascii="Times New Roman" w:hAnsi="Times New Roman"/>
                <w:b/>
                <w:sz w:val="18"/>
              </w:rPr>
              <w:t>Under-reimbursement</w:t>
              <w:br/>
              <w:t>Tidak (n = ...)</w:t>
            </w:r>
          </w:p>
        </w:tc>
        <w:tc>
          <w:tcPr>
            <w:tcW w:type="dxa" w:w="1928"/>
            <w:tcBorders>
              <w:bottom w:val="single" w:sz="8" w:color="000000"/>
            </w:tcBorders>
          </w:tcPr>
          <w:p>
            <w:pPr>
              <w:spacing w:after="40" w:line="240" w:lineRule="auto"/>
            </w:pPr>
            <w:r>
              <w:rPr>
                <w:rFonts w:ascii="Times New Roman" w:hAnsi="Times New Roman"/>
                <w:b/>
                <w:sz w:val="18"/>
              </w:rPr>
              <w:t>Under-reimbursement</w:t>
              <w:br/>
              <w:t>Ya (n = ...)</w:t>
            </w:r>
          </w:p>
        </w:tc>
        <w:tc>
          <w:tcPr>
            <w:tcW w:type="dxa" w:w="1304"/>
            <w:tcBorders>
              <w:bottom w:val="single" w:sz="8" w:color="000000"/>
            </w:tcBorders>
          </w:tcPr>
          <w:p>
            <w:pPr>
              <w:spacing w:after="40" w:line="240" w:lineRule="auto"/>
            </w:pPr>
            <w:r>
              <w:rPr>
                <w:rFonts w:ascii="Times New Roman" w:hAnsi="Times New Roman"/>
                <w:b/>
                <w:sz w:val="18"/>
              </w:rPr>
              <w:t>Nilai p</w:t>
            </w:r>
          </w:p>
        </w:tc>
      </w:tr>
      <w:tr>
        <w:tc>
          <w:tcPr>
            <w:tcW w:type="dxa" w:w="3061"/>
          </w:tcPr>
          <w:p>
            <w:pPr>
              <w:spacing w:after="40" w:line="240" w:lineRule="auto"/>
            </w:pPr>
            <w:r>
              <w:rPr>
                <w:rFonts w:ascii="Times New Roman" w:hAnsi="Times New Roman"/>
                <w:sz w:val="18"/>
              </w:rPr>
              <w:t>Usia (tahun)</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Jenis kelamin,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Laki-laki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Perempuan</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Kelas rawat JKN,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Kelas 1</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Kelas 2</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Kelas 3</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Tipe admisi ICU,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Elektif</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Emergensi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Durasi rawat pra-ICU (hari)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Ventilasi mekanik, n (%)</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Vasopresor/inotropik, n (%)</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Transfusi darah, n (%)</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Pembedahan 24 jam,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Tidak</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Elektif</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Emergensi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MAP terendah (mmHg)</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SpO₂/FiO₂ terendah</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GCS terendah</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Kreatinin tertinggi (mg/dL)</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Kategori diagnosis utama,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Respirasi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Kardiovaskular</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Neurologi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Sepsis/infeksi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Bedah/trauma</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Lain</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Total tagihan episode (Rp)</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Klaim INA-CBGs episode (Rp)</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Rasio tagihan/klaim</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bl>
    <w:p>
      <w:pPr>
        <w:spacing w:after="20" w:line="240" w:lineRule="auto"/>
      </w:pPr>
      <w:r>
        <w:rPr>
          <w:rFonts w:ascii="Times New Roman" w:hAnsi="Times New Roman"/>
          <w:sz w:val="18"/>
        </w:rPr>
        <w:t>*   Data disajikan dalam rerata ± simpang baku</w:t>
      </w:r>
    </w:p>
    <w:p>
      <w:pPr>
        <w:spacing w:after="20" w:line="240" w:lineRule="auto"/>
      </w:pPr>
      <w:r>
        <w:rPr>
          <w:rFonts w:ascii="Times New Roman" w:hAnsi="Times New Roman"/>
          <w:sz w:val="18"/>
        </w:rPr>
        <w:t>**  Data disajikan dalam median (rentang interkuartil)</w:t>
      </w:r>
    </w:p>
    <w:p>
      <w:pPr>
        <w:spacing w:line="360" w:lineRule="auto" w:before="200" w:after="80"/>
        <w:jc w:val="left"/>
      </w:pPr>
      <w:r>
        <w:rPr>
          <w:rFonts w:ascii="Times New Roman" w:hAnsi="Times New Roman"/>
          <w:b/>
          <w:sz w:val="22"/>
        </w:rPr>
        <w:t>Tabel 4.2 Perbandingan Performa Model Prediksi</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64"/>
        <w:gridCol w:w="1464"/>
        <w:gridCol w:w="1464"/>
        <w:gridCol w:w="1464"/>
        <w:gridCol w:w="1464"/>
        <w:gridCol w:w="1464"/>
      </w:tblGrid>
      <w:tr>
        <w:tc>
          <w:tcPr>
            <w:tcW w:type="dxa" w:w="1701"/>
            <w:tcBorders>
              <w:bottom w:val="single" w:sz="8" w:color="000000"/>
            </w:tcBorders>
          </w:tcPr>
          <w:p>
            <w:pPr>
              <w:spacing w:after="40" w:line="240" w:lineRule="auto"/>
            </w:pPr>
            <w:r>
              <w:rPr>
                <w:rFonts w:ascii="Times New Roman" w:hAnsi="Times New Roman"/>
                <w:b/>
                <w:sz w:val="18"/>
              </w:rPr>
              <w:t>Metrik</w:t>
            </w:r>
          </w:p>
        </w:tc>
        <w:tc>
          <w:tcPr>
            <w:tcW w:type="dxa" w:w="1304"/>
            <w:tcBorders>
              <w:bottom w:val="single" w:sz="8" w:color="000000"/>
            </w:tcBorders>
          </w:tcPr>
          <w:p>
            <w:pPr>
              <w:spacing w:after="40" w:line="240" w:lineRule="auto"/>
            </w:pPr>
            <w:r>
              <w:rPr>
                <w:rFonts w:ascii="Times New Roman" w:hAnsi="Times New Roman"/>
                <w:b/>
                <w:sz w:val="18"/>
              </w:rPr>
              <w:t>XGBoost</w:t>
            </w:r>
          </w:p>
        </w:tc>
        <w:tc>
          <w:tcPr>
            <w:tcW w:type="dxa" w:w="1361"/>
            <w:tcBorders>
              <w:bottom w:val="single" w:sz="8" w:color="000000"/>
            </w:tcBorders>
          </w:tcPr>
          <w:p>
            <w:pPr>
              <w:spacing w:after="40" w:line="240" w:lineRule="auto"/>
            </w:pPr>
            <w:r>
              <w:rPr>
                <w:rFonts w:ascii="Times New Roman" w:hAnsi="Times New Roman"/>
                <w:b/>
                <w:sz w:val="18"/>
              </w:rPr>
              <w:t>Random Forest</w:t>
            </w:r>
          </w:p>
        </w:tc>
        <w:tc>
          <w:tcPr>
            <w:tcW w:type="dxa" w:w="1361"/>
            <w:tcBorders>
              <w:bottom w:val="single" w:sz="8" w:color="000000"/>
            </w:tcBorders>
          </w:tcPr>
          <w:p>
            <w:pPr>
              <w:spacing w:after="40" w:line="240" w:lineRule="auto"/>
            </w:pPr>
            <w:r>
              <w:rPr>
                <w:rFonts w:ascii="Times New Roman" w:hAnsi="Times New Roman"/>
                <w:b/>
                <w:sz w:val="18"/>
              </w:rPr>
              <w:t>Regresi Logistik</w:t>
              <w:br/>
              <w:t>Elastic Net</w:t>
            </w:r>
          </w:p>
        </w:tc>
        <w:tc>
          <w:tcPr>
            <w:tcW w:type="dxa" w:w="1928"/>
            <w:tcBorders>
              <w:bottom w:val="single" w:sz="8" w:color="000000"/>
            </w:tcBorders>
          </w:tcPr>
          <w:p>
            <w:pPr>
              <w:spacing w:after="40" w:line="240" w:lineRule="auto"/>
            </w:pPr>
            <w:r>
              <w:rPr>
                <w:rFonts w:ascii="Times New Roman" w:hAnsi="Times New Roman"/>
                <w:b/>
                <w:sz w:val="18"/>
              </w:rPr>
              <w:t>ΔAUC (IK 95%)</w:t>
              <w:br/>
              <w:t>terhadap regresi logistik</w:t>
            </w:r>
          </w:p>
        </w:tc>
        <w:tc>
          <w:tcPr>
            <w:tcW w:type="dxa" w:w="850"/>
            <w:tcBorders>
              <w:bottom w:val="single" w:sz="8" w:color="000000"/>
            </w:tcBorders>
          </w:tcPr>
          <w:p>
            <w:pPr>
              <w:spacing w:after="40" w:line="240" w:lineRule="auto"/>
            </w:pPr>
            <w:r>
              <w:rPr>
                <w:rFonts w:ascii="Times New Roman" w:hAnsi="Times New Roman"/>
                <w:b/>
                <w:sz w:val="18"/>
              </w:rPr>
              <w:t>Nilai p*</w:t>
            </w:r>
          </w:p>
        </w:tc>
      </w:tr>
      <w:tr>
        <w:tc>
          <w:tcPr>
            <w:tcW w:type="dxa" w:w="1701"/>
          </w:tcPr>
          <w:p>
            <w:pPr>
              <w:spacing w:after="40" w:line="240" w:lineRule="auto"/>
            </w:pPr>
            <w:r>
              <w:rPr>
                <w:rFonts w:ascii="Times New Roman" w:hAnsi="Times New Roman"/>
                <w:sz w:val="18"/>
              </w:rPr>
              <w:t>AUC-ROC (IK 95%)</w:t>
            </w:r>
          </w:p>
        </w:tc>
        <w:tc>
          <w:tcPr>
            <w:tcW w:type="dxa" w:w="1304"/>
          </w:tcPr>
          <w:p>
            <w:pPr>
              <w:spacing w:after="40" w:line="240" w:lineRule="auto"/>
            </w:pPr>
            <w:r>
              <w:rPr>
                <w:rFonts w:ascii="Times New Roman" w:hAnsi="Times New Roman"/>
                <w:sz w:val="18"/>
              </w:rPr>
              <w:t>... (...–...)</w:t>
            </w:r>
          </w:p>
        </w:tc>
        <w:tc>
          <w:tcPr>
            <w:tcW w:type="dxa" w:w="1361"/>
          </w:tcPr>
          <w:p>
            <w:pPr>
              <w:spacing w:after="40" w:line="240" w:lineRule="auto"/>
            </w:pPr>
            <w:r>
              <w:rPr>
                <w:rFonts w:ascii="Times New Roman" w:hAnsi="Times New Roman"/>
                <w:sz w:val="18"/>
              </w:rPr>
              <w:t>... (...–...)</w:t>
            </w:r>
          </w:p>
        </w:tc>
        <w:tc>
          <w:tcPr>
            <w:tcW w:type="dxa" w:w="1361"/>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PR-AUC</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Sensitivitas</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Spesifisitas</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Nilai duga positif</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Nilai duga negatif</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F1-score</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Brier score</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Calibration intercept</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Calibration slope</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bl>
    <w:p>
      <w:pPr>
        <w:spacing w:line="240" w:lineRule="auto"/>
      </w:pPr>
      <w:r>
        <w:rPr>
          <w:rFonts w:ascii="Times New Roman" w:hAnsi="Times New Roman"/>
          <w:sz w:val="18"/>
        </w:rPr>
        <w:t>*  Uji paired bootstrap (≥1.000 resamples) dengan koreksi Holm; perbandingan primer XGBoost vs regresi logistik elastic net.</w:t>
      </w:r>
    </w:p>
    <w:p>
      <w:pPr>
        <w:spacing w:line="360" w:lineRule="auto" w:before="200" w:after="80"/>
        <w:jc w:val="left"/>
      </w:pPr>
      <w:r>
        <w:rPr>
          <w:rFonts w:ascii="Times New Roman" w:hAnsi="Times New Roman"/>
          <w:b/>
          <w:sz w:val="22"/>
        </w:rPr>
        <w:t>Tabel 4.3 Peringkat Kontribusi Prediktor Berdasarkan Analisis SHAP</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197"/>
        <w:gridCol w:w="2197"/>
        <w:gridCol w:w="2197"/>
        <w:gridCol w:w="2197"/>
      </w:tblGrid>
      <w:tr>
        <w:tc>
          <w:tcPr>
            <w:tcW w:type="dxa" w:w="1020"/>
            <w:tcBorders>
              <w:bottom w:val="single" w:sz="8" w:color="000000"/>
            </w:tcBorders>
          </w:tcPr>
          <w:p>
            <w:pPr>
              <w:spacing w:after="40" w:line="240" w:lineRule="auto"/>
            </w:pPr>
            <w:r>
              <w:rPr>
                <w:rFonts w:ascii="Times New Roman" w:hAnsi="Times New Roman"/>
                <w:b/>
                <w:sz w:val="18"/>
              </w:rPr>
              <w:t>Peringkat</w:t>
            </w:r>
          </w:p>
        </w:tc>
        <w:tc>
          <w:tcPr>
            <w:tcW w:type="dxa" w:w="3061"/>
            <w:tcBorders>
              <w:bottom w:val="single" w:sz="8" w:color="000000"/>
            </w:tcBorders>
          </w:tcPr>
          <w:p>
            <w:pPr>
              <w:spacing w:after="40" w:line="240" w:lineRule="auto"/>
            </w:pPr>
            <w:r>
              <w:rPr>
                <w:rFonts w:ascii="Times New Roman" w:hAnsi="Times New Roman"/>
                <w:b/>
                <w:sz w:val="18"/>
              </w:rPr>
              <w:t>Variabel</w:t>
            </w:r>
          </w:p>
        </w:tc>
        <w:tc>
          <w:tcPr>
            <w:tcW w:type="dxa" w:w="1928"/>
            <w:tcBorders>
              <w:bottom w:val="single" w:sz="8" w:color="000000"/>
            </w:tcBorders>
          </w:tcPr>
          <w:p>
            <w:pPr>
              <w:spacing w:after="40" w:line="240" w:lineRule="auto"/>
            </w:pPr>
            <w:r>
              <w:rPr>
                <w:rFonts w:ascii="Times New Roman" w:hAnsi="Times New Roman"/>
                <w:b/>
                <w:sz w:val="18"/>
              </w:rPr>
              <w:t>Mean |SHAP value|</w:t>
            </w:r>
          </w:p>
        </w:tc>
        <w:tc>
          <w:tcPr>
            <w:tcW w:type="dxa" w:w="1928"/>
            <w:tcBorders>
              <w:bottom w:val="single" w:sz="8" w:color="000000"/>
            </w:tcBorders>
          </w:tcPr>
          <w:p>
            <w:pPr>
              <w:spacing w:after="40" w:line="240" w:lineRule="auto"/>
            </w:pPr>
            <w:r>
              <w:rPr>
                <w:rFonts w:ascii="Times New Roman" w:hAnsi="Times New Roman"/>
                <w:b/>
                <w:sz w:val="18"/>
              </w:rPr>
              <w:t>Arah Hubungan</w:t>
            </w:r>
          </w:p>
        </w:tc>
      </w:tr>
      <w:tr>
        <w:tc>
          <w:tcPr>
            <w:tcW w:type="dxa" w:w="1020"/>
          </w:tcPr>
          <w:p>
            <w:pPr>
              <w:spacing w:after="40" w:line="240" w:lineRule="auto"/>
            </w:pPr>
            <w:r>
              <w:rPr>
                <w:rFonts w:ascii="Times New Roman" w:hAnsi="Times New Roman"/>
                <w:sz w:val="18"/>
              </w:rPr>
              <w:t>1</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2</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3</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4</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5</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6</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7</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8</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9</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10</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bl>
    <w:p>
      <w:pPr>
        <w:spacing w:after="120" w:before="240"/>
      </w:pPr>
      <w:r>
        <w:rPr>
          <w:rFonts w:ascii="Times New Roman" w:hAnsi="Times New Roman"/>
          <w:b/>
          <w:sz w:val="24"/>
        </w:rPr>
        <w:t>Lampiran 2  Jadwal Penelitian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976"/>
        <w:gridCol w:w="976"/>
        <w:gridCol w:w="976"/>
        <w:gridCol w:w="976"/>
        <w:gridCol w:w="976"/>
        <w:gridCol w:w="976"/>
        <w:gridCol w:w="976"/>
        <w:gridCol w:w="976"/>
        <w:gridCol w:w="976"/>
      </w:tblGrid>
      <w:tr>
        <w:tc>
          <w:tcPr>
            <w:tcW w:type="dxa" w:w="3175"/>
            <w:tcBorders>
              <w:bottom w:val="single" w:sz="8" w:color="000000"/>
            </w:tcBorders>
          </w:tcPr>
          <w:p>
            <w:pPr>
              <w:spacing w:after="40" w:line="240" w:lineRule="auto"/>
            </w:pPr>
            <w:r>
              <w:rPr>
                <w:rFonts w:ascii="Times New Roman" w:hAnsi="Times New Roman"/>
                <w:b/>
                <w:sz w:val="18"/>
              </w:rPr>
              <w:t>Kegiatan</w:t>
            </w:r>
          </w:p>
        </w:tc>
        <w:tc>
          <w:tcPr>
            <w:tcW w:type="dxa" w:w="680"/>
            <w:tcBorders>
              <w:bottom w:val="single" w:sz="8" w:color="000000"/>
            </w:tcBorders>
          </w:tcPr>
          <w:p>
            <w:pPr>
              <w:spacing w:after="40" w:line="240" w:lineRule="auto"/>
            </w:pPr>
            <w:r>
              <w:rPr>
                <w:rFonts w:ascii="Times New Roman" w:hAnsi="Times New Roman"/>
                <w:b/>
                <w:sz w:val="18"/>
              </w:rPr>
              <w:t>Bln 1</w:t>
            </w:r>
          </w:p>
        </w:tc>
        <w:tc>
          <w:tcPr>
            <w:tcW w:type="dxa" w:w="680"/>
            <w:tcBorders>
              <w:bottom w:val="single" w:sz="8" w:color="000000"/>
            </w:tcBorders>
          </w:tcPr>
          <w:p>
            <w:pPr>
              <w:spacing w:after="40" w:line="240" w:lineRule="auto"/>
            </w:pPr>
            <w:r>
              <w:rPr>
                <w:rFonts w:ascii="Times New Roman" w:hAnsi="Times New Roman"/>
                <w:b/>
                <w:sz w:val="18"/>
              </w:rPr>
              <w:t>Bln 2</w:t>
            </w:r>
          </w:p>
        </w:tc>
        <w:tc>
          <w:tcPr>
            <w:tcW w:type="dxa" w:w="680"/>
            <w:tcBorders>
              <w:bottom w:val="single" w:sz="8" w:color="000000"/>
            </w:tcBorders>
          </w:tcPr>
          <w:p>
            <w:pPr>
              <w:spacing w:after="40" w:line="240" w:lineRule="auto"/>
            </w:pPr>
            <w:r>
              <w:rPr>
                <w:rFonts w:ascii="Times New Roman" w:hAnsi="Times New Roman"/>
                <w:b/>
                <w:sz w:val="18"/>
              </w:rPr>
              <w:t>Bln 3</w:t>
            </w:r>
          </w:p>
        </w:tc>
        <w:tc>
          <w:tcPr>
            <w:tcW w:type="dxa" w:w="680"/>
            <w:tcBorders>
              <w:bottom w:val="single" w:sz="8" w:color="000000"/>
            </w:tcBorders>
          </w:tcPr>
          <w:p>
            <w:pPr>
              <w:spacing w:after="40" w:line="240" w:lineRule="auto"/>
            </w:pPr>
            <w:r>
              <w:rPr>
                <w:rFonts w:ascii="Times New Roman" w:hAnsi="Times New Roman"/>
                <w:b/>
                <w:sz w:val="18"/>
              </w:rPr>
              <w:t>Bln 4</w:t>
            </w:r>
          </w:p>
        </w:tc>
        <w:tc>
          <w:tcPr>
            <w:tcW w:type="dxa" w:w="680"/>
            <w:tcBorders>
              <w:bottom w:val="single" w:sz="8" w:color="000000"/>
            </w:tcBorders>
          </w:tcPr>
          <w:p>
            <w:pPr>
              <w:spacing w:after="40" w:line="240" w:lineRule="auto"/>
            </w:pPr>
            <w:r>
              <w:rPr>
                <w:rFonts w:ascii="Times New Roman" w:hAnsi="Times New Roman"/>
                <w:b/>
                <w:sz w:val="18"/>
              </w:rPr>
              <w:t>Bln 5</w:t>
            </w:r>
          </w:p>
        </w:tc>
        <w:tc>
          <w:tcPr>
            <w:tcW w:type="dxa" w:w="680"/>
            <w:tcBorders>
              <w:bottom w:val="single" w:sz="8" w:color="000000"/>
            </w:tcBorders>
          </w:tcPr>
          <w:p>
            <w:pPr>
              <w:spacing w:after="40" w:line="240" w:lineRule="auto"/>
            </w:pPr>
            <w:r>
              <w:rPr>
                <w:rFonts w:ascii="Times New Roman" w:hAnsi="Times New Roman"/>
                <w:b/>
                <w:sz w:val="18"/>
              </w:rPr>
              <w:t>Bln 6</w:t>
            </w:r>
          </w:p>
        </w:tc>
        <w:tc>
          <w:tcPr>
            <w:tcW w:type="dxa" w:w="680"/>
            <w:tcBorders>
              <w:bottom w:val="single" w:sz="8" w:color="000000"/>
            </w:tcBorders>
          </w:tcPr>
          <w:p>
            <w:pPr>
              <w:spacing w:after="40" w:line="240" w:lineRule="auto"/>
            </w:pPr>
            <w:r>
              <w:rPr>
                <w:rFonts w:ascii="Times New Roman" w:hAnsi="Times New Roman"/>
                <w:b/>
                <w:sz w:val="18"/>
              </w:rPr>
              <w:t>Bln 7</w:t>
            </w:r>
          </w:p>
        </w:tc>
        <w:tc>
          <w:tcPr>
            <w:tcW w:type="dxa" w:w="680"/>
            <w:tcBorders>
              <w:bottom w:val="single" w:sz="8" w:color="000000"/>
            </w:tcBorders>
          </w:tcPr>
          <w:p>
            <w:pPr>
              <w:spacing w:after="40" w:line="240" w:lineRule="auto"/>
            </w:pPr>
            <w:r>
              <w:rPr>
                <w:rFonts w:ascii="Times New Roman" w:hAnsi="Times New Roman"/>
                <w:b/>
                <w:sz w:val="18"/>
              </w:rPr>
              <w:t>Bln 8</w:t>
            </w:r>
          </w:p>
        </w:tc>
      </w:tr>
      <w:tr>
        <w:tc>
          <w:tcPr>
            <w:tcW w:type="dxa" w:w="3175"/>
          </w:tcPr>
          <w:p>
            <w:pPr>
              <w:spacing w:after="40" w:line="240" w:lineRule="auto"/>
            </w:pPr>
            <w:r>
              <w:rPr>
                <w:rFonts w:ascii="Times New Roman" w:hAnsi="Times New Roman"/>
                <w:sz w:val="18"/>
              </w:rPr>
              <w:t>Penyusunan dan seminar proposal</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Pengajuan kaji etik dan izin data</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Audit awal 30–50 rekam medis</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Pengumpulan data</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Pembersihan dan kompilasi data</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Pemodelan dan analisis</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Penulisan hasil dan pembahasan</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r>
      <w:tr>
        <w:tc>
          <w:tcPr>
            <w:tcW w:type="dxa" w:w="3175"/>
          </w:tcPr>
          <w:p>
            <w:pPr>
              <w:spacing w:after="40" w:line="240" w:lineRule="auto"/>
            </w:pPr>
            <w:r>
              <w:rPr>
                <w:rFonts w:ascii="Times New Roman" w:hAnsi="Times New Roman"/>
                <w:sz w:val="18"/>
              </w:rPr>
              <w:t>Seminar hasil dan publikasi</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r>
    </w:tbl>
    <w:p>
      <w:pPr>
        <w:spacing w:after="120" w:before="240"/>
      </w:pPr>
      <w:r>
        <w:rPr>
          <w:rFonts w:ascii="Times New Roman" w:hAnsi="Times New Roman"/>
          <w:b/>
          <w:sz w:val="24"/>
        </w:rPr>
        <w:t>Lampiran 3  Anggaran Penelitian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64"/>
        <w:gridCol w:w="1464"/>
        <w:gridCol w:w="1464"/>
        <w:gridCol w:w="1464"/>
        <w:gridCol w:w="1464"/>
        <w:gridCol w:w="1464"/>
      </w:tblGrid>
      <w:tr>
        <w:tc>
          <w:tcPr>
            <w:tcW w:type="dxa" w:w="567"/>
            <w:tcBorders>
              <w:bottom w:val="single" w:sz="8" w:color="000000"/>
            </w:tcBorders>
          </w:tcPr>
          <w:p>
            <w:pPr>
              <w:spacing w:after="40" w:line="240" w:lineRule="auto"/>
            </w:pPr>
            <w:r>
              <w:rPr>
                <w:rFonts w:ascii="Times New Roman" w:hAnsi="Times New Roman"/>
                <w:b/>
                <w:sz w:val="18"/>
              </w:rPr>
              <w:t>No.</w:t>
            </w:r>
          </w:p>
        </w:tc>
        <w:tc>
          <w:tcPr>
            <w:tcW w:type="dxa" w:w="3402"/>
            <w:tcBorders>
              <w:bottom w:val="single" w:sz="8" w:color="000000"/>
            </w:tcBorders>
          </w:tcPr>
          <w:p>
            <w:pPr>
              <w:spacing w:after="40" w:line="240" w:lineRule="auto"/>
            </w:pPr>
            <w:r>
              <w:rPr>
                <w:rFonts w:ascii="Times New Roman" w:hAnsi="Times New Roman"/>
                <w:b/>
                <w:sz w:val="18"/>
              </w:rPr>
              <w:t>Uraian</w:t>
            </w:r>
          </w:p>
        </w:tc>
        <w:tc>
          <w:tcPr>
            <w:tcW w:type="dxa" w:w="907"/>
            <w:tcBorders>
              <w:bottom w:val="single" w:sz="8" w:color="000000"/>
            </w:tcBorders>
          </w:tcPr>
          <w:p>
            <w:pPr>
              <w:spacing w:after="40" w:line="240" w:lineRule="auto"/>
            </w:pPr>
            <w:r>
              <w:rPr>
                <w:rFonts w:ascii="Times New Roman" w:hAnsi="Times New Roman"/>
                <w:b/>
                <w:sz w:val="18"/>
              </w:rPr>
              <w:t>Volume</w:t>
            </w:r>
          </w:p>
        </w:tc>
        <w:tc>
          <w:tcPr>
            <w:tcW w:type="dxa" w:w="907"/>
            <w:tcBorders>
              <w:bottom w:val="single" w:sz="8" w:color="000000"/>
            </w:tcBorders>
          </w:tcPr>
          <w:p>
            <w:pPr>
              <w:spacing w:after="40" w:line="240" w:lineRule="auto"/>
            </w:pPr>
            <w:r>
              <w:rPr>
                <w:rFonts w:ascii="Times New Roman" w:hAnsi="Times New Roman"/>
                <w:b/>
                <w:sz w:val="18"/>
              </w:rPr>
              <w:t>Satuan</w:t>
            </w:r>
          </w:p>
        </w:tc>
        <w:tc>
          <w:tcPr>
            <w:tcW w:type="dxa" w:w="1587"/>
            <w:tcBorders>
              <w:bottom w:val="single" w:sz="8" w:color="000000"/>
            </w:tcBorders>
          </w:tcPr>
          <w:p>
            <w:pPr>
              <w:spacing w:after="40" w:line="240" w:lineRule="auto"/>
            </w:pPr>
            <w:r>
              <w:rPr>
                <w:rFonts w:ascii="Times New Roman" w:hAnsi="Times New Roman"/>
                <w:b/>
                <w:sz w:val="18"/>
              </w:rPr>
              <w:t>Biaya Satuan (Rp)</w:t>
            </w:r>
          </w:p>
        </w:tc>
        <w:tc>
          <w:tcPr>
            <w:tcW w:type="dxa" w:w="1417"/>
            <w:tcBorders>
              <w:bottom w:val="single" w:sz="8" w:color="000000"/>
            </w:tcBorders>
          </w:tcPr>
          <w:p>
            <w:pPr>
              <w:spacing w:after="40" w:line="240" w:lineRule="auto"/>
            </w:pPr>
            <w:r>
              <w:rPr>
                <w:rFonts w:ascii="Times New Roman" w:hAnsi="Times New Roman"/>
                <w:b/>
                <w:sz w:val="18"/>
              </w:rPr>
              <w:t>Jumlah (Rp)</w:t>
            </w:r>
          </w:p>
        </w:tc>
      </w:tr>
      <w:tr>
        <w:tc>
          <w:tcPr>
            <w:tcW w:type="dxa" w:w="567"/>
          </w:tcPr>
          <w:p>
            <w:pPr>
              <w:spacing w:after="40" w:line="240" w:lineRule="auto"/>
            </w:pPr>
            <w:r>
              <w:rPr>
                <w:rFonts w:ascii="Times New Roman" w:hAnsi="Times New Roman"/>
                <w:sz w:val="18"/>
              </w:rPr>
              <w:t>1</w:t>
            </w:r>
          </w:p>
        </w:tc>
        <w:tc>
          <w:tcPr>
            <w:tcW w:type="dxa" w:w="3402"/>
          </w:tcPr>
          <w:p>
            <w:pPr>
              <w:spacing w:after="40" w:line="240" w:lineRule="auto"/>
            </w:pPr>
            <w:r>
              <w:rPr>
                <w:rFonts w:ascii="Times New Roman" w:hAnsi="Times New Roman"/>
                <w:sz w:val="18"/>
              </w:rPr>
              <w:t>Kaji etik FKUI-RSCM</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2</w:t>
            </w:r>
          </w:p>
        </w:tc>
        <w:tc>
          <w:tcPr>
            <w:tcW w:type="dxa" w:w="3402"/>
          </w:tcPr>
          <w:p>
            <w:pPr>
              <w:spacing w:after="40" w:line="240" w:lineRule="auto"/>
            </w:pPr>
            <w:r>
              <w:rPr>
                <w:rFonts w:ascii="Times New Roman" w:hAnsi="Times New Roman"/>
                <w:sz w:val="18"/>
              </w:rPr>
              <w:t>Izin dan penarikan data SIM RS/keuangan</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3</w:t>
            </w:r>
          </w:p>
        </w:tc>
        <w:tc>
          <w:tcPr>
            <w:tcW w:type="dxa" w:w="3402"/>
          </w:tcPr>
          <w:p>
            <w:pPr>
              <w:spacing w:after="40" w:line="240" w:lineRule="auto"/>
            </w:pPr>
            <w:r>
              <w:rPr>
                <w:rFonts w:ascii="Times New Roman" w:hAnsi="Times New Roman"/>
                <w:sz w:val="18"/>
              </w:rPr>
              <w:t>Alat tulis dan penggandaan</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4</w:t>
            </w:r>
          </w:p>
        </w:tc>
        <w:tc>
          <w:tcPr>
            <w:tcW w:type="dxa" w:w="3402"/>
          </w:tcPr>
          <w:p>
            <w:pPr>
              <w:spacing w:after="40" w:line="240" w:lineRule="auto"/>
            </w:pPr>
            <w:r>
              <w:rPr>
                <w:rFonts w:ascii="Times New Roman" w:hAnsi="Times New Roman"/>
                <w:sz w:val="18"/>
              </w:rPr>
              <w:t>Penyimpanan data terenkripsi</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5</w:t>
            </w:r>
          </w:p>
        </w:tc>
        <w:tc>
          <w:tcPr>
            <w:tcW w:type="dxa" w:w="3402"/>
          </w:tcPr>
          <w:p>
            <w:pPr>
              <w:spacing w:after="40" w:line="240" w:lineRule="auto"/>
            </w:pPr>
            <w:r>
              <w:rPr>
                <w:rFonts w:ascii="Times New Roman" w:hAnsi="Times New Roman"/>
                <w:sz w:val="18"/>
              </w:rPr>
              <w:t>Konsultasi statistik/biostatistika</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6</w:t>
            </w:r>
          </w:p>
        </w:tc>
        <w:tc>
          <w:tcPr>
            <w:tcW w:type="dxa" w:w="3402"/>
          </w:tcPr>
          <w:p>
            <w:pPr>
              <w:spacing w:after="40" w:line="240" w:lineRule="auto"/>
            </w:pPr>
            <w:r>
              <w:rPr>
                <w:rFonts w:ascii="Times New Roman" w:hAnsi="Times New Roman"/>
                <w:sz w:val="18"/>
              </w:rPr>
              <w:t>Publikasi (article processing charge)</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7</w:t>
            </w:r>
          </w:p>
        </w:tc>
        <w:tc>
          <w:tcPr>
            <w:tcW w:type="dxa" w:w="3402"/>
          </w:tcPr>
          <w:p>
            <w:pPr>
              <w:spacing w:after="40" w:line="240" w:lineRule="auto"/>
            </w:pPr>
            <w:r>
              <w:rPr>
                <w:rFonts w:ascii="Times New Roman" w:hAnsi="Times New Roman"/>
                <w:sz w:val="18"/>
              </w:rPr>
              <w:t>Lain-lain (10%)</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r>
          </w:p>
        </w:tc>
        <w:tc>
          <w:tcPr>
            <w:tcW w:type="dxa" w:w="3402"/>
          </w:tcPr>
          <w:p>
            <w:pPr>
              <w:spacing w:after="40" w:line="240" w:lineRule="auto"/>
            </w:pPr>
            <w:r>
              <w:rPr>
                <w:rFonts w:ascii="Times New Roman" w:hAnsi="Times New Roman"/>
                <w:sz w:val="18"/>
              </w:rPr>
              <w:t>Total</w:t>
            </w:r>
          </w:p>
        </w:tc>
        <w:tc>
          <w:tcPr>
            <w:tcW w:type="dxa" w:w="907"/>
          </w:tcPr>
          <w:p>
            <w:pPr>
              <w:spacing w:after="40" w:line="240" w:lineRule="auto"/>
            </w:pPr>
            <w:r>
              <w:rPr>
                <w:rFonts w:ascii="Times New Roman" w:hAnsi="Times New Roman"/>
                <w:sz w:val="18"/>
              </w:rPr>
            </w:r>
          </w:p>
        </w:tc>
        <w:tc>
          <w:tcPr>
            <w:tcW w:type="dxa" w:w="907"/>
          </w:tcPr>
          <w:p>
            <w:pPr>
              <w:spacing w:after="40" w:line="240" w:lineRule="auto"/>
            </w:pPr>
            <w:r>
              <w:rPr>
                <w:rFonts w:ascii="Times New Roman" w:hAnsi="Times New Roman"/>
                <w:sz w:val="18"/>
              </w:rPr>
            </w:r>
          </w:p>
        </w:tc>
        <w:tc>
          <w:tcPr>
            <w:tcW w:type="dxa" w:w="1587"/>
          </w:tcPr>
          <w:p>
            <w:pPr>
              <w:spacing w:after="40" w:line="240" w:lineRule="auto"/>
            </w:pPr>
            <w:r>
              <w:rPr>
                <w:rFonts w:ascii="Times New Roman" w:hAnsi="Times New Roman"/>
                <w:sz w:val="18"/>
              </w:rPr>
            </w:r>
          </w:p>
        </w:tc>
        <w:tc>
          <w:tcPr>
            <w:tcW w:type="dxa" w:w="1417"/>
          </w:tcPr>
          <w:p>
            <w:pPr>
              <w:spacing w:after="40" w:line="240" w:lineRule="auto"/>
            </w:pPr>
            <w:r>
              <w:rPr>
                <w:rFonts w:ascii="Times New Roman" w:hAnsi="Times New Roman"/>
                <w:sz w:val="18"/>
              </w:rPr>
              <w:t>...</w:t>
            </w:r>
          </w:p>
        </w:tc>
      </w:tr>
    </w:tbl>
    <w:p>
      <w:pPr>
        <w:spacing w:after="120" w:before="240"/>
      </w:pPr>
      <w:r>
        <w:rPr>
          <w:rFonts w:ascii="Times New Roman" w:hAnsi="Times New Roman"/>
          <w:b/>
          <w:sz w:val="24"/>
        </w:rPr>
        <w:t>Lampiran 4  Keterangan mengenai Lembar Penjelasan dan Lembar Persetujuan</w:t>
      </w:r>
    </w:p>
    <w:p>
      <w:pPr>
        <w:spacing w:after="120"/>
        <w:ind w:firstLine="720"/>
        <w:jc w:val="both"/>
      </w:pPr>
      <w:r>
        <w:rPr>
          <w:rFonts w:ascii="Times New Roman" w:hAnsi="Times New Roman"/>
          <w:sz w:val="24"/>
        </w:rPr>
        <w:t>Penelitian ini merupakan studi kohort retrospektif berbasis data sekunder (rekam medis elektronik, sistem informasi manajemen rumah sakit, dan data klaim BPJS Kesehatan) yang tidak melibatkan intervensi, kontak, maupun pengambilan spesimen dari subjek. Oleh karena itu, lembar penjelasan kepada subjek dan lembar persetujuan menjadi subjek penelitian tidak disertakan, dan diajukan permohonan pengabaian persetujuan (waiver of consent) kepada Komite Etik Penelitian Kesehatan FKUI-RSCM sesuai ketentuan penelitian berbasis rekam medis.</w:t>
      </w:r>
    </w:p>
    <w:p>
      <w:pPr>
        <w:spacing w:after="120"/>
        <w:ind w:firstLine="720"/>
        <w:jc w:val="both"/>
      </w:pPr>
      <w:r>
        <w:rPr>
          <w:rFonts w:ascii="Times New Roman" w:hAnsi="Times New Roman"/>
          <w:sz w:val="24"/>
        </w:rPr>
        <w:t>Sebagai gantinya, perlindungan subjek dijamin melalui: (1) anonimisasi seluruh data sebelum analisis, yaitu penghapusan nama, nomor rekam medis, dan nomor identitas, digantikan kode studi; (2) penyimpanan data pada sistem terlindungi kata sandi dengan akses terbatas pada tim peneliti; (3) penyajian hasil hanya dalam bentuk agregat; serta (4) pembatasan tujuan penggunaan model sebagaimana dinyatakan pada subbab 3.10, yaitu tidak untuk keputusan klinis pada pasien individual.</w:t>
      </w:r>
    </w:p>
    <w:sectPr w:rsidR="00FC693F" w:rsidRPr="0006063C" w:rsidSect="00034616">
      <w:pgSz w:w="12189"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