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59FAFDC" w14:textId="77777777" w:rsidR="00CB021A" w:rsidRDefault="00000000">
      <w:pPr>
        <w:spacing w:before="240" w:after="240"/>
        <w:jc w:val="center"/>
      </w:pPr>
      <w:r>
        <w:rPr>
          <w:b/>
          <w:sz w:val="28"/>
        </w:rPr>
        <w:t>BAB 2</w:t>
      </w:r>
    </w:p>
    <w:p w14:paraId="0A2A7373" w14:textId="77777777" w:rsidR="00CB021A" w:rsidRDefault="00000000">
      <w:pPr>
        <w:spacing w:before="240" w:after="240"/>
        <w:jc w:val="center"/>
      </w:pPr>
      <w:r>
        <w:rPr>
          <w:b/>
          <w:sz w:val="28"/>
        </w:rPr>
        <w:t>TINJAUAN PUSTAKA</w:t>
      </w:r>
    </w:p>
    <w:p w14:paraId="199BC53E" w14:textId="77777777" w:rsidR="00CB021A" w:rsidRDefault="00000000">
      <w:pPr>
        <w:pStyle w:val="Heading2"/>
      </w:pPr>
      <w:r>
        <w:rPr>
          <w:rFonts w:ascii="Times New Roman" w:hAnsi="Times New Roman"/>
        </w:rPr>
        <w:t>2.1 Intensive Care Unit dan Karakteristik Biayanya</w:t>
      </w:r>
    </w:p>
    <w:p w14:paraId="07EA936C" w14:textId="77777777" w:rsidR="00CB021A" w:rsidRDefault="00000000">
      <w:pPr>
        <w:ind w:firstLine="720"/>
        <w:jc w:val="both"/>
      </w:pPr>
      <w:r>
        <w:t>Intensive care unit (ICU) merupakan unit pelayanan rumah sakit yang dirancang untuk menangani pasien dengan kegagalan atau ancaman kegagalan organ vital yang memerlukan pemantauan dan intervensi berkelanjutan selama 24 jam.¹⁻³ Perawatan di ICU ditunjang teknologi tinggi seperti ventilasi mekanik, terapi pengganti ginjal, dan monitoring hemodinamik invasif, serta rasio tenaga kesehatan terlatih per pasien yang lebih tinggi dibandingkan bangsal umum.¹ Konsekuensinya adalah tingginya konsumsi sumber daya, menjadikan ICU salah satu area layanan rumah sakit yang paling mahal secara proporsional.¹⁻³ Di Indonesia, Nur dkk. di RSUP Dr. Hasan Sadikin Bandung melaporkan biaya perawatan ICU menyerap sekitar 40,1% dari total biaya perawatan rumah sakit, dengan skor APACHE II berkorelasi signifikan dengan utilisasi sumber daya dan biaya harian.³</w:t>
      </w:r>
    </w:p>
    <w:p w14:paraId="4D265D0B" w14:textId="77777777" w:rsidR="00CB021A" w:rsidRDefault="00000000">
      <w:pPr>
        <w:pStyle w:val="Heading2"/>
      </w:pPr>
      <w:r>
        <w:rPr>
          <w:rFonts w:ascii="Times New Roman" w:hAnsi="Times New Roman"/>
        </w:rPr>
        <w:t>2.2 Sistem Pembiayaan INA-CBGs dan Under-Reimbursement</w:t>
      </w:r>
    </w:p>
    <w:p w14:paraId="53CC3B6C" w14:textId="77777777" w:rsidR="00CB021A" w:rsidRDefault="00000000">
      <w:pPr>
        <w:ind w:firstLine="720"/>
        <w:jc w:val="both"/>
      </w:pPr>
      <w:r>
        <w:t xml:space="preserve">Indonesia mengadopsi sistem pembiayaan JKN dengan skema pembayaran berbasis INA-CBGs, di mana besaran klaim ditentukan berdasarkan kelompok diagnosis, prosedur, dan tingkat keparahan (severity level), tanpa mempertimbangkan secara detail intensitas aktual perawatan.⁴⁻⁶ Ketimpangan antara tarif INA-CBGs dan biaya riil menjadi tantangan serius bagi keberlangsungan finansial rumah sakit. Skarayadi dkk. (24 studi, 2014–2022) menunjukkan biaya rumah sakit melebihi tarif INA-CBGs pada sebagian besar studi, terutama pada lama rawat panjang, komorbid berat, dan kelas perawatan tinggi.⁴ Pada konteks ICU, Halim dkk. melaporkan klaim INA-CBGs hanya menutup sekitar 57,14% biaya aktual perawatan ICU di rumah sakit swasta.⁵ Penelitian ini mendefinisikan under-reimbursement pada level episode rawat inap: total biaya riil rumah sakit (pra-ICU, ICU, dan pasca-ICU) melebihi total klaim </w:t>
      </w:r>
      <w:r>
        <w:lastRenderedPageBreak/>
        <w:t>INA-CBGs episode (rasio &gt;1), dengan magnitudo rasio sebagai outcome sekunder kontinu.</w:t>
      </w:r>
    </w:p>
    <w:p w14:paraId="5D108290" w14:textId="77777777" w:rsidR="00CB021A" w:rsidRDefault="00000000">
      <w:pPr>
        <w:pStyle w:val="Heading2"/>
      </w:pPr>
      <w:r>
        <w:rPr>
          <w:rFonts w:ascii="Times New Roman" w:hAnsi="Times New Roman"/>
        </w:rPr>
        <w:t>2.3 Sistem Pembayaran Prospektif dan Defisit Finansial di ICU</w:t>
      </w:r>
    </w:p>
    <w:p w14:paraId="5D6DB078" w14:textId="77777777" w:rsidR="00CB021A" w:rsidRDefault="00000000">
      <w:pPr>
        <w:ind w:firstLine="720"/>
        <w:jc w:val="both"/>
      </w:pPr>
      <w:r>
        <w:t>Fenomena under-reimbursement bukan khas Indonesia, melainkan konsekuensi inheren sistem pembayaran prospektif berbasis casemix (DRG dan variannya) di banyak negara. Ikumi dkk. mendemonstrasikan hal ini pada sistem Diagnosis Procedure Combination (DPC) Jepang—varian DRG—di mana tarif paket per-diem dirancang untuk menutup prosedur standar, sehingga layanan ICU yang intensif dapat melampaui tarif dan menimbulkan kontribusi margin negatif.⁷ Studi tersebut menganalisis 6.743 pasien ICU pascaoperasi dan menemukan 6,3% mengalami defisit finansial besar, yang dapat diprediksi oleh model ML berbasis 22 variabel 24 jam pertama dengan AUC 0,859.⁷ Temuan ini relevan secara langsung sebagai analog internasional terdekat untuk penelitian ini, sekaligus menjadi tolok ukur performa.</w:t>
      </w:r>
    </w:p>
    <w:p w14:paraId="5417C37C" w14:textId="77777777" w:rsidR="00CB021A" w:rsidRDefault="00000000">
      <w:pPr>
        <w:pStyle w:val="Heading2"/>
      </w:pPr>
      <w:r>
        <w:rPr>
          <w:rFonts w:ascii="Times New Roman" w:hAnsi="Times New Roman"/>
        </w:rPr>
        <w:t>2.4 Determinan Biaya Perawatan ICU 24 Jam Pertama yang Dapat Diobservasi Murah</w:t>
      </w:r>
    </w:p>
    <w:p w14:paraId="2EB3485C" w14:textId="77777777" w:rsidR="00CB021A" w:rsidRDefault="00000000">
      <w:pPr>
        <w:ind w:firstLine="720"/>
        <w:jc w:val="both"/>
      </w:pPr>
      <w:r>
        <w:t>Biaya perawatan ICU ditentukan oleh interaksi kompleks antara keparahan pasien dan intensitas pelayanan. Prinsip penting yang mendasari pemilihan variabel dalam penelitian ini adalah bahwa penanda biaya terkuat justru terletak pada variabel intervensi/organ support yang murah didokumentasikan sebagai status ya/tidak—bukan pada angka laboratorium canggih. Analisis SHAP Ikumi dkk. mengonfirmasi hal ini: transfusi darah dan komponen kardiovaskular serta respirasi keparahan merupakan fitur terpenting prediksi defisit finansial.⁷ Berikut determinan murah yang menjadi prediktor kandidat.</w:t>
      </w:r>
    </w:p>
    <w:p w14:paraId="2EEBC2DF" w14:textId="77777777" w:rsidR="00CB021A" w:rsidRDefault="00000000">
      <w:pPr>
        <w:pStyle w:val="Heading3"/>
      </w:pPr>
      <w:r>
        <w:rPr>
          <w:rFonts w:ascii="Times New Roman" w:hAnsi="Times New Roman"/>
        </w:rPr>
        <w:t>2.4.1 Penggunaan Ventilasi Mekanik</w:t>
      </w:r>
    </w:p>
    <w:p w14:paraId="259FA980" w14:textId="77777777" w:rsidR="00CB021A" w:rsidRDefault="00000000">
      <w:pPr>
        <w:ind w:firstLine="720"/>
        <w:jc w:val="both"/>
      </w:pPr>
      <w:r>
        <w:t xml:space="preserve">Ventilasi mekanik adalah intervensi sentral pada gagal napas, gangguan neuromuskuler, atau proteksi jalan napas, memerlukan sedasi/analgesia dan monitoring ketat sehingga menjadi kontributor utama biaya ICU.¹⁻³ Status penggunaannya dicatat rutin sebagai ya/tidak tanpa biaya pemeriksaan. Data </w:t>
      </w:r>
      <w:r>
        <w:lastRenderedPageBreak/>
        <w:t>Indonesia oleh Nur dkk. menunjukkan biaya harian pasien ICU dengan ventilasi mekanik lebih tinggi secara bermakna dibandingkan tanpa ventilasi mekanik.³ Ikumi dkk. juga mengidentifikasi dukungan ventilasi sebagai fitur penting prediksi defisit finansial pada pasien ICU.⁷</w:t>
      </w:r>
    </w:p>
    <w:p w14:paraId="793647B9" w14:textId="77777777" w:rsidR="00CB021A" w:rsidRDefault="00000000">
      <w:pPr>
        <w:pStyle w:val="Heading3"/>
      </w:pPr>
      <w:r>
        <w:rPr>
          <w:rFonts w:ascii="Times New Roman" w:hAnsi="Times New Roman"/>
        </w:rPr>
        <w:t>2.4.2 Penggunaan Vasopresor dan/atau Inotropik</w:t>
      </w:r>
    </w:p>
    <w:p w14:paraId="326A7533" w14:textId="77777777" w:rsidR="00CB021A" w:rsidRDefault="00000000">
      <w:pPr>
        <w:ind w:firstLine="720"/>
        <w:jc w:val="both"/>
      </w:pPr>
      <w:r>
        <w:t>Kebutuhan vasopresor/inotropik mencerminkan dekompensasi sirkulasi yang signifikan, memerlukan akses sentral, titrasi, dan monitoring invasif.¹² Status penggunaannya (ya/tidak) dalam 24 jam pertama merupakan penanda murah intensitas dukungan hemodinamik. Meta-analisis jaringan Jia dkk. menegaskan kebutuhan vasopresor berkorelasi dengan mortalitas dan lama rawat ICU.¹² Dalam model ini, variabel tersebut digunakan dalam bentuk biner untuk menghindari ketergantungan pada dokumentasi titrasi Vasoactive-Inotropic Score yang sering tidak konsisten di setting sumber daya terbatas.</w:t>
      </w:r>
    </w:p>
    <w:p w14:paraId="391EFC12" w14:textId="77777777" w:rsidR="00CB021A" w:rsidRDefault="00000000">
      <w:pPr>
        <w:pStyle w:val="Heading3"/>
      </w:pPr>
      <w:r>
        <w:rPr>
          <w:rFonts w:ascii="Times New Roman" w:hAnsi="Times New Roman"/>
        </w:rPr>
        <w:t>2.4.3 Transfusi Darah</w:t>
      </w:r>
    </w:p>
    <w:p w14:paraId="74B91082" w14:textId="77777777" w:rsidR="00CB021A" w:rsidRDefault="00000000">
      <w:pPr>
        <w:ind w:firstLine="720"/>
        <w:jc w:val="both"/>
      </w:pPr>
      <w:r>
        <w:t>Transfusi darah dalam 24 jam pertama menandakan perdarahan aktif, anemia berat, atau resusitasi masif, dan berhubungan dengan peningkatan konsumsi sumber daya serta biaya.⁷ Dalam analisis SHAP Ikumi dkk., transfusi darah merupakan fitur dengan kepentingan tertinggi untuk prediksi defisit finansial pada pasien ICU pascaoperasi.⁷ Statusnya (ya/tidak) terdokumentasi murah di lembar observasi maupun catatan bank darah, menjadikannya prediktor yang kuat sekaligus terdokumentasi secara konsisten.</w:t>
      </w:r>
    </w:p>
    <w:p w14:paraId="7ABB407C" w14:textId="77777777" w:rsidR="00CB021A" w:rsidRDefault="00000000">
      <w:pPr>
        <w:pStyle w:val="Heading3"/>
      </w:pPr>
      <w:r>
        <w:rPr>
          <w:rFonts w:ascii="Times New Roman" w:hAnsi="Times New Roman"/>
        </w:rPr>
        <w:t>2.4.4 Tindakan Pembedahan dan Status Admisi</w:t>
      </w:r>
    </w:p>
    <w:p w14:paraId="7CA5DF96" w14:textId="77777777" w:rsidR="00CB021A" w:rsidRDefault="00000000">
      <w:pPr>
        <w:ind w:firstLine="720"/>
        <w:jc w:val="both"/>
      </w:pPr>
      <w:r>
        <w:t>Pasien yang menjalani pembedahan dalam 24 jam pertama, terutama emergensi, termasuk kelompok risiko tinggi dengan kebutuhan ventilasi, resusitasi, dan monitoring intensif.¹³ Studi kohort Valverde Filho dkk. menunjukkan pembedahan emergensi sebagai prediktor independen mortalitas dan perpanjangan lama rawat serta biaya ICU.¹³ Status pembedahan (tidak/elektif/emergensi), tipe admisi (elektif/emergensi), dan sumber admisi (UGD/ruang rawat/kamar operasi/rujukan) seluruhnya tersedia gratis dari rekam medis.</w:t>
      </w:r>
    </w:p>
    <w:p w14:paraId="027F7827" w14:textId="77777777" w:rsidR="00CB021A" w:rsidRDefault="00000000">
      <w:pPr>
        <w:pStyle w:val="Heading3"/>
      </w:pPr>
      <w:r>
        <w:rPr>
          <w:rFonts w:ascii="Times New Roman" w:hAnsi="Times New Roman"/>
        </w:rPr>
        <w:lastRenderedPageBreak/>
        <w:t>2.4.5 Durasi Rawat Pra-ICU</w:t>
      </w:r>
    </w:p>
    <w:p w14:paraId="6F3130FA" w14:textId="77777777" w:rsidR="00CB021A" w:rsidRDefault="00000000">
      <w:pPr>
        <w:ind w:firstLine="720"/>
        <w:jc w:val="both"/>
      </w:pPr>
      <w:r>
        <w:t>Keterlambatan transfer ke ICU menyebabkan akumulasi disfungsi organ dan kebutuhan intervensi yang lebih agresif.¹⁴ Meta-analisis Kiekkas dkk. menunjukkan keterlambatan admisi ICU dikaitkan dengan peningkatan mortalitas dan lama rawat ICU maupun rumah sakit.¹⁴ Durasi rawat pra-ICU merefleksikan burden of delay yang meningkatkan kebutuhan intensif sejak hari pertama di ICU, dan dihitung gratis dari selisih tanggal masuk RS dan masuk ICU.¹⁴</w:t>
      </w:r>
    </w:p>
    <w:p w14:paraId="4D30EB98" w14:textId="77777777" w:rsidR="00CB021A" w:rsidRDefault="00000000">
      <w:pPr>
        <w:pStyle w:val="Heading3"/>
      </w:pPr>
      <w:r>
        <w:rPr>
          <w:rFonts w:ascii="Times New Roman" w:hAnsi="Times New Roman"/>
        </w:rPr>
        <w:t>2.4.6 Disfungsi Organ 24 Jam Pertama berbasis Kriteria Modified SOFA (mSOFA)</w:t>
      </w:r>
    </w:p>
    <w:p w14:paraId="68CB11E3" w14:textId="77777777" w:rsidR="00CB021A" w:rsidRDefault="00000000">
      <w:pPr>
        <w:ind w:firstLine="720"/>
        <w:jc w:val="both"/>
      </w:pPr>
      <w:r>
        <w:t>Derajat disfungsi organ pada 24 jam pertama merupakan refleksi langsung faktor kebutuhan (Andersen) sekaligus proses perawatan (Donabedian) yang mendorong konsumsi sumber daya. Sequential Organ Failure Assessment (SOFA) yang dikembangkan Vincent dkk. mengukur disfungsi enam sistem organ—respirasi, koagulasi, hepar, kardiovaskular, sistem saraf pusat, dan renal—dan menjadi rujukan baku penilaian keparahan di ICU.¹⁵ Namun SOFA baku memerlukan analisis gas darah (rasio PaO₂/FiO₂), bilirubin, dan hitung trombosit yang sering tidak tersedia lengkap dalam 24 jam pertama pada rumah sakit dengan sumber daya terbatas.¹⁵ Untuk mengatasi keterbatasan tersebut, Grissom dkk. mengembangkan modified SOFA (mSOFA) yang menyederhanakan penilaian tanpa mengorbankan performa: rasio SpO₂/FiO₂ menggantikan PaO₂/FiO₂ sehingga tidak memerlukan gas darah, ikterus klinis menggantikan pengukuran bilirubin, dan komponen koagulasi dihilangkan; mSOFA memprediksi mortalitas setara SOFA dan lebih mudah diterapkan pada keterbatasan sumber daya.¹⁶</w:t>
      </w:r>
    </w:p>
    <w:p w14:paraId="517A3257" w14:textId="77777777" w:rsidR="00CB021A" w:rsidRDefault="00000000">
      <w:pPr>
        <w:ind w:firstLine="720"/>
        <w:jc w:val="both"/>
      </w:pPr>
      <w:r>
        <w:t xml:space="preserve">Penelitian ini mengadopsi kriteria mentah pembentuk mSOFA—SpO₂/FiO₂ (respirasi), tekanan arteri rata-rata dan kebutuhan vasopresor (kardiovaskular), GCS (sistem saraf pusat), kreatinin serum (renal), serta ikterus klinis (hepar)—sebagai variabel prediktor individual, bukan sebagai skor agregat, agar algoritma pembelajaran mesin dapat membobot kontribusi tiap sistem organ dan menangkap interaksi nonlinear yang hilang bila komponen dikompresi menjadi satu angka.¹⁷ Validitas pendekatan berbasis variabel fisiologis rutin dan bebas gas darah ini didukung bukti dari setting yang menyerupai Indonesia: THAI-ICU score dari </w:t>
      </w:r>
      <w:r>
        <w:lastRenderedPageBreak/>
        <w:t>Thailand mencapai diskriminasi baik hanya dengan GCS, MAP/vasopresor, dan sedikit parameter dasar,¹⁸ Rwanda Mortality Probability Model mencapai AUC 0,81 tanpa satu pun laboratorium,¹⁹ dan Brotherton dkk. menunjukkan skor berbasis tanda vital memiliki ketersediaan variabel lebih tinggi serta performa baik pada ICU dewasa di setting sumber daya terbatas.²⁰ Arah temuan ini konvergen dengan studi rujukan utama, di mana komponen SOFA respirasi dan kardiovaskular termasuk prediktor terkuat defisit finansial ICU.⁷ Karena komponen kardiovaskular dan respirasi mSOFA sebagian beririsan dengan variabel penggunaan vasopresor dan ventilasi mekanik, potensi multikolinearitas dievaluasi melalui variance inflation factor sebelum pemodelan final.</w:t>
      </w:r>
    </w:p>
    <w:p w14:paraId="57EA1DA1" w14:textId="77777777" w:rsidR="00CB021A" w:rsidRDefault="00000000">
      <w:pPr>
        <w:pStyle w:val="Heading3"/>
      </w:pPr>
      <w:r>
        <w:rPr>
          <w:rFonts w:ascii="Times New Roman" w:hAnsi="Times New Roman"/>
        </w:rPr>
        <w:t>2.4.7 Komorbiditas dan Variabel Administratif</w:t>
      </w:r>
    </w:p>
    <w:p w14:paraId="4B7F8427" w14:textId="77777777" w:rsidR="00CB021A" w:rsidRDefault="00000000">
      <w:pPr>
        <w:ind w:firstLine="720"/>
        <w:jc w:val="both"/>
      </w:pPr>
      <w:r>
        <w:t>Charlson Comorbidity Index (CCI) merangkum beban penyakit kronis dengan skor terbobot dari diagnosis admisi, dihitung gratis dan tersedia sejak 24 jam pertama. Variabel administratif INA-CBGs yang tersedia dini—kelas rawat JKN (1/2/3) dan tipe admisi—merefleksikan casemix payment dan faktor enabling utilisasi.⁴⁻⁶ Severity level INA-CBGs final dan CMG code final sengaja tidak digunakan sebagai prediktor karena baru ditetapkan saat koding pulang, sehingga menimbulkan target leakage dan menghilangkan nilai prediksi-dini model.⁴,⁷</w:t>
      </w:r>
    </w:p>
    <w:p w14:paraId="75FD9DC3" w14:textId="77777777" w:rsidR="00CB021A" w:rsidRDefault="00000000">
      <w:pPr>
        <w:pStyle w:val="Heading2"/>
      </w:pPr>
      <w:r>
        <w:rPr>
          <w:rFonts w:ascii="Times New Roman" w:hAnsi="Times New Roman"/>
        </w:rPr>
        <w:t>2.5 Pembelajaran Mesin dan Strategi Pemilihan Variabel Prediktor</w:t>
      </w:r>
    </w:p>
    <w:p w14:paraId="1D9A3AA0" w14:textId="77777777" w:rsidR="00CB021A" w:rsidRDefault="00000000">
      <w:pPr>
        <w:ind w:firstLine="720"/>
        <w:jc w:val="both"/>
      </w:pPr>
      <w:r>
        <w:t xml:space="preserve">Pembelajaran mesin memungkinkan komputer mengidentifikasi pola kompleks dari data tanpa diprogram eksplisit.⁸⁻¹⁰ Untuk model tree-based seperti XGBoost dan Random Forest, variabel komponen individual umumnya lebih disukai daripada skor agregat karena tiga alasan: (1) skor agregat seperti APACHE II atau THAI-ICU menggunakan bobot tetap yang diturunkan dari outcome mortalitas pada populasi berbeda, bukan outcome under-reimbursement; (2) algoritma tree dapat menemukan interaksi nonlinear antar komponen yang hilang saat dikompresi menjadi satu skor; dan (3) penggunaan komponen individual menghindari satu komponen yang hilang menggugurkan keseluruhan skor.¹⁷ Verma dkk. mendemonstrasikan model pembelajaran mesin yang ringkas dapat memprediksi utilisasi sumber daya secara kompetitif menggunakan hanya variabel </w:t>
      </w:r>
      <w:r>
        <w:lastRenderedPageBreak/>
        <w:t>praoperasi yang tersedia, dengan interpretasi SHAP.¹⁷ Namun, pemilihan variabel tetap wajib berbasis teori dan bukti—ML menimbang variabel, tetapi tidak menentukan variabel mana yang layak dikandidatkan; justifikasi konseptual setiap prediktor disajikan pada Tabel 2.1.²¹</w:t>
      </w:r>
    </w:p>
    <w:p w14:paraId="40C7DE79" w14:textId="77777777" w:rsidR="00CB021A" w:rsidRDefault="00000000">
      <w:pPr>
        <w:pStyle w:val="Heading3"/>
      </w:pPr>
      <w:r>
        <w:rPr>
          <w:rFonts w:ascii="Times New Roman" w:hAnsi="Times New Roman"/>
        </w:rPr>
        <w:t>2.5.1 XGBoost dan Random Forest</w:t>
      </w:r>
    </w:p>
    <w:p w14:paraId="4EAE9356" w14:textId="77777777" w:rsidR="00CB021A" w:rsidRDefault="00000000">
      <w:pPr>
        <w:ind w:firstLine="720"/>
        <w:jc w:val="both"/>
      </w:pPr>
      <w:r>
        <w:t>XGBoost (Chen &amp; Guestrin, 2016) adalah algoritma gradient boosting yang membangun ansambel pohon secara sekuensial dengan regularisasi L1/L2 dan penanganan otomatis nilai hilang.²² Random Forest (Breiman, 2001) membangun banyak pohon independen dengan bagging dan seleksi variabel acak.²³ Keduanya robust untuk data tabular campuran (kategorik dan numerik) dan efektif pada skenario sampel relatif kecil dengan regularisasi yang tepat.²²,²³</w:t>
      </w:r>
    </w:p>
    <w:p w14:paraId="1A5719BE" w14:textId="77777777" w:rsidR="00CB021A" w:rsidRDefault="00000000">
      <w:pPr>
        <w:pStyle w:val="Heading3"/>
      </w:pPr>
      <w:r>
        <w:rPr>
          <w:rFonts w:ascii="Times New Roman" w:hAnsi="Times New Roman"/>
        </w:rPr>
        <w:t>2.5.2 Regresi Logistik Teregularisasi sebagai Pembanding</w:t>
      </w:r>
    </w:p>
    <w:p w14:paraId="1A835D26" w14:textId="77777777" w:rsidR="00CB021A" w:rsidRDefault="00000000">
      <w:pPr>
        <w:ind w:firstLine="720"/>
        <w:jc w:val="both"/>
      </w:pPr>
      <w:r>
        <w:t>Regresi logistik dengan regularisasi elastic net (L1+L2) digunakan sebagai pembanding, bukan baseline pasif.²⁴ Christodoulou dkk. menunjukkan bahwa pada banyak konteks klinis tabular, regresi logistik teregularisasi dapat menyamai atau mengungguli ML, sehingga pemilihan model akhir harus berdasarkan bukti empiris pada data spesifik penelitian.²⁵</w:t>
      </w:r>
    </w:p>
    <w:p w14:paraId="3C994D73" w14:textId="77777777" w:rsidR="00CB021A" w:rsidRDefault="00000000">
      <w:pPr>
        <w:pStyle w:val="Heading2"/>
      </w:pPr>
      <w:r>
        <w:rPr>
          <w:rFonts w:ascii="Times New Roman" w:hAnsi="Times New Roman"/>
        </w:rPr>
        <w:t>2.6 SHAP untuk Interpretabilitas Model</w:t>
      </w:r>
    </w:p>
    <w:p w14:paraId="603D1C07" w14:textId="77777777" w:rsidR="00CB021A" w:rsidRDefault="00000000">
      <w:pPr>
        <w:ind w:firstLine="720"/>
        <w:jc w:val="both"/>
      </w:pPr>
      <w:r>
        <w:t>SHAP (SHapley Additive exPlanations; Lundberg &amp; Lee, 2017) berbasis teori permainan kooperatif menghitung kontribusi setiap variabel terhadap prediksi individual.²⁶ Lundberg dkk. (2020) mengembangkan TreeSHAP yang efisien untuk model tree-based.²⁷ SHAP memungkinkan analisis global feature importance dan local explanation, serta identifikasi interaksi antar variabel yang relevan secara klinis.²⁶,²⁷</w:t>
      </w:r>
    </w:p>
    <w:p w14:paraId="23691DEC" w14:textId="77777777" w:rsidR="00CB021A" w:rsidRDefault="00000000">
      <w:pPr>
        <w:pStyle w:val="Heading2"/>
      </w:pPr>
      <w:r>
        <w:rPr>
          <w:rFonts w:ascii="Times New Roman" w:hAnsi="Times New Roman"/>
        </w:rPr>
        <w:t>2.7 Standar Pelaporan TRIPOD+AI</w:t>
      </w:r>
    </w:p>
    <w:p w14:paraId="12ADB75C" w14:textId="77777777" w:rsidR="00CB021A" w:rsidRDefault="00000000">
      <w:pPr>
        <w:ind w:firstLine="720"/>
        <w:jc w:val="both"/>
      </w:pPr>
      <w:r>
        <w:t xml:space="preserve">TRIPOD (Collins dkk., 2015) merupakan standar pelaporan studi model prediksi.²⁸ TRIPOD+AI (Collins dkk., 2024) memperluas pedoman untuk model regresi maupun pembelajaran mesin, termasuk panduan transparansi preprocessing, tuning, validasi, fairness, dan interpretabilitas.²¹ Riley dkk. (2020) menyediakan </w:t>
      </w:r>
      <w:r>
        <w:lastRenderedPageBreak/>
        <w:t>formula perhitungan besar sampel minimum untuk studi model prediksi.²⁹ Pelaporan penelitian ini mengikuti TRIPOD+AI.²¹,²⁹</w:t>
      </w:r>
    </w:p>
    <w:p w14:paraId="2D6008FC" w14:textId="77777777" w:rsidR="00CB021A" w:rsidRDefault="00000000">
      <w:pPr>
        <w:pStyle w:val="Heading2"/>
      </w:pPr>
      <w:r>
        <w:rPr>
          <w:rFonts w:ascii="Times New Roman" w:hAnsi="Times New Roman"/>
        </w:rPr>
        <w:t>2.8 Studi Rujukan Utama dan Celah Penelitian</w:t>
      </w:r>
    </w:p>
    <w:p w14:paraId="584566BD" w14:textId="77777777" w:rsidR="00CB021A" w:rsidRDefault="00000000">
      <w:pPr>
        <w:ind w:firstLine="720"/>
        <w:jc w:val="both"/>
      </w:pPr>
      <w:r>
        <w:t xml:space="preserve">Rujukan utama penelitian ini adalah studi Ikumi dkk., yang merupakan analog metodologis terdekat sekaligus dasar pengembangan model. Ikumi dkk. membuktikan bahwa defisit finansial pada pasien ICU dalam sistem pembayaran prospektif berbasis diagnosis dapat diprediksi secara dini menggunakan pembelajaran mesin berbasis 22 variabel klinis dan administratif yang tersedia dalam 24 jam pertama, dengan Random Forest mencapai AUC 0,859 dan transfusi darah serta keparahan kardiovaskular-respirasi sebagai prediktor terkuat.⁷ Meskipun demikian, studi tersebut memiliki keterbatasan metodologis yang secara sengaja disempurnakan dalam penelitian ini: penyeimbangan kelas dilakukan melalui random undersampling yang membuang sebagian besar data mayoritas, validasi hanya menggunakan satu kali pembagian train-test (single split) tanpa tuning hiperparameter sistematis, serta tidak menyertakan penilaian kalibrasi, decision curve analysis, maupun fairness.⁷ Kesetaraan struktural kedua sistem pembayaran inilah yang menjadikan temuan Ikumi relevan bagi konteks Indonesia: sistem Diagnosis Procedure Combination (DPC) Jepang maupun INA-CBGs sama-sama merupakan pembayaran prospektif berbasis casemix, di mana besaran penggantian ditetapkan di muka menurut kelompok diagnosis sehingga rumah sakit menanggung selisih ketika konsumsi sumber daya aktual melampaui tarif paket.⁴,⁷ Perbedaan utamanya, DPC bersifat per-diem sedangkan INA-CBGs bersifat per-episode rawat inap, dan penelitian Ikumi dilakukan pada populasi pascaoperasi; dengan demikian transferabilitas temuannya ke sistem INA-CBGs dan populasi ICU campuran di Indonesia belum diketahui dan justru menjadi salah satu kontribusi penelitian ini.⁷ Bukti dari konteks Indonesia memperkuat urgensi tersebut: studi Halim dkk. yang telah dipublikasikan melaporkan klaim INA-CBGs hanya menutup sekitar 57,14% biaya aktual perawatan ICU, namun bersifat deskriptif-komparatif pada level agregat dan tidak mengembangkan model prediksi.⁵ Lebih spesifik lagi, di RSCM sendiri Meirina dkk. baru-baru ini melaporkan secara prospektif hubungan skor mSOFA dengan proporsi biaya ICU </w:t>
      </w:r>
      <w:r>
        <w:lastRenderedPageBreak/>
        <w:t>terhadap tarif INA-CBGs pada 46 pasien ICU medis, namun bersifat deskriptif-korelatif tanpa model prediksi maupun pembelajaran mesin, dan menemukan pola non-linear yang justru mendukung penggunaan pendekatan berbasis pembelajaran mesin.¹¹ Dengan demikian, penelitian ini mengisi celah tersebut dengan mengadaptasi dan menyempurnakan pendekatan Ikumi dkk. ke dalam konteks INA-CBGs: mendefinisikan under-reimbursement sebagai outcome biner pada level episode, menggunakan penyeimbangan kelas berbasis pembobotan (bukan undersampling), validasi nested cross-validation, serta melengkapi evaluasi dengan kalibrasi, decision curve analysis, interpretabilitas SHAP, dan fairness sesuai TRIPOD+AI.⁷,²¹,²⁵</w:t>
      </w:r>
    </w:p>
    <w:p w14:paraId="79834D87" w14:textId="77777777" w:rsidR="00CB021A" w:rsidRDefault="00000000">
      <w:pPr>
        <w:pStyle w:val="Heading2"/>
      </w:pPr>
      <w:r>
        <w:rPr>
          <w:rFonts w:ascii="Times New Roman" w:hAnsi="Times New Roman"/>
        </w:rPr>
        <w:t>2.9 Kerangka Teori</w:t>
      </w:r>
    </w:p>
    <w:p w14:paraId="3D423153" w14:textId="7328E6B6" w:rsidR="00CB021A" w:rsidRDefault="00000000">
      <w:pPr>
        <w:ind w:firstLine="720"/>
        <w:jc w:val="both"/>
      </w:pPr>
      <w:r>
        <w:t xml:space="preserve">Kerangka teori penelitian ini dibangun atas integrasi tiga landasan utama. Pertama, model utilisasi pelayanan kesehatan Andersen dan Newman (1973) yang mengklasifikasikan faktor penentu utilisasi menjadi faktor predisposisi (usia, jenis kelamin), faktor pendukung (kelas rawat, tipe/sumber admisi), dan faktor kebutuhan (keparahan, organ support).³⁰ Kedua, model Structure-Process-Outcome Donabedian (1988) yang menghubungkan struktur pelayanan dengan proses (intervensi 24 jam pertama) dan outcome (biaya riil versus klaim).³¹ Ketiga, teori pembayaran prospektif (casemix payment theory) yang mendasari INA-CBGs, di mana tarif paket dihadapkan pada heterogenitas severity dan risiko under-reimbursement.⁴,⁶ Integrasi ketiganya menghasilkan kerangka kerja di mana variabel klinis 24 jam pertama (refleksi faktor kebutuhan Andersen dan proses Donabedian) dikombinasikan dengan variabel administratif (refleksi casemix payment) untuk memprediksi under-reimbursement menggunakan ML.¹⁻¹⁰ </w:t>
      </w:r>
    </w:p>
    <w:p w14:paraId="449640EC" w14:textId="77777777" w:rsidR="00CB021A" w:rsidRDefault="00000000">
      <w:pPr>
        <w:pStyle w:val="Heading2"/>
      </w:pPr>
      <w:r>
        <w:rPr>
          <w:rFonts w:ascii="Times New Roman" w:hAnsi="Times New Roman"/>
        </w:rPr>
        <w:t xml:space="preserve">2.10 </w:t>
      </w:r>
      <w:proofErr w:type="spellStart"/>
      <w:r>
        <w:rPr>
          <w:rFonts w:ascii="Times New Roman" w:hAnsi="Times New Roman"/>
        </w:rPr>
        <w:t>Kerangka</w:t>
      </w:r>
      <w:proofErr w:type="spellEnd"/>
      <w:r>
        <w:rPr>
          <w:rFonts w:ascii="Times New Roman" w:hAnsi="Times New Roman"/>
        </w:rPr>
        <w:t xml:space="preserve"> </w:t>
      </w:r>
      <w:proofErr w:type="spellStart"/>
      <w:r>
        <w:rPr>
          <w:rFonts w:ascii="Times New Roman" w:hAnsi="Times New Roman"/>
        </w:rPr>
        <w:t>Konsep</w:t>
      </w:r>
      <w:proofErr w:type="spellEnd"/>
      <w:r>
        <w:rPr>
          <w:rFonts w:ascii="Times New Roman" w:hAnsi="Times New Roman"/>
        </w:rPr>
        <w:t xml:space="preserve"> dan Justifikasi Teoretis Prediktor</w:t>
      </w:r>
    </w:p>
    <w:p w14:paraId="53457FBD" w14:textId="08EFD0C6" w:rsidR="00CB021A" w:rsidRDefault="00000000">
      <w:pPr>
        <w:ind w:firstLine="720"/>
        <w:jc w:val="both"/>
      </w:pPr>
      <w:r>
        <w:t xml:space="preserve">Kerangka konsep mengidentifikasi variabel independen yang seluruhnya tersedia rutin dalam 24 jam pertama, terdiri dari domain klinis dan administratif. Sesuai prinsip pre-specification TRIPOD+AI, setiap variabel dilandasi konstruk teori dan bukti empiris, bukan signifikansi statistik pada studi </w:t>
      </w:r>
      <w:proofErr w:type="gramStart"/>
      <w:r>
        <w:t>tunggal.²</w:t>
      </w:r>
      <w:proofErr w:type="gramEnd"/>
      <w:r>
        <w:t xml:space="preserve">¹ </w:t>
      </w:r>
      <w:proofErr w:type="spellStart"/>
      <w:r>
        <w:t>menyajikan</w:t>
      </w:r>
      <w:proofErr w:type="spellEnd"/>
      <w:r>
        <w:t xml:space="preserve"> </w:t>
      </w:r>
      <w:proofErr w:type="spellStart"/>
      <w:r>
        <w:t>justifikasi</w:t>
      </w:r>
      <w:proofErr w:type="spellEnd"/>
      <w:r>
        <w:t xml:space="preserve"> </w:t>
      </w:r>
      <w:proofErr w:type="spellStart"/>
      <w:r>
        <w:t>teoretis</w:t>
      </w:r>
      <w:proofErr w:type="spellEnd"/>
      <w:r>
        <w:t xml:space="preserve"> </w:t>
      </w:r>
      <w:proofErr w:type="spellStart"/>
      <w:r>
        <w:t>tiap</w:t>
      </w:r>
      <w:proofErr w:type="spellEnd"/>
      <w:r>
        <w:t xml:space="preserve"> prediktor: konstruk teori yang mendasari, mekanisme/arah </w:t>
      </w:r>
      <w:r>
        <w:lastRenderedPageBreak/>
        <w:t xml:space="preserve">hubungan dengan biaya, dan referensi pendukung. Variabel dependen adalah under-reimbursement (rasio biaya riil/klaim &gt;1; biner), dengan magnitudo rasio (log) sebagai outcome sekunder. </w:t>
      </w:r>
    </w:p>
    <w:p w14:paraId="2C4265FB" w14:textId="7C988311" w:rsidR="00CB021A" w:rsidRDefault="00CB021A">
      <w:pPr>
        <w:spacing w:before="120" w:after="80"/>
        <w:jc w:val="center"/>
      </w:pPr>
    </w:p>
    <w:p w14:paraId="11B9E7BD" w14:textId="1A1E9B90" w:rsidR="00CB021A" w:rsidRDefault="00CB021A"/>
    <w:sectPr w:rsidR="00CB021A" w:rsidSect="00034616">
      <w:pgSz w:w="11906" w:h="16838"/>
      <w:pgMar w:top="1701" w:right="1701" w:bottom="1701"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39314087">
    <w:abstractNumId w:val="8"/>
  </w:num>
  <w:num w:numId="2" w16cid:durableId="294607870">
    <w:abstractNumId w:val="6"/>
  </w:num>
  <w:num w:numId="3" w16cid:durableId="1437285797">
    <w:abstractNumId w:val="5"/>
  </w:num>
  <w:num w:numId="4" w16cid:durableId="2009943365">
    <w:abstractNumId w:val="4"/>
  </w:num>
  <w:num w:numId="5" w16cid:durableId="599989254">
    <w:abstractNumId w:val="7"/>
  </w:num>
  <w:num w:numId="6" w16cid:durableId="1379237616">
    <w:abstractNumId w:val="3"/>
  </w:num>
  <w:num w:numId="7" w16cid:durableId="776364272">
    <w:abstractNumId w:val="2"/>
  </w:num>
  <w:num w:numId="8" w16cid:durableId="739444984">
    <w:abstractNumId w:val="1"/>
  </w:num>
  <w:num w:numId="9" w16cid:durableId="123215203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5"/>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684494"/>
    <w:rsid w:val="00AA1D8D"/>
    <w:rsid w:val="00B47730"/>
    <w:rsid w:val="00BF60A4"/>
    <w:rsid w:val="00CB021A"/>
    <w:rsid w:val="00CB0664"/>
    <w:rsid w:val="00DD2BE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CC90C21"/>
  <w14:defaultImageDpi w14:val="300"/>
  <w15:docId w15:val="{307DAAF5-86A4-A34E-9AA4-B3B4CF30DB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36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9</Pages>
  <Words>2185</Words>
  <Characters>14516</Characters>
  <Application>Microsoft Office Word</Application>
  <DocSecurity>0</DocSecurity>
  <Lines>223</Lines>
  <Paragraphs>55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16646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Ade Ariadi</cp:lastModifiedBy>
  <cp:revision>3</cp:revision>
  <dcterms:created xsi:type="dcterms:W3CDTF">2026-07-07T01:20:00Z</dcterms:created>
  <dcterms:modified xsi:type="dcterms:W3CDTF">2026-07-07T01:21:00Z</dcterms:modified>
  <cp:category/>
</cp:coreProperties>
</file>