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4B147" w14:textId="77777777" w:rsidR="00177009" w:rsidRDefault="00000000">
      <w:pPr>
        <w:spacing w:before="240" w:after="240"/>
        <w:jc w:val="center"/>
      </w:pPr>
      <w:r>
        <w:rPr>
          <w:b/>
          <w:sz w:val="28"/>
        </w:rPr>
        <w:t>BAB 3</w:t>
      </w:r>
    </w:p>
    <w:p w14:paraId="12B1E143" w14:textId="77777777" w:rsidR="00177009" w:rsidRDefault="00000000">
      <w:pPr>
        <w:spacing w:before="240" w:after="240"/>
        <w:jc w:val="center"/>
      </w:pPr>
      <w:r>
        <w:rPr>
          <w:b/>
          <w:sz w:val="28"/>
        </w:rPr>
        <w:t>METODE PENELITIAN</w:t>
      </w:r>
    </w:p>
    <w:p w14:paraId="4D1B9377" w14:textId="77777777" w:rsidR="00177009" w:rsidRDefault="00000000">
      <w:pPr>
        <w:pStyle w:val="Heading2"/>
      </w:pPr>
      <w:r>
        <w:rPr>
          <w:rFonts w:ascii="Times New Roman" w:hAnsi="Times New Roman"/>
        </w:rPr>
        <w:t>3.1 Desain Penelitian</w:t>
      </w:r>
    </w:p>
    <w:p w14:paraId="35F52B0D" w14:textId="77777777" w:rsidR="00177009" w:rsidRDefault="00000000">
      <w:pPr>
        <w:ind w:firstLine="720"/>
        <w:jc w:val="both"/>
      </w:pPr>
      <w:r>
        <w:t>Penelitian ini merupakan studi kohort retrospektif untuk pengembangan model prediksi klinis (clinical prediction model development study), berbasis data rekam medis elektronik dan sistem informasi keuangan rumah sakit.²¹ Variabel prediktor (paparan) diukur pada 24 jam pertama perawatan ICU sebagai baseline, sedangkan luaran (under-reimbursement level episode) ditentukan setelah episode rawat inap selesai—sehingga secara metodologis ini desain kohort, bukan cross-sectional. Pendekatan ini sesuai rekomendasi TRIPOD+AI.²¹</w:t>
      </w:r>
    </w:p>
    <w:p w14:paraId="19815E01" w14:textId="77777777" w:rsidR="00177009" w:rsidRDefault="00000000">
      <w:pPr>
        <w:pStyle w:val="Heading2"/>
      </w:pPr>
      <w:r>
        <w:rPr>
          <w:rFonts w:ascii="Times New Roman" w:hAnsi="Times New Roman"/>
        </w:rPr>
        <w:t>3.2 Tempat dan Waktu Penelitian</w:t>
      </w:r>
    </w:p>
    <w:p w14:paraId="12FFFC65" w14:textId="77777777" w:rsidR="00177009" w:rsidRDefault="00000000">
      <w:pPr>
        <w:ind w:firstLine="720"/>
        <w:jc w:val="both"/>
      </w:pPr>
      <w:r>
        <w:t>Penelitian dilaksanakan di ICU dewasa RSUPN Dr. Cipto Mangunkusumo (RSCM), Jakarta, rumah sakit rujukan nasional tipe A. Pengumpulan data retrospektif mencakup pasien yang dirawat di ICU dewasa RSCM periode Mei 2025 hingga Mei 2026 (12 bulan). Periode 12 bulan dipilih untuk menjaga homogenitas struktur tarif rumah sakit, mengingat rencana perubahan tarif RSCM mulai Mei 2026. Jika tarif RSCM dan INA-CBGs terbukti stabil sebelum Mei 2025, periode data dapat diperpanjang ke belakang dalam regime tarif yang sama untuk memperbesar sampel; verifikasi tanggal perubahan tarif sebelumnya akan dilakukan pada tahap awal penelitian.</w:t>
      </w:r>
    </w:p>
    <w:p w14:paraId="018272BB" w14:textId="77777777" w:rsidR="00177009" w:rsidRDefault="00000000">
      <w:pPr>
        <w:pStyle w:val="Heading2"/>
      </w:pPr>
      <w:r>
        <w:rPr>
          <w:rFonts w:ascii="Times New Roman" w:hAnsi="Times New Roman"/>
        </w:rPr>
        <w:t>3.3 Populasi dan Sampel</w:t>
      </w:r>
    </w:p>
    <w:p w14:paraId="047820B7" w14:textId="77777777" w:rsidR="00177009" w:rsidRDefault="00000000">
      <w:pPr>
        <w:pStyle w:val="Heading3"/>
      </w:pPr>
      <w:r>
        <w:rPr>
          <w:rFonts w:ascii="Times New Roman" w:hAnsi="Times New Roman"/>
        </w:rPr>
        <w:t>3.3.1 Populasi Target</w:t>
      </w:r>
    </w:p>
    <w:p w14:paraId="0F8BC97A" w14:textId="77777777" w:rsidR="00177009" w:rsidRDefault="00000000">
      <w:pPr>
        <w:ind w:firstLine="720"/>
        <w:jc w:val="both"/>
      </w:pPr>
      <w:r>
        <w:t>Seluruh pasien dewasa yang dirawat di ICU rumah sakit rujukan di Indonesia.</w:t>
      </w:r>
    </w:p>
    <w:p w14:paraId="00BD06C2" w14:textId="77777777" w:rsidR="00177009" w:rsidRDefault="00000000">
      <w:pPr>
        <w:pStyle w:val="Heading3"/>
      </w:pPr>
      <w:r>
        <w:rPr>
          <w:rFonts w:ascii="Times New Roman" w:hAnsi="Times New Roman"/>
        </w:rPr>
        <w:lastRenderedPageBreak/>
        <w:t>3.3.2 Populasi Terjangkau</w:t>
      </w:r>
    </w:p>
    <w:p w14:paraId="6EB8E97F" w14:textId="77777777" w:rsidR="00177009" w:rsidRDefault="00000000">
      <w:pPr>
        <w:ind w:firstLine="720"/>
        <w:jc w:val="both"/>
      </w:pPr>
      <w:r>
        <w:t>Pasien dewasa yang dirawat di ICU dewasa RSCM periode Mei 2025–Mei 2026 yang memiliki rekam medis, data klaim INA-CBGs, dan data biaya rumah sakit lengkap.</w:t>
      </w:r>
    </w:p>
    <w:p w14:paraId="46E2AB5B" w14:textId="77777777" w:rsidR="00177009" w:rsidRDefault="00000000">
      <w:pPr>
        <w:pStyle w:val="Heading3"/>
      </w:pPr>
      <w:r>
        <w:rPr>
          <w:rFonts w:ascii="Times New Roman" w:hAnsi="Times New Roman"/>
        </w:rPr>
        <w:t>3.3.3 Sampel</w:t>
      </w:r>
    </w:p>
    <w:p w14:paraId="00D49336" w14:textId="77777777" w:rsidR="00177009" w:rsidRDefault="00000000">
      <w:pPr>
        <w:ind w:firstLine="720"/>
        <w:jc w:val="both"/>
      </w:pPr>
      <w:r>
        <w:t>Seluruh pasien populasi terjangkau yang memenuhi kriteria inklusi dan tidak termasuk kriteria eksklusi (consecutive sampling).</w:t>
      </w:r>
    </w:p>
    <w:p w14:paraId="7620273A" w14:textId="77777777" w:rsidR="00177009" w:rsidRDefault="00000000">
      <w:pPr>
        <w:pStyle w:val="Heading2"/>
      </w:pPr>
      <w:r>
        <w:rPr>
          <w:rFonts w:ascii="Times New Roman" w:hAnsi="Times New Roman"/>
        </w:rPr>
        <w:t>3.4 Kriteria Pemilihan Subjek</w:t>
      </w:r>
    </w:p>
    <w:p w14:paraId="4A8DC725" w14:textId="77777777" w:rsidR="00177009" w:rsidRDefault="00000000">
      <w:pPr>
        <w:pStyle w:val="Heading3"/>
      </w:pPr>
      <w:r>
        <w:rPr>
          <w:rFonts w:ascii="Times New Roman" w:hAnsi="Times New Roman"/>
        </w:rPr>
        <w:t>3.4.1 Kriteria Inklusi</w:t>
      </w:r>
    </w:p>
    <w:p w14:paraId="3C1DAB09" w14:textId="77777777" w:rsidR="00177009" w:rsidRDefault="00000000">
      <w:pPr>
        <w:ind w:firstLine="720"/>
        <w:jc w:val="both"/>
      </w:pPr>
      <w:r>
        <w:t>(1) usia ≥18 tahun; (2) dirawat di ICU dewasa RSCM periode Mei 2025–Mei 2026; (3) peserta JKN/BPJS Kesehatan; (4) tersedia data klinis 24 jam pertama (demografik, tanda vital, GCS, status ventilator/vasopresor/transfusi/pembedahan, durasi pra-ICU, diagnosis, sumber admisi, CCI); (5) tersedia data administratif 24 jam pertama (kelas rawat JKN, tipe admisi); (6) tersedia data klaim INA-CBGs final dan biaya riil level episode.</w:t>
      </w:r>
    </w:p>
    <w:p w14:paraId="593754E1" w14:textId="77777777" w:rsidR="00177009" w:rsidRDefault="00000000">
      <w:pPr>
        <w:pStyle w:val="Heading3"/>
      </w:pPr>
      <w:r>
        <w:rPr>
          <w:rFonts w:ascii="Times New Roman" w:hAnsi="Times New Roman"/>
        </w:rPr>
        <w:t>3.4.2 Kriteria Eksklusi</w:t>
      </w:r>
    </w:p>
    <w:p w14:paraId="3AC0290F" w14:textId="77777777" w:rsidR="00177009" w:rsidRDefault="00000000">
      <w:pPr>
        <w:ind w:firstLine="720"/>
        <w:jc w:val="both"/>
      </w:pPr>
      <w:r>
        <w:t>(1) dirawat di ICU &lt;24 jam (termasuk meninggal dalam 24 jam pertama)—konsekuensi metodologis jendela prediktor 24 jam, didiskusikan sebagai limitasi; (2) rujukan tanpa data waktu masuk RS asal sehingga durasi pra-ICU tidak terhitung; (3) data kunci tidak lengkap (&gt;50% missing); (4) rawat ulang ICU dalam episode sama (hanya episode pertama); (5) episode yang telah tercakup dalam pengumpulan data penelitian biaya ICU di institusi yang sama pada periode sebelumnya, untuk menghindari duplikasi data (double counting).</w:t>
      </w:r>
    </w:p>
    <w:p w14:paraId="78F3FECF" w14:textId="77777777" w:rsidR="00177009" w:rsidRDefault="00000000">
      <w:pPr>
        <w:pStyle w:val="Heading2"/>
      </w:pPr>
      <w:r>
        <w:rPr>
          <w:rFonts w:ascii="Times New Roman" w:hAnsi="Times New Roman"/>
        </w:rPr>
        <w:t>3.5 Cara Pemilihan Sampel</w:t>
      </w:r>
    </w:p>
    <w:p w14:paraId="43834DA6" w14:textId="39F6D113" w:rsidR="00177009" w:rsidRDefault="00000000">
      <w:pPr>
        <w:ind w:firstLine="720"/>
        <w:jc w:val="both"/>
      </w:pPr>
      <w:r>
        <w:t xml:space="preserve">Consecutive sampling, retrospektif melalui telaah rekam medis elektronik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w:t>
      </w:r>
    </w:p>
    <w:p w14:paraId="1F46BC4A" w14:textId="77777777" w:rsidR="00177009" w:rsidRDefault="00000000">
      <w:pPr>
        <w:pStyle w:val="Heading2"/>
      </w:pPr>
      <w:r>
        <w:rPr>
          <w:rFonts w:ascii="Times New Roman" w:hAnsi="Times New Roman"/>
        </w:rPr>
        <w:lastRenderedPageBreak/>
        <w:t>3.6 Estimasi Besar Sampel</w:t>
      </w:r>
    </w:p>
    <w:p w14:paraId="77B21455" w14:textId="77777777" w:rsidR="00177009" w:rsidRDefault="00000000">
      <w:pPr>
        <w:ind w:firstLine="720"/>
        <w:jc w:val="both"/>
      </w:pPr>
      <w:r>
        <w:t>Estimasi besar sampel dihitung dengan pendekatan Riley dkk. (2020) yang mempertimbangkan target R²-Nagelkerke (shrinkage ≤0,1), kalibrasi slope, presisi intercept, dan presisi prediksi.²⁹ Dengan asumsi 18–20 variabel prediktor, prevalensi under-reimbursement episode diestimasi 60–75% (estimasi konservatif lebih tinggi dari 57,14% Halim dkk. karena penelitian ini mencakup biaya pra-ICU dan pasca-ICU di numerator), target C-statistik 0,75, dan shrinkage maksimum 0,1, perhitungan dengan pmsampsize menghasilkan minimum ≈500–600 episode.²⁹ Berdasarkan registri ICU RSCM, diperkirakan &gt;1.000 episode rawat ICU dewasa JKN per tahun, melebihi sampel minimum.</w:t>
      </w:r>
    </w:p>
    <w:p w14:paraId="05C2FC97" w14:textId="77777777" w:rsidR="00177009" w:rsidRDefault="00000000">
      <w:pPr>
        <w:ind w:firstLine="720"/>
        <w:jc w:val="both"/>
      </w:pPr>
      <w:r>
        <w:t>Sebagai validasi empiris kelayakan, studi analog Ikumi dkk. mencapai AUC 0,859 dengan model tree-based pada efektif 304 event finansial.⁷ Karena penelitian ini diperkirakan memiliki jumlah event under-reimbursement yang jauh lebih besar (~600–750 dari prevalensi 60–75%), posisi kecukupan event untuk model klasifikasi tergolong memadai. Mengingat ukuran sampel tetap tergolong lean untuk ML, nested cross-validation dijadikan metode validasi utama, dengan temporal split sebagai analisis sensitivitas sekunder. Pilot estimate prevalensi dilakukan pada 50–100 pasien pertama sebelum lock model.</w:t>
      </w:r>
    </w:p>
    <w:p w14:paraId="2460DC23" w14:textId="77777777" w:rsidR="00177009" w:rsidRDefault="00000000">
      <w:pPr>
        <w:pStyle w:val="Heading2"/>
      </w:pPr>
      <w:r>
        <w:rPr>
          <w:rFonts w:ascii="Times New Roman" w:hAnsi="Times New Roman"/>
        </w:rPr>
        <w:t>3.7 Identifikasi Variabel</w:t>
      </w:r>
    </w:p>
    <w:p w14:paraId="32E9F5CB" w14:textId="77777777" w:rsidR="00177009" w:rsidRDefault="00000000">
      <w:pPr>
        <w:ind w:firstLine="720"/>
        <w:jc w:val="both"/>
      </w:pPr>
      <w:r>
        <w:rPr>
          <w:b/>
        </w:rPr>
        <w:t xml:space="preserve">Variabel dependen (outcome utama): </w:t>
      </w:r>
      <w:r>
        <w:t>Status under-reimbursement level episode rawat inap (rasio total biaya riil / total klaim INA-CBGs episode &gt;1; biner ya/tidak).⁴⁻⁶</w:t>
      </w:r>
    </w:p>
    <w:p w14:paraId="548746BC" w14:textId="77777777" w:rsidR="00177009" w:rsidRDefault="00000000">
      <w:pPr>
        <w:ind w:firstLine="720"/>
        <w:jc w:val="both"/>
      </w:pPr>
      <w:r>
        <w:rPr>
          <w:b/>
        </w:rPr>
        <w:t xml:space="preserve">Outcome sekunder: </w:t>
      </w:r>
      <w:r>
        <w:t>Magnitudo rasio (log(rasio biaya riil/klaim); kontinu).</w:t>
      </w:r>
    </w:p>
    <w:p w14:paraId="64B179E7" w14:textId="77777777" w:rsidR="00177009" w:rsidRDefault="00000000">
      <w:pPr>
        <w:ind w:firstLine="720"/>
        <w:jc w:val="both"/>
      </w:pPr>
      <w:r>
        <w:rPr>
          <w:b/>
        </w:rPr>
        <w:t xml:space="preserve">Variabel independen: </w:t>
      </w:r>
      <w:r>
        <w:t>Seluruh variabel diambil dari data 24 jam pertama, dipilih karena objektif dan tersedia rutin tanpa memerlukan analisis gas darah. Justifikasi teoretis lengkap disajikan pada Tabel 2.1.</w:t>
      </w:r>
    </w:p>
    <w:p w14:paraId="079E8A6F" w14:textId="77777777" w:rsidR="00177009" w:rsidRDefault="00000000">
      <w:pPr>
        <w:ind w:firstLine="720"/>
        <w:jc w:val="both"/>
      </w:pPr>
      <w:r>
        <w:rPr>
          <w:b/>
        </w:rPr>
        <w:t xml:space="preserve">(a) Domain klinis: </w:t>
      </w:r>
      <w:r>
        <w:t xml:space="preserve">usia; jenis kelamin; kategori IMT; durasi rawat pra-ICU; ventilasi mekanik (ya/tidak); vasopresor/inotropik (ya/tidak); transfusi darah (ya/tidak); pembedahan 24 jam (tidak/elektif/emergensi); serta kriteria mentah komponen mSOFA—SpO₂/FiO₂ (respirasi), MAP dan kebutuhan vasopresor (kardiovaskular), GCS (sistem saraf pusat), kreatinin serum (renal), dan ikterus </w:t>
      </w:r>
      <w:r>
        <w:lastRenderedPageBreak/>
        <w:t>klinis (hepar); Charlson Comorbidity Index; kategori diagnosis utama (supergroup sistem organ); sumber admisi ICU.</w:t>
      </w:r>
    </w:p>
    <w:p w14:paraId="68316CEF" w14:textId="77777777" w:rsidR="00177009" w:rsidRDefault="00000000">
      <w:pPr>
        <w:ind w:firstLine="720"/>
        <w:jc w:val="both"/>
      </w:pPr>
      <w:r>
        <w:rPr>
          <w:b/>
        </w:rPr>
        <w:t xml:space="preserve">(b) Domain administratif: </w:t>
      </w:r>
      <w:r>
        <w:t>kelas rawat JKN (1/2/3); tipe admisi ICU (elektif/emergensi).</w:t>
      </w:r>
    </w:p>
    <w:p w14:paraId="172EFBB0" w14:textId="77777777" w:rsidR="00177009" w:rsidRDefault="00000000">
      <w:pPr>
        <w:pStyle w:val="Heading2"/>
      </w:pPr>
      <w:r>
        <w:rPr>
          <w:rFonts w:ascii="Times New Roman" w:hAnsi="Times New Roman"/>
        </w:rPr>
        <w:t xml:space="preserve">3.8 </w:t>
      </w:r>
      <w:proofErr w:type="spellStart"/>
      <w:r>
        <w:rPr>
          <w:rFonts w:ascii="Times New Roman" w:hAnsi="Times New Roman"/>
        </w:rPr>
        <w:t>Instrumen</w:t>
      </w:r>
      <w:proofErr w:type="spellEnd"/>
      <w:r>
        <w:rPr>
          <w:rFonts w:ascii="Times New Roman" w:hAnsi="Times New Roman"/>
        </w:rPr>
        <w:t xml:space="preserve"> </w:t>
      </w:r>
      <w:proofErr w:type="spellStart"/>
      <w:r>
        <w:rPr>
          <w:rFonts w:ascii="Times New Roman" w:hAnsi="Times New Roman"/>
        </w:rPr>
        <w:t>Penelitian</w:t>
      </w:r>
      <w:proofErr w:type="spellEnd"/>
    </w:p>
    <w:p w14:paraId="007A4D35" w14:textId="77777777" w:rsidR="00177009" w:rsidRDefault="00000000">
      <w:pPr>
        <w:ind w:firstLine="720"/>
        <w:jc w:val="both"/>
      </w:pPr>
      <w:r>
        <w:t>(1) rekam medis elektronik RSCM; (2) SIM RS; (3) data klaim BPJS Kesehatan; (4) lembar pengumpulan data elektronik; (5) Python (≥3.10) dengan pandas, scikit-learn, XGBoost, dan SHAP.²²,²⁶,²⁷</w:t>
      </w:r>
    </w:p>
    <w:p w14:paraId="6EF09B8E" w14:textId="77777777" w:rsidR="00177009" w:rsidRDefault="00000000">
      <w:pPr>
        <w:pStyle w:val="Heading2"/>
      </w:pPr>
      <w:r>
        <w:rPr>
          <w:rFonts w:ascii="Times New Roman" w:hAnsi="Times New Roman"/>
        </w:rPr>
        <w:t>3.9 Prosedur Penelitian</w:t>
      </w:r>
    </w:p>
    <w:p w14:paraId="1F8C845C" w14:textId="77777777" w:rsidR="00177009" w:rsidRDefault="00000000">
      <w:pPr>
        <w:spacing w:after="120"/>
        <w:ind w:left="425" w:hanging="425"/>
        <w:jc w:val="both"/>
      </w:pPr>
      <w:r>
        <w:t>1. Memperoleh persetujuan etik Komite Etik Penelitian Kesehatan FKUI-RSCM dan izin akses data.</w:t>
      </w:r>
    </w:p>
    <w:p w14:paraId="6CBE8055" w14:textId="77777777" w:rsidR="00177009" w:rsidRDefault="00000000">
      <w:pPr>
        <w:spacing w:after="120"/>
        <w:ind w:left="425" w:hanging="425"/>
        <w:jc w:val="both"/>
      </w:pPr>
      <w:r>
        <w:t>2. Identifikasi subjek dari daftar pasien ICU dewasa RSCM periode penelitian.</w:t>
      </w:r>
    </w:p>
    <w:p w14:paraId="634E1E95" w14:textId="77777777" w:rsidR="00177009" w:rsidRDefault="00000000">
      <w:pPr>
        <w:spacing w:after="120"/>
        <w:ind w:left="425" w:hanging="425"/>
        <w:jc w:val="both"/>
      </w:pPr>
      <w:r>
        <w:t>3. Seleksi berdasarkan kriteria inklusi/eksklusi.</w:t>
      </w:r>
    </w:p>
    <w:p w14:paraId="46F834F0" w14:textId="77777777" w:rsidR="00177009" w:rsidRDefault="00000000">
      <w:pPr>
        <w:spacing w:after="120"/>
        <w:ind w:left="425" w:hanging="425"/>
        <w:jc w:val="both"/>
      </w:pPr>
      <w:r>
        <w:t>4. Pengumpulan data klinis 24 jam pertama (tanda vital, GCS, status intervensi, durasi pra-ICU, diagnosis, CCI) dan demografik dari rekam medis.</w:t>
      </w:r>
    </w:p>
    <w:p w14:paraId="3B13A9DD" w14:textId="77777777" w:rsidR="00177009" w:rsidRDefault="00000000">
      <w:pPr>
        <w:spacing w:after="120"/>
        <w:ind w:left="425" w:hanging="425"/>
        <w:jc w:val="both"/>
      </w:pPr>
      <w:r>
        <w:t>5. Pengumpulan data administratif 24 jam (kelas rawat JKN, tipe admisi) dari SIM RS.</w:t>
      </w:r>
    </w:p>
    <w:p w14:paraId="7C68527B" w14:textId="77777777" w:rsidR="00177009" w:rsidRDefault="00000000">
      <w:pPr>
        <w:spacing w:after="120"/>
        <w:ind w:left="425" w:hanging="425"/>
        <w:jc w:val="both"/>
      </w:pPr>
      <w:r>
        <w:t>6. Pengumpulan total biaya riil level episode (pra-ICU + ICU + pasca-ICU) dan klaim INA-CBGs final dari sistem keuangan setelah episode selesai; metode penghitungan biaya riil didokumentasikan.</w:t>
      </w:r>
    </w:p>
    <w:p w14:paraId="493138A9" w14:textId="77777777" w:rsidR="00177009" w:rsidRDefault="00000000">
      <w:pPr>
        <w:spacing w:after="120"/>
        <w:ind w:left="425" w:hanging="425"/>
        <w:jc w:val="both"/>
      </w:pPr>
      <w:r>
        <w:t>7. Kompilasi dataset, pengecekan kualitas, analisis sesuai SAP pre-specified.</w:t>
      </w:r>
    </w:p>
    <w:p w14:paraId="00578E87" w14:textId="77777777" w:rsidR="00177009" w:rsidRDefault="00000000">
      <w:pPr>
        <w:pStyle w:val="Heading2"/>
      </w:pPr>
      <w:r>
        <w:rPr>
          <w:rFonts w:ascii="Times New Roman" w:hAnsi="Times New Roman"/>
        </w:rPr>
        <w:t>3.10 Analisis Data</w:t>
      </w:r>
    </w:p>
    <w:p w14:paraId="3A03906F" w14:textId="77777777" w:rsidR="00177009" w:rsidRDefault="00000000">
      <w:pPr>
        <w:pStyle w:val="Heading3"/>
      </w:pPr>
      <w:r>
        <w:rPr>
          <w:rFonts w:ascii="Times New Roman" w:hAnsi="Times New Roman"/>
        </w:rPr>
        <w:t>3.10.1 Analisis Deskriptif</w:t>
      </w:r>
    </w:p>
    <w:p w14:paraId="35C8BF6E" w14:textId="77777777" w:rsidR="00177009" w:rsidRDefault="00000000">
      <w:pPr>
        <w:ind w:firstLine="720"/>
        <w:jc w:val="both"/>
      </w:pPr>
      <w:r>
        <w:t>Karakteristik subjek dideskripsikan keseluruhan dan berdasarkan status under-reimbursement; kategorik dalam frekuensi/persentase, numerik dalam rerata±SB atau median (IQR). Proporsi under-reimbursement disertai IK 95%.</w:t>
      </w:r>
    </w:p>
    <w:p w14:paraId="71649D4C" w14:textId="77777777" w:rsidR="00177009" w:rsidRDefault="00000000">
      <w:pPr>
        <w:pStyle w:val="Heading3"/>
      </w:pPr>
      <w:r>
        <w:rPr>
          <w:rFonts w:ascii="Times New Roman" w:hAnsi="Times New Roman"/>
        </w:rPr>
        <w:lastRenderedPageBreak/>
        <w:t>3.10.2 Preprocessing Data</w:t>
      </w:r>
    </w:p>
    <w:p w14:paraId="3BF3719C" w14:textId="161AD26D" w:rsidR="00177009" w:rsidRDefault="00000000">
      <w:pPr>
        <w:ind w:firstLine="720"/>
        <w:jc w:val="both"/>
      </w:pPr>
      <w:r>
        <w:t xml:space="preserve">(1) penanganan nilai hilang dengan MICE (5 imputed datasets) untuk numerik dan modus untuk kategorik bila missing 5–40%, eksklusi variabel bila &gt;50%; (2) one-hot encoding untuk nominal, ordinal encoding untuk ordinal (kelas JKN); (3) standardisasi z-score untuk regresi logistik; (4) penanganan class imbalance dengan class weighting </w:t>
      </w:r>
    </w:p>
    <w:p w14:paraId="055A3109" w14:textId="77777777" w:rsidR="00177009" w:rsidRDefault="00000000">
      <w:pPr>
        <w:pStyle w:val="Heading3"/>
      </w:pPr>
      <w:r>
        <w:rPr>
          <w:rFonts w:ascii="Times New Roman" w:hAnsi="Times New Roman"/>
        </w:rPr>
        <w:t>3.10.3 Pemodelan dan Pemeriksaan Multikolinearitas</w:t>
      </w:r>
    </w:p>
    <w:p w14:paraId="7017E50F" w14:textId="77777777" w:rsidR="00177009" w:rsidRDefault="00000000">
      <w:pPr>
        <w:ind w:firstLine="720"/>
        <w:jc w:val="both"/>
      </w:pPr>
      <w:r>
        <w:t>Seluruh variabel yang telah pre-specified dimasukkan ke model awal sesuai prinsip TRIPOD+AI; pre-filter univariat p&lt;0,25 TIDAK digunakan karena dapat menghilangkan confounder.²¹ Multikolinearitas diperiksa dengan VIF (ambang &gt;5); pasangan berisiko overlap (jumlah organ support dengan komponennya; tanda vital dengan GCS) dievaluasi, dan reduksi dilakukan via regularisasi elastic net (LR) dan SHAP importance (tree-based).²⁶,²⁷</w:t>
      </w:r>
    </w:p>
    <w:p w14:paraId="5FBB5287" w14:textId="77777777" w:rsidR="00177009" w:rsidRDefault="00000000">
      <w:pPr>
        <w:pStyle w:val="Heading3"/>
      </w:pPr>
      <w:r>
        <w:rPr>
          <w:rFonts w:ascii="Times New Roman" w:hAnsi="Times New Roman"/>
        </w:rPr>
        <w:t>3.10.4 Pembagian Data dan Validasi</w:t>
      </w:r>
    </w:p>
    <w:p w14:paraId="3059FC68" w14:textId="77777777" w:rsidR="00177009" w:rsidRDefault="00000000">
      <w:pPr>
        <w:ind w:firstLine="720"/>
        <w:jc w:val="both"/>
      </w:pPr>
      <w:r>
        <w:t>Nested cross-validation: outer 5-fold stratified CV (80% train/20% test), inner 3-fold CV untuk tuning dengan Bayesian optimization.²¹ Repeated nested CV (10×5-fold) digunakan untuk estimasi performa yang stabil pada sampel lean. Temporal split (train Mei–Des 2025, test Jan–Mei 2026) dilakukan sebagai analisis sensitivitas sekunder. Estimasi performa disertai IK 95% bootstrap (≥1.000 resamples).</w:t>
      </w:r>
    </w:p>
    <w:p w14:paraId="0734E2D3" w14:textId="77777777" w:rsidR="00177009" w:rsidRDefault="00000000">
      <w:pPr>
        <w:pStyle w:val="Heading3"/>
      </w:pPr>
      <w:r>
        <w:rPr>
          <w:rFonts w:ascii="Times New Roman" w:hAnsi="Times New Roman"/>
        </w:rPr>
        <w:t>3.10.5 Pengembangan Model</w:t>
      </w:r>
    </w:p>
    <w:p w14:paraId="12EE5F3E" w14:textId="1E075EB1" w:rsidR="00177009" w:rsidRDefault="00000000">
      <w:pPr>
        <w:ind w:firstLine="720"/>
        <w:jc w:val="both"/>
      </w:pPr>
      <w:r>
        <w:rPr>
          <w:b/>
        </w:rPr>
        <w:t xml:space="preserve">(a) </w:t>
      </w:r>
      <w:proofErr w:type="spellStart"/>
      <w:r>
        <w:rPr>
          <w:b/>
        </w:rPr>
        <w:t>XGBoost</w:t>
      </w:r>
      <w:proofErr w:type="spellEnd"/>
    </w:p>
    <w:p w14:paraId="5DC895E7" w14:textId="1BC85D88" w:rsidR="00177009" w:rsidRDefault="00000000">
      <w:pPr>
        <w:ind w:firstLine="720"/>
        <w:jc w:val="both"/>
      </w:pPr>
      <w:r>
        <w:rPr>
          <w:b/>
        </w:rPr>
        <w:t>(b) Random Forest</w:t>
      </w:r>
    </w:p>
    <w:p w14:paraId="732BAA96" w14:textId="70B8EAD8" w:rsidR="00177009" w:rsidRDefault="00000000">
      <w:pPr>
        <w:ind w:firstLine="720"/>
        <w:jc w:val="both"/>
      </w:pPr>
      <w:r>
        <w:rPr>
          <w:b/>
        </w:rPr>
        <w:t>(c) Regresi Logistik Elastic Net (pembanding)</w:t>
      </w:r>
    </w:p>
    <w:p w14:paraId="6D3C3D5E" w14:textId="77777777" w:rsidR="00177009" w:rsidRDefault="00000000">
      <w:pPr>
        <w:pStyle w:val="Heading3"/>
      </w:pPr>
      <w:r>
        <w:rPr>
          <w:rFonts w:ascii="Times New Roman" w:hAnsi="Times New Roman"/>
        </w:rPr>
        <w:t>3.10.6 Evaluasi Performa</w:t>
      </w:r>
    </w:p>
    <w:p w14:paraId="3B0B292C" w14:textId="77777777" w:rsidR="00177009" w:rsidRDefault="00000000">
      <w:pPr>
        <w:ind w:firstLine="720"/>
        <w:jc w:val="both"/>
      </w:pPr>
      <w:r>
        <w:rPr>
          <w:b/>
        </w:rPr>
        <w:t xml:space="preserve">(a) Diskriminasi: </w:t>
      </w:r>
      <w:r>
        <w:t>AUC-ROC (target ≥0,75), PR-AUC, sensitivitas, spesifisitas, PPV, NPV, F1.²¹</w:t>
      </w:r>
    </w:p>
    <w:p w14:paraId="363757B9" w14:textId="77777777" w:rsidR="00177009" w:rsidRDefault="00000000">
      <w:pPr>
        <w:ind w:firstLine="720"/>
        <w:jc w:val="both"/>
      </w:pPr>
      <w:r>
        <w:rPr>
          <w:b/>
        </w:rPr>
        <w:t xml:space="preserve">(b) Kalibrasi: </w:t>
      </w:r>
      <w:r>
        <w:t>Brier score, calibration plot, calibration intercept &amp; slope (IK 95%).²¹</w:t>
      </w:r>
    </w:p>
    <w:p w14:paraId="042D2CC7" w14:textId="77777777" w:rsidR="00177009" w:rsidRDefault="00000000">
      <w:pPr>
        <w:ind w:firstLine="720"/>
        <w:jc w:val="both"/>
      </w:pPr>
      <w:r>
        <w:rPr>
          <w:b/>
        </w:rPr>
        <w:lastRenderedPageBreak/>
        <w:t xml:space="preserve">(c) Utilitas klinis: </w:t>
      </w:r>
      <w:r>
        <w:t>Decision Curve Analysis (net benefit, threshold 0,2–0,8).²¹</w:t>
      </w:r>
    </w:p>
    <w:p w14:paraId="541B763B" w14:textId="77777777" w:rsidR="00177009" w:rsidRDefault="00000000">
      <w:pPr>
        <w:ind w:firstLine="720"/>
        <w:jc w:val="both"/>
      </w:pPr>
      <w:r>
        <w:rPr>
          <w:b/>
        </w:rPr>
        <w:t xml:space="preserve">(d) Perbandingan model: </w:t>
      </w:r>
      <w:r>
        <w:t>paired bootstrap, NRI, IDI; optimism correction bootstrap (Steyerberg).²¹,²⁴</w:t>
      </w:r>
    </w:p>
    <w:p w14:paraId="3C938828" w14:textId="77777777" w:rsidR="00177009" w:rsidRDefault="00000000">
      <w:pPr>
        <w:pStyle w:val="Heading3"/>
      </w:pPr>
      <w:r>
        <w:rPr>
          <w:rFonts w:ascii="Times New Roman" w:hAnsi="Times New Roman"/>
        </w:rPr>
        <w:t>3.10.7 Interpretabilitas (SHAP)</w:t>
      </w:r>
    </w:p>
    <w:p w14:paraId="02DB2E64" w14:textId="77777777" w:rsidR="00177009" w:rsidRDefault="00000000">
      <w:pPr>
        <w:ind w:firstLine="720"/>
        <w:jc w:val="both"/>
      </w:pPr>
      <w:r>
        <w:t>TreeSHAP untuk model terbaik: global feature importance (summary plot), local explanation (waterfall plot), dependence plot, dan SHAP interaction values untuk interaksi 2-arah.²⁶,²⁷</w:t>
      </w:r>
    </w:p>
    <w:p w14:paraId="2D8F6D39" w14:textId="77777777" w:rsidR="00177009" w:rsidRDefault="00000000">
      <w:pPr>
        <w:pStyle w:val="Heading3"/>
      </w:pPr>
      <w:r>
        <w:rPr>
          <w:rFonts w:ascii="Times New Roman" w:hAnsi="Times New Roman"/>
        </w:rPr>
        <w:t>3.10.8 Algorithmic Fairness Assessment</w:t>
      </w:r>
    </w:p>
    <w:p w14:paraId="725DF4B4" w14:textId="77777777" w:rsidR="00177009" w:rsidRDefault="00000000">
      <w:pPr>
        <w:ind w:firstLine="720"/>
        <w:jc w:val="both"/>
      </w:pPr>
      <w:r>
        <w:t>Sesuai TRIPOD+AI item 24, performa sub-kelompok dievaluasi (jenis kelamin; usia &lt;65/≥65; kelas JKN; tipe admisi; kategori diagnosis); AUC, kalibrasi, DCA dilaporkan per sub-kelompok dengan diskusi mitigasi bila terdapat disparitas.²¹</w:t>
      </w:r>
    </w:p>
    <w:p w14:paraId="19819BCC" w14:textId="77777777" w:rsidR="00177009" w:rsidRDefault="00000000">
      <w:pPr>
        <w:pStyle w:val="Heading3"/>
      </w:pPr>
      <w:r>
        <w:rPr>
          <w:rFonts w:ascii="Times New Roman" w:hAnsi="Times New Roman"/>
        </w:rPr>
        <w:t>3.10.9 Sensitivity Analyses</w:t>
      </w:r>
    </w:p>
    <w:p w14:paraId="1C42A512" w14:textId="77777777" w:rsidR="00177009" w:rsidRDefault="00000000">
      <w:pPr>
        <w:ind w:firstLine="720"/>
        <w:jc w:val="both"/>
      </w:pPr>
      <w:r>
        <w:t>(1) definisi outcome alternatif (rasio &gt;1,2 dan &gt;1,5); (2) subset LOS ICU &gt;3 hari; (3) outcome sekunder kontinu; (4) sub-periode pra/pasca perubahan tarif bila ada.</w:t>
      </w:r>
    </w:p>
    <w:p w14:paraId="43C373B6" w14:textId="77777777" w:rsidR="00177009" w:rsidRDefault="00000000">
      <w:pPr>
        <w:pStyle w:val="Heading3"/>
      </w:pPr>
      <w:r>
        <w:rPr>
          <w:rFonts w:ascii="Times New Roman" w:hAnsi="Times New Roman"/>
        </w:rPr>
        <w:t>3.10.10 Pelaporan</w:t>
      </w:r>
    </w:p>
    <w:p w14:paraId="3C3AF498" w14:textId="77777777" w:rsidR="00177009" w:rsidRDefault="00000000">
      <w:pPr>
        <w:ind w:firstLine="720"/>
        <w:jc w:val="both"/>
      </w:pPr>
      <w:r>
        <w:t>Mengikuti TRIPOD+AI (Collins dkk., 2024) dengan Statistical Analysis Plan pre-specified sebagai lampiran.²¹</w:t>
      </w:r>
    </w:p>
    <w:p w14:paraId="3CC63F24" w14:textId="77777777" w:rsidR="00177009" w:rsidRDefault="00000000">
      <w:pPr>
        <w:pStyle w:val="Heading2"/>
      </w:pPr>
      <w:r>
        <w:rPr>
          <w:rFonts w:ascii="Times New Roman" w:hAnsi="Times New Roman"/>
        </w:rPr>
        <w:t>3.11 Alur Penelitian</w:t>
      </w:r>
    </w:p>
    <w:p w14:paraId="1C710C57" w14:textId="77777777" w:rsidR="00177009" w:rsidRDefault="00000000">
      <w:pPr>
        <w:ind w:firstLine="720"/>
        <w:jc w:val="both"/>
      </w:pPr>
      <w:r>
        <w:t>Alur disajikan dalam Gambar 3.1: identifikasi populasi → seleksi inklusi/eksklusi → pengumpulan variabel klinis dan administratif 24 jam pertama → penentuan under-reimbursement → preprocessing → pengembangan model (XGBoost, RF, LR elastic net) dengan nested CV → evaluasi (AUC-ROC, PR-AUC, kalibrasi, DCA) → SHAP → fairness assessment → sensitivity analyses → pelaporan TRIPOD+AI.</w:t>
      </w:r>
    </w:p>
    <w:p w14:paraId="37F32B4A" w14:textId="01164267" w:rsidR="00177009" w:rsidRDefault="00177009">
      <w:pPr>
        <w:spacing w:before="120" w:after="80"/>
        <w:jc w:val="center"/>
      </w:pPr>
    </w:p>
    <w:p w14:paraId="09B942CC" w14:textId="77777777" w:rsidR="00177009" w:rsidRDefault="00000000">
      <w:pPr>
        <w:pStyle w:val="Heading2"/>
      </w:pPr>
      <w:r>
        <w:rPr>
          <w:rFonts w:ascii="Times New Roman" w:hAnsi="Times New Roman"/>
        </w:rPr>
        <w:lastRenderedPageBreak/>
        <w:t xml:space="preserve">3.12 Etika </w:t>
      </w:r>
      <w:proofErr w:type="spellStart"/>
      <w:r>
        <w:rPr>
          <w:rFonts w:ascii="Times New Roman" w:hAnsi="Times New Roman"/>
        </w:rPr>
        <w:t>Penelitian</w:t>
      </w:r>
      <w:proofErr w:type="spellEnd"/>
    </w:p>
    <w:p w14:paraId="23444249" w14:textId="77777777" w:rsidR="00177009" w:rsidRDefault="00000000">
      <w:pPr>
        <w:ind w:firstLine="720"/>
        <w:jc w:val="both"/>
      </w:pPr>
      <w:r>
        <w:t>Persetujuan etik diajukan kepada Komite Etik Penelitian Kesehatan FKUI-RSCM. Penelitian menggunakan data sekunder retrospektif tanpa intervensi langsung, sehingga informed consent individu tidak diperlukan sesuai ketentuan penelitian berbasis rekam medis. Data dijaga kerahasiaannya, disimpan terlindungi, dan dianalisis anonim.</w:t>
      </w:r>
    </w:p>
    <w:p w14:paraId="4A2D1BB6" w14:textId="77777777" w:rsidR="00177009" w:rsidRDefault="00000000">
      <w:r>
        <w:br w:type="page"/>
      </w:r>
    </w:p>
    <w:sectPr w:rsidR="00177009"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497478">
    <w:abstractNumId w:val="8"/>
  </w:num>
  <w:num w:numId="2" w16cid:durableId="1618487525">
    <w:abstractNumId w:val="6"/>
  </w:num>
  <w:num w:numId="3" w16cid:durableId="243877401">
    <w:abstractNumId w:val="5"/>
  </w:num>
  <w:num w:numId="4" w16cid:durableId="1532181964">
    <w:abstractNumId w:val="4"/>
  </w:num>
  <w:num w:numId="5" w16cid:durableId="1546139554">
    <w:abstractNumId w:val="7"/>
  </w:num>
  <w:num w:numId="6" w16cid:durableId="34427025">
    <w:abstractNumId w:val="3"/>
  </w:num>
  <w:num w:numId="7" w16cid:durableId="1185093813">
    <w:abstractNumId w:val="2"/>
  </w:num>
  <w:num w:numId="8" w16cid:durableId="350037561">
    <w:abstractNumId w:val="1"/>
  </w:num>
  <w:num w:numId="9" w16cid:durableId="1111436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009"/>
    <w:rsid w:val="0029639D"/>
    <w:rsid w:val="00326F90"/>
    <w:rsid w:val="00433837"/>
    <w:rsid w:val="00684494"/>
    <w:rsid w:val="00AA1D8D"/>
    <w:rsid w:val="00B47730"/>
    <w:rsid w:val="00BB04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3A27B"/>
  <w14:defaultImageDpi w14:val="300"/>
  <w15:docId w15:val="{307DAAF5-86A4-A34E-9AA4-B3B4CF30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1273</Words>
  <Characters>8454</Characters>
  <Application>Microsoft Office Word</Application>
  <DocSecurity>0</DocSecurity>
  <Lines>130</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 Ariadi</cp:lastModifiedBy>
  <cp:revision>2</cp:revision>
  <dcterms:created xsi:type="dcterms:W3CDTF">2026-07-07T01:22:00Z</dcterms:created>
  <dcterms:modified xsi:type="dcterms:W3CDTF">2026-07-07T01:22:00Z</dcterms:modified>
  <cp:category/>
</cp:coreProperties>
</file>